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78" w:rsidRPr="00D95F4E" w:rsidRDefault="00D95F4E" w:rsidP="00D95F4E">
      <w:pPr>
        <w:spacing w:after="0" w:line="240" w:lineRule="auto"/>
        <w:jc w:val="both"/>
        <w:rPr>
          <w:rFonts w:asciiTheme="minorBidi" w:eastAsia="Calibri" w:hAnsiTheme="minorBidi"/>
          <w:b/>
          <w:sz w:val="18"/>
          <w:szCs w:val="18"/>
        </w:rPr>
      </w:pPr>
      <w:r w:rsidRPr="00D95F4E">
        <w:rPr>
          <w:rFonts w:asciiTheme="minorBidi" w:eastAsia="Calibri" w:hAnsiTheme="minorBidi"/>
          <w:b/>
          <w:sz w:val="18"/>
          <w:szCs w:val="18"/>
        </w:rPr>
        <w:t>IV .Di</w:t>
      </w:r>
      <w:r w:rsidR="009A0078" w:rsidRPr="00D95F4E">
        <w:rPr>
          <w:rFonts w:asciiTheme="minorBidi" w:eastAsia="Calibri" w:hAnsiTheme="minorBidi"/>
          <w:b/>
          <w:sz w:val="18"/>
          <w:szCs w:val="18"/>
        </w:rPr>
        <w:t xml:space="preserve">scussion </w:t>
      </w:r>
    </w:p>
    <w:p w:rsidR="009A0078" w:rsidRPr="009851AA" w:rsidRDefault="009A0078" w:rsidP="009A0078">
      <w:pPr>
        <w:spacing w:after="0" w:line="240" w:lineRule="auto"/>
        <w:ind w:firstLine="360"/>
        <w:jc w:val="both"/>
        <w:rPr>
          <w:rFonts w:asciiTheme="minorBidi" w:eastAsia="Calibri" w:hAnsiTheme="minorBidi"/>
          <w:bCs/>
          <w:sz w:val="20"/>
          <w:szCs w:val="20"/>
        </w:rPr>
      </w:pPr>
    </w:p>
    <w:p w:rsidR="00D95F4E" w:rsidRDefault="00D95F4E" w:rsidP="00D95F4E">
      <w:pPr>
        <w:ind w:firstLine="360"/>
        <w:jc w:val="both"/>
        <w:rPr>
          <w:rFonts w:asciiTheme="minorBidi" w:eastAsia="Calibri" w:hAnsiTheme="minorBidi"/>
          <w:bCs/>
          <w:sz w:val="24"/>
          <w:szCs w:val="24"/>
        </w:rPr>
        <w:sectPr w:rsidR="00D95F4E" w:rsidSect="00D95F4E">
          <w:headerReference w:type="default" r:id="rId7"/>
          <w:footerReference w:type="default" r:id="rId8"/>
          <w:type w:val="continuous"/>
          <w:pgSz w:w="11520" w:h="15667" w:code="1"/>
          <w:pgMar w:top="346" w:right="634" w:bottom="274" w:left="619" w:header="0" w:footer="0" w:gutter="0"/>
          <w:cols w:space="720"/>
          <w:docGrid w:linePitch="360"/>
        </w:sectPr>
      </w:pPr>
    </w:p>
    <w:p w:rsidR="009A0078" w:rsidRPr="00D95F4E" w:rsidRDefault="009A0078" w:rsidP="00D95F4E">
      <w:pPr>
        <w:spacing w:after="0" w:line="250" w:lineRule="auto"/>
        <w:ind w:firstLine="360"/>
        <w:jc w:val="both"/>
        <w:rPr>
          <w:rFonts w:asciiTheme="majorBidi" w:eastAsia="Calibri" w:hAnsiTheme="majorBidi" w:cstheme="majorBidi"/>
          <w:bCs/>
          <w:sz w:val="20"/>
          <w:szCs w:val="20"/>
        </w:rPr>
      </w:pPr>
      <w:r w:rsidRPr="00D95F4E">
        <w:rPr>
          <w:rFonts w:asciiTheme="majorBidi" w:eastAsia="Calibri" w:hAnsiTheme="majorBidi" w:cstheme="majorBidi"/>
          <w:bCs/>
          <w:sz w:val="20"/>
          <w:szCs w:val="20"/>
        </w:rPr>
        <w:lastRenderedPageBreak/>
        <w:fldChar w:fldCharType="begin" w:fldLock="1"/>
      </w:r>
      <w:r w:rsidRPr="00D95F4E">
        <w:rPr>
          <w:rFonts w:asciiTheme="majorBidi" w:eastAsia="Calibri" w:hAnsiTheme="majorBidi" w:cstheme="majorBidi"/>
          <w:bCs/>
          <w:sz w:val="20"/>
          <w:szCs w:val="20"/>
        </w:rPr>
        <w:instrText>ADDIN CSL_CITATION {"citationItems":[{"id":"ITEM-1","itemData":{"ISSN":"1542-3565","author":[{"dropping-particle":"","family":"Singh","given":"Siddharth","non-dropping-particle":"","parse-names":false,"suffix":""},{"dropping-particle":"","family":"Allen","given":"Alina M","non-dropping-particle":"","parse-names":false,"suffix":""},{"dropping-particle":"","family":"Wang","given":"Zhen","non-dropping-particle":"","parse-names":false,"suffix":""},{"dropping-particle":"","family":"Prokop","given":"Larry J","non-dropping-particle":"","parse-names":false,"suffix":""},{"dropping-particle":"","family":"Murad","given":"Mohammad H","non-dropping-particle":"","parse-names":false,"suffix":""},{"dropping-particle":"","family":"Loomba","given":"Rohit","non-dropping-particle":"","parse-names":false,"suffix":""}],"container-title":"Clinical gastroenterology and hepatology","id":"ITEM-1","issue":"4","issued":{"date-parts":[["2015"]]},"page":"643-654","publisher":"Elsevier","title":"Fibrosis progression in nonalcoholic fatty liver vs nonalcoholic steatohepatitis: a systematic review and meta-analysis of paired-biopsy studies","type":"article-journal","volume":"13"},"uris":["http://www.mendeley.com/documents/?uuid=e2b1c124-e724-4819-be5f-fd44de588d9a"]}],"mendeley":{"formattedCitation":"(Singh et al., 2015)","plainTextFormattedCitation":"(Singh et al., 2015)","previouslyFormattedCitation":"(Singh et al., 2015)"},"properties":{"noteIndex":0},"schema":"https://github.com/citation-style-language/schema/raw/master/csl-citation.json"}</w:instrText>
      </w:r>
      <w:r w:rsidRPr="00D95F4E">
        <w:rPr>
          <w:rFonts w:asciiTheme="majorBidi" w:eastAsia="Calibri" w:hAnsiTheme="majorBidi" w:cstheme="majorBidi"/>
          <w:bCs/>
          <w:sz w:val="20"/>
          <w:szCs w:val="20"/>
        </w:rPr>
        <w:fldChar w:fldCharType="separate"/>
      </w:r>
      <w:r w:rsidRPr="00D95F4E">
        <w:rPr>
          <w:rFonts w:asciiTheme="majorBidi" w:eastAsia="Calibri" w:hAnsiTheme="majorBidi" w:cstheme="majorBidi"/>
          <w:bCs/>
          <w:noProof/>
          <w:sz w:val="20"/>
          <w:szCs w:val="20"/>
        </w:rPr>
        <w:t xml:space="preserve">Singh </w:t>
      </w:r>
      <w:r w:rsidRPr="00D95F4E">
        <w:rPr>
          <w:rFonts w:asciiTheme="majorBidi" w:eastAsia="Calibri" w:hAnsiTheme="majorBidi" w:cstheme="majorBidi"/>
          <w:bCs/>
          <w:i/>
          <w:iCs/>
          <w:noProof/>
          <w:sz w:val="20"/>
          <w:szCs w:val="20"/>
        </w:rPr>
        <w:t>et al.</w:t>
      </w:r>
      <w:r w:rsidRPr="00D95F4E">
        <w:rPr>
          <w:rFonts w:asciiTheme="majorBidi" w:eastAsia="Calibri" w:hAnsiTheme="majorBidi" w:cstheme="majorBidi"/>
          <w:bCs/>
          <w:noProof/>
          <w:sz w:val="20"/>
          <w:szCs w:val="20"/>
        </w:rPr>
        <w:t xml:space="preserve"> </w:t>
      </w:r>
      <w:r w:rsidRPr="00D95F4E">
        <w:rPr>
          <w:rFonts w:asciiTheme="majorBidi" w:eastAsia="Calibri" w:hAnsiTheme="majorBidi" w:cstheme="majorBidi"/>
          <w:bCs/>
          <w:sz w:val="20"/>
          <w:szCs w:val="20"/>
        </w:rPr>
        <w:fldChar w:fldCharType="end"/>
      </w:r>
      <w:r w:rsidRPr="00D95F4E">
        <w:rPr>
          <w:rFonts w:asciiTheme="majorBidi" w:eastAsia="Calibri" w:hAnsiTheme="majorBidi" w:cstheme="majorBidi"/>
          <w:bCs/>
          <w:sz w:val="20"/>
          <w:szCs w:val="20"/>
        </w:rPr>
        <w:fldChar w:fldCharType="begin" w:fldLock="1"/>
      </w:r>
      <w:r w:rsidRPr="00D95F4E">
        <w:rPr>
          <w:rFonts w:asciiTheme="majorBidi" w:eastAsia="Calibri" w:hAnsiTheme="majorBidi" w:cstheme="majorBidi"/>
          <w:bCs/>
          <w:sz w:val="20"/>
          <w:szCs w:val="20"/>
        </w:rPr>
        <w:instrText>ADDIN CSL_CITATION {"citationItems":[{"id":"ITEM-1","itemData":{"ISSN":"1542-3565","author":[{"dropping-particle":"","family":"Singh","given":"Siddharth","non-dropping-particle":"","parse-names":false,"suffix":""},{"dropping-particle":"","family":"Allen","given":"Alina M","non-dropping-particle":"","parse-names":false,"suffix":""},{"dropping-particle":"","family":"Wang","given":"Zhen","non-dropping-particle":"","parse-names":false,"suffix":""},{"dropping-particle":"","family":"Prokop","given":"Larry J","non-dropping-particle":"","parse-names":false,"suffix":""},{"dropping-particle":"","family":"Murad","given":"Mohammad H","non-dropping-particle":"","parse-names":false,"suffix":""},{"dropping-particle":"","family":"Loomba","given":"Rohit","non-dropping-particle":"","parse-names":false,"suffix":""}],"container-title":"Clinical gastroenterology and hepatology","id":"ITEM-1","issue":"4","issued":{"date-parts":[["2015"]]},"page":"643-654","publisher":"Elsevier","title":"Fibrosis progression in nonalcoholic fatty liver vs nonalcoholic steatohepatitis: a systematic review and meta-analysis of paired-biopsy studies","type":"article-journal","volume":"13"},"uris":["http://www.mendeley.com/documents/?uuid=e2b1c124-e724-4819-be5f-fd44de588d9a"]}],"mendeley":{"formattedCitation":"[4]","plainTextFormattedCitation":"[4]","previouslyFormattedCitation":"(Singh et al., 2015)"},"properties":{"noteIndex":0},"schema":"https://github.com/citation-style-language/schema/raw/master/csl-citation.json"}</w:instrText>
      </w:r>
      <w:r w:rsidRPr="00D95F4E">
        <w:rPr>
          <w:rFonts w:asciiTheme="majorBidi" w:eastAsia="Calibri" w:hAnsiTheme="majorBidi" w:cstheme="majorBidi"/>
          <w:bCs/>
          <w:sz w:val="20"/>
          <w:szCs w:val="20"/>
        </w:rPr>
        <w:fldChar w:fldCharType="separate"/>
      </w:r>
      <w:r w:rsidRPr="00D95F4E">
        <w:rPr>
          <w:rFonts w:asciiTheme="majorBidi" w:eastAsia="Calibri" w:hAnsiTheme="majorBidi" w:cstheme="majorBidi"/>
          <w:bCs/>
          <w:noProof/>
          <w:sz w:val="20"/>
          <w:szCs w:val="20"/>
        </w:rPr>
        <w:t>[</w:t>
      </w:r>
      <w:r w:rsidR="009851AA" w:rsidRPr="00D95F4E">
        <w:rPr>
          <w:rFonts w:asciiTheme="majorBidi" w:eastAsia="Calibri" w:hAnsiTheme="majorBidi" w:cstheme="majorBidi"/>
          <w:bCs/>
          <w:noProof/>
          <w:sz w:val="20"/>
          <w:szCs w:val="20"/>
        </w:rPr>
        <w:t>1</w:t>
      </w:r>
      <w:r w:rsidRPr="00D95F4E">
        <w:rPr>
          <w:rFonts w:asciiTheme="majorBidi" w:eastAsia="Calibri" w:hAnsiTheme="majorBidi" w:cstheme="majorBidi"/>
          <w:bCs/>
          <w:noProof/>
          <w:sz w:val="20"/>
          <w:szCs w:val="20"/>
        </w:rPr>
        <w:t>]</w:t>
      </w:r>
      <w:r w:rsidRPr="00D95F4E">
        <w:rPr>
          <w:rFonts w:asciiTheme="majorBidi" w:eastAsia="Calibri" w:hAnsiTheme="majorBidi" w:cstheme="majorBidi"/>
          <w:bCs/>
          <w:sz w:val="20"/>
          <w:szCs w:val="20"/>
        </w:rPr>
        <w:fldChar w:fldCharType="end"/>
      </w:r>
      <w:r w:rsidRPr="00D95F4E">
        <w:rPr>
          <w:rFonts w:asciiTheme="majorBidi" w:eastAsia="Calibri" w:hAnsiTheme="majorBidi" w:cstheme="majorBidi"/>
          <w:bCs/>
          <w:sz w:val="20"/>
          <w:szCs w:val="20"/>
        </w:rPr>
        <w:t xml:space="preserve"> conducted a meta-analysis to evaluate the annual progression rate of fibrosis and found 11 cohort studies enrolling 411 patients with documented liver biopsies grouped into 150 patients with evidence of NAFLD and 261 patients with evidence of NASH. The time interval between the first and the second biopsy was at least one year. A pooled-weighted annual fibrosis progression rate was calculated. Initially, the distribution of fibrosis for stages F0, F1, F2, F3 and F4 was 35.8%, 32.5%, 16.7 %, 9.3% and 5.7% respectively, and over 2145.5 person-years of follow-up evaluation, 33.6% had fibrosis progression, 43.1% had stable fibrosis, and 22.3% had an improvement in fibrosis stage. The annual fibrosis progression rate in patients with NAFL who had stage F0 fibrosis at baseline was 0.07 stages compared with 0.14 stages in patients with NASH.  These findings correspond to 1 stage of progression over 14.3 years for patients with NAFL and 7.1 years for patients with NASH. </w:t>
      </w:r>
    </w:p>
    <w:p w:rsidR="009A0078" w:rsidRPr="00D95F4E" w:rsidRDefault="009A0078" w:rsidP="00D95F4E">
      <w:pPr>
        <w:spacing w:after="0" w:line="250" w:lineRule="auto"/>
        <w:ind w:firstLine="360"/>
        <w:jc w:val="both"/>
        <w:rPr>
          <w:rFonts w:asciiTheme="majorBidi" w:eastAsia="Calibri" w:hAnsiTheme="majorBidi" w:cstheme="majorBidi"/>
          <w:bCs/>
          <w:sz w:val="20"/>
          <w:szCs w:val="20"/>
        </w:rPr>
      </w:pPr>
    </w:p>
    <w:p w:rsidR="009A0078" w:rsidRPr="00D95F4E" w:rsidRDefault="009A0078" w:rsidP="00A0726F">
      <w:pPr>
        <w:spacing w:after="0" w:line="250" w:lineRule="auto"/>
        <w:ind w:firstLine="360"/>
        <w:jc w:val="both"/>
        <w:rPr>
          <w:rFonts w:asciiTheme="majorBidi" w:eastAsia="Calibri" w:hAnsiTheme="majorBidi" w:cstheme="majorBidi"/>
          <w:sz w:val="20"/>
          <w:szCs w:val="20"/>
        </w:rPr>
      </w:pPr>
      <w:r w:rsidRPr="00D95F4E">
        <w:rPr>
          <w:rFonts w:asciiTheme="majorBidi" w:eastAsia="Calibri" w:hAnsiTheme="majorBidi" w:cstheme="majorBidi"/>
          <w:sz w:val="20"/>
          <w:szCs w:val="20"/>
        </w:rPr>
        <w:fldChar w:fldCharType="begin" w:fldLock="1"/>
      </w:r>
      <w:r w:rsidRPr="00D95F4E">
        <w:rPr>
          <w:rFonts w:asciiTheme="majorBidi" w:eastAsia="Calibri" w:hAnsiTheme="majorBidi" w:cstheme="majorBidi"/>
          <w:sz w:val="20"/>
          <w:szCs w:val="20"/>
        </w:rPr>
        <w:instrText>ADDIN CSL_CITATION {"citationItems":[{"id":"ITEM-1","itemData":{"ISSN":"0016-5085","author":[{"dropping-particle":"","family":"Ratziu","given":"Vlad","non-dropping-particle":"","parse-names":false,"suffix":""},{"dropping-particle":"","family":"Giral","given":"Philippe","non-dropping-particle":"","parse-names":false,"suffix":""},{"dropping-particle":"","family":"Charlotte","given":"Frederic","non-dropping-particle":"","parse-names":false,"suffix":""},{"dropping-particle":"","family":"Bruckert","given":"Eric","non-dropping-particle":"","parse-names":false,"suffix":""},{"dropping-particle":"","family":"Thibault","given":"Vincent","non-dropping-particle":"","parse-names":false,"suffix":""},{"dropping-particle":"","family":"Theodorou","given":"Ioannis","non-dropping-particle":"","parse-names":false,"suffix":""},{"dropping-particle":"","family":"Khalil","given":"Lina","non-dropping-particle":"","parse-names":false,"suffix":""},{"dropping-particle":"","family":"Turpin","given":"Gérard","non-dropping-particle":"","parse-names":false,"suffix":""},{"dropping-particle":"","family":"Opolon","given":"Pierre","non-dropping-particle":"","parse-names":false,"suffix":""},{"dropping-particle":"","family":"Poynard","given":"Thierry","non-dropping-particle":"","parse-names":false,"suffix":""}],"container-title":"Gastroenterology","id":"ITEM-1","issue":"6","issued":{"date-parts":[["2000"]]},"page":"1117-1123","publisher":"Elsevier","title":"Liver fibrosis in overweight patients","type":"article-journal","volume":"118"},"uris":["http://www.mendeley.com/documents/?uuid=793082eb-4df5-463d-8b66-6be455d4c670"]}],"mendeley":{"formattedCitation":"(Ratziu et al., 2000)","plainTextFormattedCitation":"(Ratziu et al., 2000)","previouslyFormattedCitation":"(Ratziu et al., 2000)"},"properties":{"noteIndex":0},"schema":"https://github.com/citation-style-language/schema/raw/master/csl-citation.json"}</w:instrText>
      </w:r>
      <w:r w:rsidRPr="00D95F4E">
        <w:rPr>
          <w:rFonts w:asciiTheme="majorBidi" w:eastAsia="Calibri" w:hAnsiTheme="majorBidi" w:cstheme="majorBidi"/>
          <w:sz w:val="20"/>
          <w:szCs w:val="20"/>
        </w:rPr>
        <w:fldChar w:fldCharType="separate"/>
      </w:r>
      <w:r w:rsidRPr="00D95F4E">
        <w:rPr>
          <w:rFonts w:asciiTheme="majorBidi" w:eastAsia="Calibri" w:hAnsiTheme="majorBidi" w:cstheme="majorBidi"/>
          <w:noProof/>
          <w:sz w:val="20"/>
          <w:szCs w:val="20"/>
        </w:rPr>
        <w:t xml:space="preserve">Ratziu </w:t>
      </w:r>
      <w:r w:rsidRPr="00D95F4E">
        <w:rPr>
          <w:rFonts w:asciiTheme="majorBidi" w:eastAsia="Calibri" w:hAnsiTheme="majorBidi" w:cstheme="majorBidi"/>
          <w:i/>
          <w:iCs/>
          <w:noProof/>
          <w:sz w:val="20"/>
          <w:szCs w:val="20"/>
        </w:rPr>
        <w:t>et al</w:t>
      </w:r>
      <w:r w:rsidR="00D95F4E" w:rsidRPr="00D95F4E">
        <w:rPr>
          <w:rFonts w:asciiTheme="majorBidi" w:eastAsia="Calibri" w:hAnsiTheme="majorBidi" w:cstheme="majorBidi"/>
          <w:noProof/>
          <w:sz w:val="20"/>
          <w:szCs w:val="20"/>
        </w:rPr>
        <w:t>.</w:t>
      </w:r>
      <w:r w:rsidRPr="00D95F4E">
        <w:rPr>
          <w:rFonts w:asciiTheme="majorBidi" w:eastAsia="Calibri" w:hAnsiTheme="majorBidi" w:cstheme="majorBidi"/>
          <w:sz w:val="20"/>
          <w:szCs w:val="20"/>
        </w:rPr>
        <w:fldChar w:fldCharType="end"/>
      </w:r>
      <w:r w:rsidRPr="00D95F4E">
        <w:rPr>
          <w:rFonts w:asciiTheme="majorBidi" w:eastAsia="Calibri" w:hAnsiTheme="majorBidi" w:cstheme="majorBidi"/>
          <w:sz w:val="20"/>
          <w:szCs w:val="20"/>
        </w:rPr>
        <w:fldChar w:fldCharType="begin" w:fldLock="1"/>
      </w:r>
      <w:r w:rsidRPr="00D95F4E">
        <w:rPr>
          <w:rFonts w:asciiTheme="majorBidi" w:eastAsia="Calibri" w:hAnsiTheme="majorBidi" w:cstheme="majorBidi"/>
          <w:sz w:val="20"/>
          <w:szCs w:val="20"/>
        </w:rPr>
        <w:instrText>ADDIN CSL_CITATION {"citationItems":[{"id":"ITEM-1","itemData":{"ISSN":"0016-5085","author":[{"dropping-particle":"","family":"Ratziu","given":"Vlad","non-dropping-particle":"","parse-names":false,"suffix":""},{"dropping-particle":"","family":"Giral","given":"Philippe","non-dropping-particle":"","parse-names":false,"suffix":""},{"dropping-particle":"","family":"Charlotte","given":"Frederic","non-dropping-particle":"","parse-names":false,"suffix":""},{"dropping-particle":"","family":"Bruckert","given":"Eric","non-dropping-particle":"","parse-names":false,"suffix":""},{"dropping-particle":"","family":"Thibault","given":"Vincent","non-dropping-particle":"","parse-names":false,"suffix":""},{"dropping-particle":"","family":"Theodorou","given":"Ioannis","non-dropping-particle":"","parse-names":false,"suffix":""},{"dropping-particle":"","family":"Khalil","given":"Lina","non-dropping-particle":"","parse-names":false,"suffix":""},{"dropping-particle":"","family":"Turpin","given":"Gérard","non-dropping-particle":"","parse-names":false,"suffix":""},{"dropping-particle":"","family":"Opolon","given":"Pierre","non-dropping-particle":"","parse-names":false,"suffix":""},{"dropping-particle":"","family":"Poynard","given":"Thierry","non-dropping-particle":"","parse-names":false,"suffix":""}],"container-title":"Gastroenterology","id":"ITEM-1","issue":"6","issued":{"date-parts":[["2000"]]},"page":"1117-1123","publisher":"Elsevier","title":"Liver fibrosis in overweight patients","type":"article-journal","volume":"118"},"uris":["http://www.mendeley.com/documents/?uuid=793082eb-4df5-463d-8b66-6be455d4c670"]}],"mendeley":{"formattedCitation":"[10]","plainTextFormattedCitation":"[10]","previouslyFormattedCitation":"(Ratziu et al., 2000)"},"properties":{"noteIndex":0},"schema":"https://github.com/citation-style-language/schema/raw/master/csl-citation.json"}</w:instrText>
      </w:r>
      <w:r w:rsidRPr="00D95F4E">
        <w:rPr>
          <w:rFonts w:asciiTheme="majorBidi" w:eastAsia="Calibri" w:hAnsiTheme="majorBidi" w:cstheme="majorBidi"/>
          <w:sz w:val="20"/>
          <w:szCs w:val="20"/>
        </w:rPr>
        <w:fldChar w:fldCharType="separate"/>
      </w:r>
      <w:r w:rsidRPr="00D95F4E">
        <w:rPr>
          <w:rFonts w:asciiTheme="majorBidi" w:eastAsia="Calibri" w:hAnsiTheme="majorBidi" w:cstheme="majorBidi"/>
          <w:noProof/>
          <w:sz w:val="20"/>
          <w:szCs w:val="20"/>
        </w:rPr>
        <w:t>[</w:t>
      </w:r>
      <w:r w:rsidR="009851AA" w:rsidRPr="00D95F4E">
        <w:rPr>
          <w:rFonts w:asciiTheme="majorBidi" w:eastAsia="Calibri" w:hAnsiTheme="majorBidi" w:cstheme="majorBidi"/>
          <w:noProof/>
          <w:sz w:val="20"/>
          <w:szCs w:val="20"/>
        </w:rPr>
        <w:t>2</w:t>
      </w:r>
      <w:r w:rsidRPr="00D95F4E">
        <w:rPr>
          <w:rFonts w:asciiTheme="majorBidi" w:eastAsia="Calibri" w:hAnsiTheme="majorBidi" w:cstheme="majorBidi"/>
          <w:noProof/>
          <w:sz w:val="20"/>
          <w:szCs w:val="20"/>
        </w:rPr>
        <w:t>]</w:t>
      </w:r>
      <w:r w:rsidRPr="00D95F4E">
        <w:rPr>
          <w:rFonts w:asciiTheme="majorBidi" w:eastAsia="Calibri" w:hAnsiTheme="majorBidi" w:cstheme="majorBidi"/>
          <w:sz w:val="20"/>
          <w:szCs w:val="20"/>
        </w:rPr>
        <w:fldChar w:fldCharType="end"/>
      </w:r>
      <w:r w:rsidRPr="00D95F4E">
        <w:rPr>
          <w:rFonts w:asciiTheme="majorBidi" w:eastAsia="Calibri" w:hAnsiTheme="majorBidi" w:cstheme="majorBidi"/>
          <w:sz w:val="20"/>
          <w:szCs w:val="20"/>
        </w:rPr>
        <w:t xml:space="preserve"> </w:t>
      </w:r>
      <w:proofErr w:type="gramStart"/>
      <w:r w:rsidRPr="00D95F4E">
        <w:rPr>
          <w:rFonts w:asciiTheme="majorBidi" w:eastAsia="Calibri" w:hAnsiTheme="majorBidi" w:cstheme="majorBidi"/>
          <w:sz w:val="20"/>
          <w:szCs w:val="20"/>
        </w:rPr>
        <w:t>conducted</w:t>
      </w:r>
      <w:proofErr w:type="gramEnd"/>
      <w:r w:rsidRPr="00D95F4E">
        <w:rPr>
          <w:rFonts w:asciiTheme="majorBidi" w:eastAsia="Calibri" w:hAnsiTheme="majorBidi" w:cstheme="majorBidi"/>
          <w:sz w:val="20"/>
          <w:szCs w:val="20"/>
        </w:rPr>
        <w:t xml:space="preserve"> a study on 93 patients with abnormal liver function tests and BMI</w:t>
      </w:r>
      <w:r w:rsidR="0018786B">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&gt; 25 kg/m</w:t>
      </w:r>
      <w:r w:rsidRPr="00D95F4E">
        <w:rPr>
          <w:rFonts w:asciiTheme="majorBidi" w:eastAsia="Calibri" w:hAnsiTheme="majorBidi" w:cstheme="majorBidi"/>
          <w:sz w:val="20"/>
          <w:szCs w:val="20"/>
          <w:vertAlign w:val="superscript"/>
        </w:rPr>
        <w:t>2</w:t>
      </w:r>
      <w:r w:rsidRPr="00D95F4E">
        <w:rPr>
          <w:rFonts w:asciiTheme="majorBidi" w:eastAsia="Calibri" w:hAnsiTheme="majorBidi" w:cstheme="majorBidi"/>
          <w:sz w:val="20"/>
          <w:szCs w:val="20"/>
        </w:rPr>
        <w:t xml:space="preserve"> . 34 patients had no fibrosis, 31 had F1 fibrosis (portal tracts) and 28 had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(F2-F4). 20 patients had &lt; 10% </w:t>
      </w:r>
      <w:proofErr w:type="spellStart"/>
      <w:r w:rsidRPr="00D95F4E">
        <w:rPr>
          <w:rFonts w:asciiTheme="majorBidi" w:eastAsia="Calibri" w:hAnsiTheme="majorBidi" w:cstheme="majorBidi"/>
          <w:sz w:val="20"/>
          <w:szCs w:val="20"/>
        </w:rPr>
        <w:t>steatotic</w:t>
      </w:r>
      <w:proofErr w:type="spellEnd"/>
      <w:r w:rsidRPr="00D95F4E">
        <w:rPr>
          <w:rFonts w:asciiTheme="majorBidi" w:eastAsia="Calibri" w:hAnsiTheme="majorBidi" w:cstheme="majorBidi"/>
          <w:sz w:val="20"/>
          <w:szCs w:val="20"/>
        </w:rPr>
        <w:t xml:space="preserve"> hepatocytes and 48 patients had ≥ 40 % </w:t>
      </w:r>
      <w:proofErr w:type="spellStart"/>
      <w:r w:rsidRPr="00D95F4E">
        <w:rPr>
          <w:rFonts w:asciiTheme="majorBidi" w:eastAsia="Calibri" w:hAnsiTheme="majorBidi" w:cstheme="majorBidi"/>
          <w:sz w:val="20"/>
          <w:szCs w:val="20"/>
        </w:rPr>
        <w:t>steatotic</w:t>
      </w:r>
      <w:proofErr w:type="spellEnd"/>
      <w:r w:rsidRPr="00D95F4E">
        <w:rPr>
          <w:rFonts w:asciiTheme="majorBidi" w:eastAsia="Calibri" w:hAnsiTheme="majorBidi" w:cstheme="majorBidi"/>
          <w:sz w:val="20"/>
          <w:szCs w:val="20"/>
        </w:rPr>
        <w:t xml:space="preserve"> hepatocytes. Of the 28 patients with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all except 1 had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w:t>
      </w:r>
      <w:proofErr w:type="gramStart"/>
      <w:r w:rsidRPr="00D95F4E">
        <w:rPr>
          <w:rFonts w:asciiTheme="majorBidi" w:eastAsia="Calibri" w:hAnsiTheme="majorBidi" w:cstheme="majorBidi"/>
          <w:sz w:val="20"/>
          <w:szCs w:val="20"/>
        </w:rPr>
        <w:t>were</w:t>
      </w:r>
      <w:proofErr w:type="gramEnd"/>
      <w:r w:rsidRPr="00D95F4E">
        <w:rPr>
          <w:rFonts w:asciiTheme="majorBidi" w:eastAsia="Calibri" w:hAnsiTheme="majorBidi" w:cstheme="majorBidi"/>
          <w:sz w:val="20"/>
          <w:szCs w:val="20"/>
        </w:rPr>
        <w:t xml:space="preserve"> present in all except 2 and massive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were present in 20 patients. The 31 patients with F1 fibrosis, 12 had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while 3 patients had this F1 as isolated finding with no other histological findings. The 34 patients with F0, 10 patients has no other findings ( i.e. normal liver biopsy), 15 patients showed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alone, 9 patients showed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with </w:t>
      </w:r>
      <w:proofErr w:type="spellStart"/>
      <w:r w:rsidRPr="00D95F4E">
        <w:rPr>
          <w:rFonts w:asciiTheme="majorBidi" w:eastAsia="Calibri" w:hAnsiTheme="majorBidi" w:cstheme="majorBidi"/>
          <w:sz w:val="20"/>
          <w:szCs w:val="20"/>
        </w:rPr>
        <w:t>necroinflammation</w:t>
      </w:r>
      <w:proofErr w:type="spellEnd"/>
      <w:r w:rsidRPr="00D95F4E">
        <w:rPr>
          <w:rFonts w:asciiTheme="majorBidi" w:eastAsia="Calibri" w:hAnsiTheme="majorBidi" w:cstheme="majorBidi"/>
          <w:sz w:val="20"/>
          <w:szCs w:val="20"/>
        </w:rPr>
        <w:t xml:space="preserve"> without fibrosis. That is to say</w:t>
      </w:r>
      <w:r w:rsidR="0018786B">
        <w:rPr>
          <w:rFonts w:asciiTheme="majorBidi" w:eastAsia="Calibri" w:hAnsiTheme="majorBidi" w:cstheme="majorBidi"/>
          <w:sz w:val="20"/>
          <w:szCs w:val="20"/>
        </w:rPr>
        <w:t>,</w:t>
      </w:r>
      <w:r w:rsidRPr="00D95F4E">
        <w:rPr>
          <w:rFonts w:asciiTheme="majorBidi" w:eastAsia="Calibri" w:hAnsiTheme="majorBidi" w:cstheme="majorBidi"/>
          <w:sz w:val="20"/>
          <w:szCs w:val="20"/>
        </w:rPr>
        <w:t xml:space="preserve"> 30% of patients who are overweight and with abnormal liver function tests had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(F2-F4) and 11% had cirrhosis (F4). Grouping the variables into 2 groups revealed that the variables associated with high significant correlation with this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were: age ≥</w:t>
      </w:r>
      <w:r w:rsidR="0018786B">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50 year, BM</w:t>
      </w:r>
      <w:r w:rsidR="0018786B">
        <w:rPr>
          <w:rFonts w:asciiTheme="majorBidi" w:eastAsia="Calibri" w:hAnsiTheme="majorBidi" w:cstheme="majorBidi"/>
          <w:sz w:val="20"/>
          <w:szCs w:val="20"/>
        </w:rPr>
        <w:t xml:space="preserve">I </w:t>
      </w:r>
      <w:r w:rsidRPr="00D95F4E">
        <w:rPr>
          <w:rFonts w:asciiTheme="majorBidi" w:eastAsia="Calibri" w:hAnsiTheme="majorBidi" w:cstheme="majorBidi"/>
          <w:sz w:val="20"/>
          <w:szCs w:val="20"/>
        </w:rPr>
        <w:t>≥</w:t>
      </w:r>
      <w:r w:rsidR="0018786B">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 xml:space="preserve">28, presence of diabetes, serum triglyceride levels ≥ 1.7 </w:t>
      </w:r>
      <w:proofErr w:type="spellStart"/>
      <w:r w:rsidRPr="00D95F4E">
        <w:rPr>
          <w:rFonts w:asciiTheme="majorBidi" w:eastAsia="Calibri" w:hAnsiTheme="majorBidi" w:cstheme="majorBidi"/>
          <w:sz w:val="20"/>
          <w:szCs w:val="20"/>
        </w:rPr>
        <w:t>mmol</w:t>
      </w:r>
      <w:proofErr w:type="spellEnd"/>
      <w:r w:rsidRPr="00D95F4E">
        <w:rPr>
          <w:rFonts w:asciiTheme="majorBidi" w:eastAsia="Calibri" w:hAnsiTheme="majorBidi" w:cstheme="majorBidi"/>
          <w:sz w:val="20"/>
          <w:szCs w:val="20"/>
        </w:rPr>
        <w:t>/</w:t>
      </w:r>
      <w:proofErr w:type="spellStart"/>
      <w:r w:rsidRPr="00D95F4E">
        <w:rPr>
          <w:rFonts w:asciiTheme="majorBidi" w:eastAsia="Calibri" w:hAnsiTheme="majorBidi" w:cstheme="majorBidi"/>
          <w:sz w:val="20"/>
          <w:szCs w:val="20"/>
        </w:rPr>
        <w:t>dL</w:t>
      </w:r>
      <w:proofErr w:type="spellEnd"/>
      <w:r w:rsidRPr="00D95F4E">
        <w:rPr>
          <w:rFonts w:asciiTheme="majorBidi" w:eastAsia="Calibri" w:hAnsiTheme="majorBidi" w:cstheme="majorBidi"/>
          <w:sz w:val="20"/>
          <w:szCs w:val="20"/>
        </w:rPr>
        <w:t>, GGT enzyme</w:t>
      </w:r>
      <w:r w:rsidR="0018786B">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w:t>
      </w:r>
      <w:r w:rsidR="0018786B">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 xml:space="preserve">4 times upper level of normal, presence of </w:t>
      </w:r>
      <w:proofErr w:type="spellStart"/>
      <w:r w:rsidRPr="00D95F4E">
        <w:rPr>
          <w:rFonts w:asciiTheme="majorBidi" w:eastAsia="Calibri" w:hAnsiTheme="majorBidi" w:cstheme="majorBidi"/>
          <w:sz w:val="20"/>
          <w:szCs w:val="20"/>
        </w:rPr>
        <w:t>necroinflammation</w:t>
      </w:r>
      <w:proofErr w:type="spellEnd"/>
      <w:r w:rsidRPr="00D95F4E">
        <w:rPr>
          <w:rFonts w:asciiTheme="majorBidi" w:eastAsia="Calibri" w:hAnsiTheme="majorBidi" w:cstheme="majorBidi"/>
          <w:sz w:val="20"/>
          <w:szCs w:val="20"/>
        </w:rPr>
        <w:t xml:space="preserve"> on biopsy whether piecemeal or lobular necrosis, and massive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Whereas, using step-by-step logistic regression for the variables revealed that the only significant and correlated variables with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at time of doing the biopsy were age ≥</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50 year, BMI</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28, serum triglyceride levels ≥ 1.7, and ALT</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 xml:space="preserve">2 times upper time of normal explaining 30% of variability of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The significant variables found in the biopsy findings and correlated with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were only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but the massive </w:t>
      </w:r>
      <w:proofErr w:type="spellStart"/>
      <w:r w:rsidRPr="00D95F4E">
        <w:rPr>
          <w:rFonts w:asciiTheme="majorBidi" w:eastAsia="Calibri" w:hAnsiTheme="majorBidi" w:cstheme="majorBidi"/>
          <w:sz w:val="20"/>
          <w:szCs w:val="20"/>
        </w:rPr>
        <w:t>steatosis</w:t>
      </w:r>
      <w:proofErr w:type="spellEnd"/>
      <w:r w:rsidRPr="00D95F4E">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lastRenderedPageBreak/>
        <w:t xml:space="preserve">Mallory bodies and/or </w:t>
      </w:r>
      <w:proofErr w:type="spellStart"/>
      <w:r w:rsidRPr="00D95F4E">
        <w:rPr>
          <w:rFonts w:asciiTheme="majorBidi" w:eastAsia="Calibri" w:hAnsiTheme="majorBidi" w:cstheme="majorBidi"/>
          <w:sz w:val="20"/>
          <w:szCs w:val="20"/>
        </w:rPr>
        <w:t>polymorphnuclear</w:t>
      </w:r>
      <w:proofErr w:type="spellEnd"/>
      <w:r w:rsidRPr="00D95F4E">
        <w:rPr>
          <w:rFonts w:asciiTheme="majorBidi" w:eastAsia="Calibri" w:hAnsiTheme="majorBidi" w:cstheme="majorBidi"/>
          <w:sz w:val="20"/>
          <w:szCs w:val="20"/>
        </w:rPr>
        <w:t xml:space="preserve"> infiltrate, and total iron score&gt; 3 were not statistically significant. Doing the step-by-step logistic regression combining the 4 continuous variables and the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the only variables with statistical significance were the age ≥</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50 year, BMI</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 xml:space="preserve">28, and the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explaining 35% of variability of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w:t>
      </w:r>
      <w:proofErr w:type="spellStart"/>
      <w:r w:rsidRPr="00D95F4E">
        <w:rPr>
          <w:rFonts w:asciiTheme="majorBidi" w:eastAsia="Calibri" w:hAnsiTheme="majorBidi" w:cstheme="majorBidi"/>
          <w:sz w:val="20"/>
          <w:szCs w:val="20"/>
        </w:rPr>
        <w:t>Ratziu</w:t>
      </w:r>
      <w:proofErr w:type="spellEnd"/>
      <w:r w:rsidRPr="00D95F4E">
        <w:rPr>
          <w:rFonts w:asciiTheme="majorBidi" w:eastAsia="Calibri" w:hAnsiTheme="majorBidi" w:cstheme="majorBidi"/>
          <w:sz w:val="20"/>
          <w:szCs w:val="20"/>
        </w:rPr>
        <w:t xml:space="preserve"> </w:t>
      </w:r>
      <w:r w:rsidRPr="00A0726F">
        <w:rPr>
          <w:rFonts w:asciiTheme="majorBidi" w:eastAsia="Calibri" w:hAnsiTheme="majorBidi" w:cstheme="majorBidi"/>
          <w:i/>
          <w:iCs/>
          <w:sz w:val="20"/>
          <w:szCs w:val="20"/>
        </w:rPr>
        <w:t>et al.</w:t>
      </w:r>
      <w:r w:rsidRPr="00D95F4E">
        <w:rPr>
          <w:rFonts w:asciiTheme="majorBidi" w:eastAsia="Calibri" w:hAnsiTheme="majorBidi" w:cstheme="majorBidi"/>
          <w:sz w:val="20"/>
          <w:szCs w:val="20"/>
        </w:rPr>
        <w:t xml:space="preserve"> </w:t>
      </w:r>
      <w:r w:rsidR="00A0726F">
        <w:rPr>
          <w:rFonts w:asciiTheme="majorBidi" w:eastAsia="Calibri" w:hAnsiTheme="majorBidi" w:cstheme="majorBidi"/>
          <w:sz w:val="20"/>
          <w:szCs w:val="20"/>
        </w:rPr>
        <w:t>[2]</w:t>
      </w:r>
      <w:r w:rsidRPr="00D95F4E">
        <w:rPr>
          <w:rFonts w:asciiTheme="majorBidi" w:eastAsia="Calibri" w:hAnsiTheme="majorBidi" w:cstheme="majorBidi"/>
          <w:sz w:val="20"/>
          <w:szCs w:val="20"/>
        </w:rPr>
        <w:t xml:space="preserve"> designed a BAAT score which is the sum of the 4 categorical variables:  BMI (≥</w:t>
      </w:r>
      <w:r w:rsidR="00D95F4E">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28</w:t>
      </w:r>
      <w:r w:rsidR="00D95F4E">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=1, &lt;</w:t>
      </w:r>
      <w:r w:rsidR="00D95F4E">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28</w:t>
      </w:r>
      <w:r w:rsidR="00D95F4E">
        <w:rPr>
          <w:rFonts w:asciiTheme="majorBidi" w:eastAsia="Calibri" w:hAnsiTheme="majorBidi" w:cstheme="majorBidi"/>
          <w:sz w:val="20"/>
          <w:szCs w:val="20"/>
        </w:rPr>
        <w:t xml:space="preserve"> </w:t>
      </w:r>
      <w:r w:rsidR="00A0726F">
        <w:rPr>
          <w:rFonts w:asciiTheme="majorBidi" w:eastAsia="Calibri" w:hAnsiTheme="majorBidi" w:cstheme="majorBidi"/>
          <w:sz w:val="20"/>
          <w:szCs w:val="20"/>
        </w:rPr>
        <w:t xml:space="preserve">=0), age at liver </w:t>
      </w:r>
      <w:proofErr w:type="gramStart"/>
      <w:r w:rsidR="00A0726F">
        <w:rPr>
          <w:rFonts w:asciiTheme="majorBidi" w:eastAsia="Calibri" w:hAnsiTheme="majorBidi" w:cstheme="majorBidi"/>
          <w:sz w:val="20"/>
          <w:szCs w:val="20"/>
        </w:rPr>
        <w:t>biopsy(</w:t>
      </w:r>
      <w:proofErr w:type="gramEnd"/>
      <w:r w:rsidRPr="00D95F4E">
        <w:rPr>
          <w:rFonts w:asciiTheme="majorBidi" w:eastAsia="Calibri" w:hAnsiTheme="majorBidi" w:cstheme="majorBidi"/>
          <w:sz w:val="20"/>
          <w:szCs w:val="20"/>
        </w:rPr>
        <w:t>≥50=1,&lt;50=0),</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ALT(≥2N=1,</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 xml:space="preserve">&lt;2N=0), serum triglyceride(≥1.7 </w:t>
      </w:r>
      <w:proofErr w:type="spellStart"/>
      <w:r w:rsidRPr="00D95F4E">
        <w:rPr>
          <w:rFonts w:asciiTheme="majorBidi" w:eastAsia="Calibri" w:hAnsiTheme="majorBidi" w:cstheme="majorBidi"/>
          <w:sz w:val="20"/>
          <w:szCs w:val="20"/>
        </w:rPr>
        <w:t>mmol</w:t>
      </w:r>
      <w:proofErr w:type="spellEnd"/>
      <w:r w:rsidRPr="00D95F4E">
        <w:rPr>
          <w:rFonts w:asciiTheme="majorBidi" w:eastAsia="Calibri" w:hAnsiTheme="majorBidi" w:cstheme="majorBidi"/>
          <w:sz w:val="20"/>
          <w:szCs w:val="20"/>
        </w:rPr>
        <w:t>/</w:t>
      </w:r>
      <w:proofErr w:type="spellStart"/>
      <w:r w:rsidRPr="00D95F4E">
        <w:rPr>
          <w:rFonts w:asciiTheme="majorBidi" w:eastAsia="Calibri" w:hAnsiTheme="majorBidi" w:cstheme="majorBidi"/>
          <w:sz w:val="20"/>
          <w:szCs w:val="20"/>
        </w:rPr>
        <w:t>dL</w:t>
      </w:r>
      <w:proofErr w:type="spellEnd"/>
      <w:r w:rsidRPr="00D95F4E">
        <w:rPr>
          <w:rFonts w:asciiTheme="majorBidi" w:eastAsia="Calibri" w:hAnsiTheme="majorBidi" w:cstheme="majorBidi"/>
          <w:sz w:val="20"/>
          <w:szCs w:val="20"/>
        </w:rPr>
        <w:t xml:space="preserve">=1, &lt;1.7=0) to predict the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BAAT score of 0 or 1 was present in 30%</w:t>
      </w:r>
      <w:proofErr w:type="gramStart"/>
      <w:r w:rsidRPr="00D95F4E">
        <w:rPr>
          <w:rFonts w:asciiTheme="majorBidi" w:eastAsia="Calibri" w:hAnsiTheme="majorBidi" w:cstheme="majorBidi"/>
          <w:sz w:val="20"/>
          <w:szCs w:val="20"/>
        </w:rPr>
        <w:t>,</w:t>
      </w:r>
      <w:proofErr w:type="gramEnd"/>
      <w:r w:rsidRPr="00D95F4E">
        <w:rPr>
          <w:rFonts w:asciiTheme="majorBidi" w:eastAsia="Calibri" w:hAnsiTheme="majorBidi" w:cstheme="majorBidi"/>
          <w:sz w:val="20"/>
          <w:szCs w:val="20"/>
        </w:rPr>
        <w:t xml:space="preserve"> all of them had no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BAAT score of 4 was present in 4 patients; all of them had </w:t>
      </w:r>
      <w:proofErr w:type="spellStart"/>
      <w:r w:rsidRPr="00D95F4E">
        <w:rPr>
          <w:rFonts w:asciiTheme="majorBidi" w:eastAsia="Calibri" w:hAnsiTheme="majorBidi" w:cstheme="majorBidi"/>
          <w:sz w:val="20"/>
          <w:szCs w:val="20"/>
        </w:rPr>
        <w:t>septal</w:t>
      </w:r>
      <w:proofErr w:type="spellEnd"/>
      <w:r w:rsidRPr="00D95F4E">
        <w:rPr>
          <w:rFonts w:asciiTheme="majorBidi" w:eastAsia="Calibri" w:hAnsiTheme="majorBidi" w:cstheme="majorBidi"/>
          <w:sz w:val="20"/>
          <w:szCs w:val="20"/>
        </w:rPr>
        <w:t xml:space="preserve"> fibrosis. The 0 or 1 score had 100% sensitivity, 47% specificity, 45% positive predictive value, and 100% negative predictive value. The 4 score had 14% sensitivity, 100% specificity, 100% positive predictive value, and 73% negative predictive value. The second liver biopsy was performed in 14 patients with a median follow up period of 5 years (range=1.5-15years) to figure out possible fibrosis progression. They had F0 (4 patients) and F1 (10 patients) at initial liver biopsy. All were still over weight with BMI</w:t>
      </w:r>
      <w:r w:rsidR="00A0726F">
        <w:rPr>
          <w:rFonts w:asciiTheme="majorBidi" w:eastAsia="Calibri" w:hAnsiTheme="majorBidi" w:cstheme="majorBidi"/>
          <w:sz w:val="20"/>
          <w:szCs w:val="20"/>
        </w:rPr>
        <w:t xml:space="preserve"> </w:t>
      </w:r>
      <w:r w:rsidRPr="00D95F4E">
        <w:rPr>
          <w:rFonts w:asciiTheme="majorBidi" w:eastAsia="Calibri" w:hAnsiTheme="majorBidi" w:cstheme="majorBidi"/>
          <w:sz w:val="20"/>
          <w:szCs w:val="20"/>
        </w:rPr>
        <w:t>≥</w:t>
      </w:r>
      <w:r w:rsidR="00A0726F">
        <w:rPr>
          <w:rFonts w:asciiTheme="majorBidi" w:eastAsia="Calibri" w:hAnsiTheme="majorBidi" w:cstheme="majorBidi"/>
          <w:sz w:val="20"/>
          <w:szCs w:val="20"/>
        </w:rPr>
        <w:t xml:space="preserve"> </w:t>
      </w:r>
      <w:bookmarkStart w:id="0" w:name="_GoBack"/>
      <w:bookmarkEnd w:id="0"/>
      <w:r w:rsidRPr="00D95F4E">
        <w:rPr>
          <w:rFonts w:asciiTheme="majorBidi" w:eastAsia="Calibri" w:hAnsiTheme="majorBidi" w:cstheme="majorBidi"/>
          <w:sz w:val="20"/>
          <w:szCs w:val="20"/>
        </w:rPr>
        <w:t xml:space="preserve">25 and all had abnormal liver function tests at the time of second liver biopsy. Four patients with initially F0 and no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remained stable in F0 with no activity at the follow up biopsies. Another 4 patients with initially F1 and no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regressed to F0 with no activity at the follow up biopsies. Two patients with initially F1 and no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remained stable in F1 with no activity at the follow up biopsies. Another two patients with initially F1 and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remained stable in F1 with activity at the follow up biopsies. One patient with initially F1 and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progressed to F2 with activity at the 5.5 year follow up </w:t>
      </w:r>
      <w:proofErr w:type="spellStart"/>
      <w:r w:rsidRPr="00D95F4E">
        <w:rPr>
          <w:rFonts w:asciiTheme="majorBidi" w:eastAsia="Calibri" w:hAnsiTheme="majorBidi" w:cstheme="majorBidi"/>
          <w:sz w:val="20"/>
          <w:szCs w:val="20"/>
        </w:rPr>
        <w:t>biospy</w:t>
      </w:r>
      <w:proofErr w:type="spellEnd"/>
      <w:r w:rsidRPr="00D95F4E">
        <w:rPr>
          <w:rFonts w:asciiTheme="majorBidi" w:eastAsia="Calibri" w:hAnsiTheme="majorBidi" w:cstheme="majorBidi"/>
          <w:sz w:val="20"/>
          <w:szCs w:val="20"/>
        </w:rPr>
        <w:t xml:space="preserve">. Another one patient with initially F1 and </w:t>
      </w:r>
      <w:proofErr w:type="spellStart"/>
      <w:r w:rsidRPr="00D95F4E">
        <w:rPr>
          <w:rFonts w:asciiTheme="majorBidi" w:eastAsia="Calibri" w:hAnsiTheme="majorBidi" w:cstheme="majorBidi"/>
          <w:sz w:val="20"/>
          <w:szCs w:val="20"/>
        </w:rPr>
        <w:t>necroinflammatory</w:t>
      </w:r>
      <w:proofErr w:type="spellEnd"/>
      <w:r w:rsidRPr="00D95F4E">
        <w:rPr>
          <w:rFonts w:asciiTheme="majorBidi" w:eastAsia="Calibri" w:hAnsiTheme="majorBidi" w:cstheme="majorBidi"/>
          <w:sz w:val="20"/>
          <w:szCs w:val="20"/>
        </w:rPr>
        <w:t xml:space="preserve"> activity progressed to F4 with activity at the 5 year follow up biopsy.</w:t>
      </w:r>
    </w:p>
    <w:p w:rsidR="009A0078" w:rsidRPr="00D95F4E" w:rsidRDefault="009A0078" w:rsidP="00D95F4E">
      <w:pPr>
        <w:spacing w:after="0" w:line="250" w:lineRule="auto"/>
        <w:ind w:firstLine="360"/>
        <w:jc w:val="both"/>
        <w:rPr>
          <w:rFonts w:asciiTheme="majorBidi" w:hAnsiTheme="majorBidi" w:cstheme="majorBidi"/>
          <w:sz w:val="20"/>
          <w:szCs w:val="20"/>
        </w:rPr>
      </w:pPr>
    </w:p>
    <w:p w:rsidR="009851AA" w:rsidRPr="00D95F4E" w:rsidRDefault="009851AA" w:rsidP="00D95F4E">
      <w:pPr>
        <w:spacing w:after="0" w:line="250" w:lineRule="auto"/>
        <w:jc w:val="both"/>
        <w:rPr>
          <w:rFonts w:asciiTheme="majorBidi" w:hAnsiTheme="majorBidi" w:cstheme="majorBidi"/>
          <w:sz w:val="20"/>
          <w:szCs w:val="20"/>
        </w:rPr>
      </w:pPr>
      <w:r w:rsidRPr="00D95F4E">
        <w:rPr>
          <w:rFonts w:asciiTheme="majorBidi" w:hAnsiTheme="majorBidi" w:cstheme="majorBidi"/>
          <w:sz w:val="20"/>
          <w:szCs w:val="20"/>
        </w:rPr>
        <w:t xml:space="preserve">References </w:t>
      </w:r>
    </w:p>
    <w:p w:rsidR="009851AA" w:rsidRPr="00D95F4E" w:rsidRDefault="009851AA" w:rsidP="00D95F4E">
      <w:pPr>
        <w:widowControl w:val="0"/>
        <w:autoSpaceDE w:val="0"/>
        <w:autoSpaceDN w:val="0"/>
        <w:adjustRightInd w:val="0"/>
        <w:spacing w:after="0" w:line="250" w:lineRule="auto"/>
        <w:ind w:left="720" w:hanging="720"/>
        <w:jc w:val="both"/>
        <w:rPr>
          <w:rFonts w:asciiTheme="majorBidi" w:hAnsiTheme="majorBidi" w:cstheme="majorBidi"/>
          <w:noProof/>
          <w:sz w:val="20"/>
          <w:szCs w:val="20"/>
        </w:rPr>
      </w:pPr>
      <w:r w:rsidRPr="00D95F4E">
        <w:rPr>
          <w:rFonts w:asciiTheme="majorBidi" w:hAnsiTheme="majorBidi" w:cstheme="majorBidi"/>
          <w:noProof/>
          <w:sz w:val="20"/>
          <w:szCs w:val="20"/>
        </w:rPr>
        <w:t>[1]</w:t>
      </w:r>
      <w:r w:rsidRPr="00D95F4E">
        <w:rPr>
          <w:rFonts w:asciiTheme="majorBidi" w:hAnsiTheme="majorBidi" w:cstheme="majorBidi"/>
          <w:noProof/>
          <w:sz w:val="20"/>
          <w:szCs w:val="20"/>
        </w:rPr>
        <w:tab/>
        <w:t xml:space="preserve">S. Singh, A. M. Allen, Z. Wang, L. J. Prokop, M. H. Murad, and R. Loomba, “Fibrosis progression in nonalcoholic fatty liver vs nonalcoholic steatohepatitis: a systematic review and meta-analysis of paired-biopsy studies,” </w:t>
      </w:r>
      <w:r w:rsidRPr="00D95F4E">
        <w:rPr>
          <w:rFonts w:asciiTheme="majorBidi" w:hAnsiTheme="majorBidi" w:cstheme="majorBidi"/>
          <w:i/>
          <w:iCs/>
          <w:noProof/>
          <w:sz w:val="20"/>
          <w:szCs w:val="20"/>
        </w:rPr>
        <w:t>Clin. Gastroenterol. Hepatol.</w:t>
      </w:r>
      <w:r w:rsidRPr="00D95F4E">
        <w:rPr>
          <w:rFonts w:asciiTheme="majorBidi" w:hAnsiTheme="majorBidi" w:cstheme="majorBidi"/>
          <w:noProof/>
          <w:sz w:val="20"/>
          <w:szCs w:val="20"/>
        </w:rPr>
        <w:t>, vol. 13, no. 4, pp. 643–654, 2015.</w:t>
      </w:r>
    </w:p>
    <w:p w:rsidR="009851AA" w:rsidRPr="00D95F4E" w:rsidRDefault="009851AA" w:rsidP="00D95F4E">
      <w:pPr>
        <w:widowControl w:val="0"/>
        <w:autoSpaceDE w:val="0"/>
        <w:autoSpaceDN w:val="0"/>
        <w:adjustRightInd w:val="0"/>
        <w:spacing w:after="0" w:line="250" w:lineRule="auto"/>
        <w:ind w:left="720" w:hanging="720"/>
        <w:jc w:val="both"/>
        <w:rPr>
          <w:rFonts w:asciiTheme="majorBidi" w:eastAsia="Calibri" w:hAnsiTheme="majorBidi" w:cstheme="majorBidi"/>
          <w:noProof/>
          <w:sz w:val="20"/>
          <w:szCs w:val="20"/>
        </w:rPr>
      </w:pPr>
      <w:r w:rsidRPr="00D95F4E">
        <w:rPr>
          <w:rFonts w:asciiTheme="majorBidi" w:eastAsia="Calibri" w:hAnsiTheme="majorBidi" w:cstheme="majorBidi"/>
          <w:noProof/>
          <w:sz w:val="20"/>
          <w:szCs w:val="20"/>
        </w:rPr>
        <w:t xml:space="preserve"> [2]</w:t>
      </w:r>
      <w:r w:rsidRPr="00D95F4E">
        <w:rPr>
          <w:rFonts w:asciiTheme="majorBidi" w:eastAsia="Calibri" w:hAnsiTheme="majorBidi" w:cstheme="majorBidi"/>
          <w:noProof/>
          <w:sz w:val="20"/>
          <w:szCs w:val="20"/>
        </w:rPr>
        <w:tab/>
        <w:t xml:space="preserve">V. Ratziu </w:t>
      </w:r>
      <w:r w:rsidRPr="00D95F4E">
        <w:rPr>
          <w:rFonts w:asciiTheme="majorBidi" w:eastAsia="Calibri" w:hAnsiTheme="majorBidi" w:cstheme="majorBidi"/>
          <w:i/>
          <w:iCs/>
          <w:noProof/>
          <w:sz w:val="20"/>
          <w:szCs w:val="20"/>
        </w:rPr>
        <w:t>et al.</w:t>
      </w:r>
      <w:r w:rsidRPr="00D95F4E">
        <w:rPr>
          <w:rFonts w:asciiTheme="majorBidi" w:eastAsia="Calibri" w:hAnsiTheme="majorBidi" w:cstheme="majorBidi"/>
          <w:noProof/>
          <w:sz w:val="20"/>
          <w:szCs w:val="20"/>
        </w:rPr>
        <w:t xml:space="preserve">, “Liver fibrosis in overweight patients,” </w:t>
      </w:r>
      <w:r w:rsidRPr="00D95F4E">
        <w:rPr>
          <w:rFonts w:asciiTheme="majorBidi" w:eastAsia="Calibri" w:hAnsiTheme="majorBidi" w:cstheme="majorBidi"/>
          <w:i/>
          <w:iCs/>
          <w:noProof/>
          <w:sz w:val="20"/>
          <w:szCs w:val="20"/>
        </w:rPr>
        <w:t>Gastroenterology</w:t>
      </w:r>
      <w:r w:rsidRPr="00D95F4E">
        <w:rPr>
          <w:rFonts w:asciiTheme="majorBidi" w:eastAsia="Calibri" w:hAnsiTheme="majorBidi" w:cstheme="majorBidi"/>
          <w:noProof/>
          <w:sz w:val="20"/>
          <w:szCs w:val="20"/>
        </w:rPr>
        <w:t>, vol. 118, no. 6, pp. 1117–1123, 2000.</w:t>
      </w:r>
    </w:p>
    <w:p w:rsidR="00D95F4E" w:rsidRDefault="00D95F4E">
      <w:pPr>
        <w:sectPr w:rsidR="00D95F4E" w:rsidSect="00D95F4E">
          <w:type w:val="continuous"/>
          <w:pgSz w:w="11520" w:h="15667" w:code="1"/>
          <w:pgMar w:top="346" w:right="634" w:bottom="274" w:left="619" w:header="0" w:footer="0" w:gutter="0"/>
          <w:cols w:num="2" w:space="720"/>
          <w:docGrid w:linePitch="360"/>
        </w:sectPr>
      </w:pPr>
    </w:p>
    <w:p w:rsidR="009851AA" w:rsidRDefault="009851AA"/>
    <w:sectPr w:rsidR="009851AA" w:rsidSect="00D95F4E">
      <w:type w:val="continuous"/>
      <w:pgSz w:w="11520" w:h="15667" w:code="1"/>
      <w:pgMar w:top="346" w:right="634" w:bottom="274" w:left="61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25" w:rsidRDefault="00602F25" w:rsidP="009A0078">
      <w:pPr>
        <w:spacing w:after="0" w:line="240" w:lineRule="auto"/>
      </w:pPr>
      <w:r>
        <w:separator/>
      </w:r>
    </w:p>
  </w:endnote>
  <w:endnote w:type="continuationSeparator" w:id="0">
    <w:p w:rsidR="00602F25" w:rsidRDefault="00602F25" w:rsidP="009A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34482"/>
      <w:docPartObj>
        <w:docPartGallery w:val="Page Numbers (Bottom of Page)"/>
        <w:docPartUnique/>
      </w:docPartObj>
    </w:sdtPr>
    <w:sdtEndPr>
      <w:rPr>
        <w:noProof/>
      </w:rPr>
    </w:sdtEndPr>
    <w:sdtContent>
      <w:p w:rsidR="009A0078" w:rsidRDefault="009A0078">
        <w:pPr>
          <w:pStyle w:val="Footer"/>
          <w:jc w:val="center"/>
        </w:pPr>
        <w:r>
          <w:fldChar w:fldCharType="begin"/>
        </w:r>
        <w:r>
          <w:instrText xml:space="preserve"> PAGE   \* MERGEFORMAT </w:instrText>
        </w:r>
        <w:r>
          <w:fldChar w:fldCharType="separate"/>
        </w:r>
        <w:r w:rsidR="00111401">
          <w:rPr>
            <w:noProof/>
          </w:rPr>
          <w:t>1</w:t>
        </w:r>
        <w:r>
          <w:rPr>
            <w:noProof/>
          </w:rPr>
          <w:fldChar w:fldCharType="end"/>
        </w:r>
      </w:p>
    </w:sdtContent>
  </w:sdt>
  <w:p w:rsidR="009A0078" w:rsidRDefault="009A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25" w:rsidRDefault="00602F25" w:rsidP="009A0078">
      <w:pPr>
        <w:spacing w:after="0" w:line="240" w:lineRule="auto"/>
      </w:pPr>
      <w:r>
        <w:separator/>
      </w:r>
    </w:p>
  </w:footnote>
  <w:footnote w:type="continuationSeparator" w:id="0">
    <w:p w:rsidR="00602F25" w:rsidRDefault="00602F25" w:rsidP="009A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78" w:rsidRDefault="009A0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78"/>
    <w:rsid w:val="00083B1F"/>
    <w:rsid w:val="00111401"/>
    <w:rsid w:val="0018786B"/>
    <w:rsid w:val="002B0526"/>
    <w:rsid w:val="00454647"/>
    <w:rsid w:val="004567FF"/>
    <w:rsid w:val="00602F25"/>
    <w:rsid w:val="009851AA"/>
    <w:rsid w:val="009A0078"/>
    <w:rsid w:val="00A0726F"/>
    <w:rsid w:val="00B21B08"/>
    <w:rsid w:val="00D95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78"/>
  </w:style>
  <w:style w:type="paragraph" w:styleId="Footer">
    <w:name w:val="footer"/>
    <w:basedOn w:val="Normal"/>
    <w:link w:val="FooterChar"/>
    <w:uiPriority w:val="99"/>
    <w:unhideWhenUsed/>
    <w:rsid w:val="009A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78"/>
  </w:style>
  <w:style w:type="paragraph" w:styleId="BalloonText">
    <w:name w:val="Balloon Text"/>
    <w:basedOn w:val="Normal"/>
    <w:link w:val="BalloonTextChar"/>
    <w:uiPriority w:val="99"/>
    <w:semiHidden/>
    <w:unhideWhenUsed/>
    <w:rsid w:val="009A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78"/>
  </w:style>
  <w:style w:type="paragraph" w:styleId="Footer">
    <w:name w:val="footer"/>
    <w:basedOn w:val="Normal"/>
    <w:link w:val="FooterChar"/>
    <w:uiPriority w:val="99"/>
    <w:unhideWhenUsed/>
    <w:rsid w:val="009A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78"/>
  </w:style>
  <w:style w:type="paragraph" w:styleId="BalloonText">
    <w:name w:val="Balloon Text"/>
    <w:basedOn w:val="Normal"/>
    <w:link w:val="BalloonTextChar"/>
    <w:uiPriority w:val="99"/>
    <w:semiHidden/>
    <w:unhideWhenUsed/>
    <w:rsid w:val="009A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Supplementary materials, Appendix C</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Appendix C</dc:title>
  <dc:creator>tm</dc:creator>
  <cp:lastModifiedBy>tm</cp:lastModifiedBy>
  <cp:revision>3</cp:revision>
  <cp:lastPrinted>2022-02-17T23:39:00Z</cp:lastPrinted>
  <dcterms:created xsi:type="dcterms:W3CDTF">2022-02-17T23:33:00Z</dcterms:created>
  <dcterms:modified xsi:type="dcterms:W3CDTF">2022-02-17T23:39:00Z</dcterms:modified>
</cp:coreProperties>
</file>