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6BD" w14:textId="496BA428" w:rsidR="00835FB8" w:rsidRDefault="00835FB8" w:rsidP="00FD0A85">
      <w:pPr>
        <w:pStyle w:val="Heading1"/>
        <w:bidi w:val="0"/>
        <w:spacing w:before="0" w:line="360" w:lineRule="auto"/>
        <w:rPr>
          <w:b/>
          <w:bCs/>
        </w:rPr>
      </w:pPr>
      <w:r>
        <w:t>Supplementa</w:t>
      </w:r>
      <w:r w:rsidR="00B4003D">
        <w:t>ry</w:t>
      </w:r>
      <w:r>
        <w:t xml:space="preserve"> information for:</w:t>
      </w:r>
      <w:r>
        <w:rPr>
          <w:b/>
          <w:bCs/>
        </w:rPr>
        <w:t xml:space="preserve"> </w:t>
      </w:r>
      <w:r w:rsidRPr="00F245F4">
        <w:t>Plant pan-genomes are highly vulnerable to methodological considerations</w:t>
      </w:r>
    </w:p>
    <w:p w14:paraId="5A254B9F" w14:textId="77777777" w:rsidR="00835FB8" w:rsidRDefault="00835FB8" w:rsidP="00FD0A85">
      <w:pPr>
        <w:bidi w:val="0"/>
        <w:spacing w:after="0" w:line="360" w:lineRule="auto"/>
        <w:rPr>
          <w:b/>
          <w:bCs/>
        </w:rPr>
      </w:pPr>
    </w:p>
    <w:p w14:paraId="2FBB591A" w14:textId="55A68FC5" w:rsidR="007D6D65" w:rsidRPr="009F48F5" w:rsidRDefault="00A70A15" w:rsidP="00FD0A85">
      <w:pPr>
        <w:pStyle w:val="Heading2"/>
        <w:bidi w:val="0"/>
        <w:spacing w:before="0" w:line="360" w:lineRule="auto"/>
      </w:pPr>
      <w:r>
        <w:t xml:space="preserve">Supplementary note 1 – </w:t>
      </w:r>
      <w:r w:rsidR="008E6D67">
        <w:t xml:space="preserve">analysis of DN+|MTP- nonreference </w:t>
      </w:r>
      <w:r w:rsidR="009F48F5">
        <w:t>pan-</w:t>
      </w:r>
      <w:r w:rsidR="008E6D67">
        <w:t>genes</w:t>
      </w:r>
      <w:r w:rsidR="009F48F5">
        <w:t xml:space="preserve"> in </w:t>
      </w:r>
      <w:r w:rsidR="009F48F5">
        <w:rPr>
          <w:i/>
          <w:iCs/>
        </w:rPr>
        <w:t>A. thaliana</w:t>
      </w:r>
    </w:p>
    <w:p w14:paraId="383114B8" w14:textId="77777777" w:rsidR="00F17068" w:rsidRDefault="00F17068" w:rsidP="00FD0A85">
      <w:pPr>
        <w:bidi w:val="0"/>
        <w:spacing w:after="0" w:line="360" w:lineRule="auto"/>
      </w:pPr>
      <w:r w:rsidRPr="00A70A15">
        <w:t xml:space="preserve">We investigated the methodological causes for the occurrence of </w:t>
      </w:r>
      <w:r>
        <w:t>DN+|MTP- pan-genes by mapping their transcript sequences to the reference genome and to the novel genomic sequences detected by the MTP approach. Based on the mapping results, DN+|MTP- pan-genes were</w:t>
      </w:r>
      <w:r w:rsidRPr="00A70A15">
        <w:t xml:space="preserve"> </w:t>
      </w:r>
      <w:r>
        <w:t>classifying as</w:t>
      </w:r>
      <w:r w:rsidR="00A70A15" w:rsidRPr="00A70A15">
        <w:t>:</w:t>
      </w:r>
    </w:p>
    <w:p w14:paraId="3E9581F9" w14:textId="576A14D1" w:rsidR="00F17068" w:rsidRDefault="002927FA" w:rsidP="00FD0A85">
      <w:pPr>
        <w:pStyle w:val="ListParagraph"/>
        <w:numPr>
          <w:ilvl w:val="0"/>
          <w:numId w:val="1"/>
        </w:numPr>
        <w:bidi w:val="0"/>
        <w:spacing w:after="0" w:line="360" w:lineRule="auto"/>
      </w:pPr>
      <w:r>
        <w:t xml:space="preserve">Completely mapped to the reference genome </w:t>
      </w:r>
    </w:p>
    <w:p w14:paraId="6AD8BF04" w14:textId="77777777" w:rsidR="00FD7B41" w:rsidRDefault="00FD7B41" w:rsidP="00FD0A85">
      <w:pPr>
        <w:pStyle w:val="ListParagraph"/>
        <w:numPr>
          <w:ilvl w:val="0"/>
          <w:numId w:val="1"/>
        </w:numPr>
        <w:bidi w:val="0"/>
        <w:spacing w:after="0" w:line="360" w:lineRule="auto"/>
      </w:pPr>
      <w:r>
        <w:t>Partially mapped to the reference genome</w:t>
      </w:r>
    </w:p>
    <w:p w14:paraId="68791B00" w14:textId="1C570DF6" w:rsidR="00FD7B41" w:rsidRDefault="002927FA" w:rsidP="00FD0A85">
      <w:pPr>
        <w:pStyle w:val="ListParagraph"/>
        <w:numPr>
          <w:ilvl w:val="0"/>
          <w:numId w:val="1"/>
        </w:numPr>
        <w:bidi w:val="0"/>
        <w:spacing w:after="0" w:line="360" w:lineRule="auto"/>
      </w:pPr>
      <w:r>
        <w:t>Mapped to the MTP novel sequences</w:t>
      </w:r>
    </w:p>
    <w:p w14:paraId="52BF505C" w14:textId="2B7126B1" w:rsidR="0088786A" w:rsidRDefault="0088786A" w:rsidP="00FD0A85">
      <w:pPr>
        <w:bidi w:val="0"/>
        <w:spacing w:after="0" w:line="360" w:lineRule="auto"/>
      </w:pPr>
      <w:r>
        <w:t xml:space="preserve">(also see Supplementary Figure </w:t>
      </w:r>
      <w:r w:rsidR="00D454AC">
        <w:t>S</w:t>
      </w:r>
      <w:r>
        <w:t>1).</w:t>
      </w:r>
    </w:p>
    <w:p w14:paraId="79C936B6" w14:textId="04512394" w:rsidR="00A973A9" w:rsidRDefault="00A973A9" w:rsidP="00FD0A85">
      <w:pPr>
        <w:bidi w:val="0"/>
        <w:spacing w:after="0" w:line="360" w:lineRule="auto"/>
      </w:pPr>
      <w:r>
        <w:t xml:space="preserve">If a </w:t>
      </w:r>
      <w:r w:rsidR="00A70A15" w:rsidRPr="00A70A15">
        <w:t xml:space="preserve">DN+|MTP- </w:t>
      </w:r>
      <w:r>
        <w:t>transcript can be completely mapped to the reference genome</w:t>
      </w:r>
      <w:r w:rsidR="00FD7B41">
        <w:t xml:space="preserve"> </w:t>
      </w:r>
      <w:r>
        <w:t xml:space="preserve">it means that it is coded in a genomic region that is highly homologous to the reference and therefore not </w:t>
      </w:r>
      <w:r w:rsidR="004330AA">
        <w:t>detected as novel by the MTP approach and not processed in the MTP annotation step. Th</w:t>
      </w:r>
      <w:r w:rsidR="008C03E2">
        <w:t>e transcript may</w:t>
      </w:r>
      <w:r w:rsidR="004330AA">
        <w:t xml:space="preserve"> ma</w:t>
      </w:r>
      <w:r w:rsidR="00326A03">
        <w:t>p</w:t>
      </w:r>
      <w:r w:rsidR="004330AA">
        <w:t xml:space="preserve"> </w:t>
      </w:r>
      <w:r w:rsidR="008C03E2">
        <w:t>to</w:t>
      </w:r>
      <w:r w:rsidR="004330AA">
        <w:t xml:space="preserve"> a region marked as intergenic by the reference annotation</w:t>
      </w:r>
      <w:r w:rsidR="008C03E2">
        <w:t>,</w:t>
      </w:r>
      <w:r w:rsidR="004330AA">
        <w:t xml:space="preserve"> </w:t>
      </w:r>
      <w:r w:rsidR="008C03E2">
        <w:t>which</w:t>
      </w:r>
      <w:r w:rsidR="004330AA" w:rsidRPr="00A70A15">
        <w:t xml:space="preserve"> </w:t>
      </w:r>
      <w:r w:rsidR="008C03E2">
        <w:t>can</w:t>
      </w:r>
      <w:r w:rsidR="004330AA" w:rsidRPr="00A70A15">
        <w:t xml:space="preserve"> result from either gene emergence from previously noncoding regions</w:t>
      </w:r>
      <w:r w:rsidR="004330AA">
        <w:t xml:space="preserve"> in one of the annotated ecotypes</w:t>
      </w:r>
      <w:r w:rsidR="004330AA" w:rsidRPr="00A70A15">
        <w:t xml:space="preserve">, over-annotation by the DN pipeline, or under-annotation of the reference. Owing to the high quality of the reference annotation, the first two options </w:t>
      </w:r>
      <w:r w:rsidR="004223A8">
        <w:t>appear</w:t>
      </w:r>
      <w:r w:rsidR="004330AA" w:rsidRPr="00A70A15">
        <w:t xml:space="preserve"> more plausible.</w:t>
      </w:r>
      <w:r w:rsidR="00534036">
        <w:t xml:space="preserve"> Alternatively, a </w:t>
      </w:r>
      <w:r w:rsidR="00534036" w:rsidRPr="00A70A15">
        <w:t>DN+|MTP-</w:t>
      </w:r>
      <w:r w:rsidR="00534036">
        <w:t xml:space="preserve"> transcript may </w:t>
      </w:r>
      <w:r w:rsidR="00A17B20">
        <w:t xml:space="preserve">successfully </w:t>
      </w:r>
      <w:r w:rsidR="00534036">
        <w:t>map to a</w:t>
      </w:r>
      <w:r w:rsidR="00A17B20">
        <w:t xml:space="preserve"> reference</w:t>
      </w:r>
      <w:r w:rsidR="00534036">
        <w:t xml:space="preserve"> genomic region coding for a reference </w:t>
      </w:r>
      <w:proofErr w:type="gramStart"/>
      <w:r w:rsidR="00534036">
        <w:t>gene, but</w:t>
      </w:r>
      <w:proofErr w:type="gramEnd"/>
      <w:r w:rsidR="00534036">
        <w:t xml:space="preserve"> </w:t>
      </w:r>
      <w:r w:rsidR="00A17B20">
        <w:t>translat</w:t>
      </w:r>
      <w:r w:rsidR="00326A03">
        <w:t>e</w:t>
      </w:r>
      <w:r w:rsidR="00A17B20">
        <w:t xml:space="preserve"> into a</w:t>
      </w:r>
      <w:r w:rsidR="00534036">
        <w:t xml:space="preserve"> highly different </w:t>
      </w:r>
      <w:r w:rsidR="00A17B20">
        <w:t>protein sequence. This can occur when the genomic sequence in one of the ecotypes contains a mutation</w:t>
      </w:r>
      <w:r w:rsidR="00EF4041">
        <w:t xml:space="preserve"> that substantially modifies the protein sequence</w:t>
      </w:r>
      <w:r w:rsidR="00A17B20">
        <w:t xml:space="preserve"> (e.g. frame-shift or stop codon loss/gain)</w:t>
      </w:r>
      <w:r w:rsidR="00EF4041">
        <w:t>.</w:t>
      </w:r>
      <w:r w:rsidR="001E5B7F">
        <w:t xml:space="preserve"> We found that 1,794 </w:t>
      </w:r>
      <w:r w:rsidR="001E5B7F" w:rsidRPr="00A70A15">
        <w:t>DN+|MTP-</w:t>
      </w:r>
      <w:r w:rsidR="001E5B7F">
        <w:t xml:space="preserve"> (40% of the total </w:t>
      </w:r>
      <w:r w:rsidR="001E5B7F" w:rsidRPr="00A70A15">
        <w:t>DN+|MTP-</w:t>
      </w:r>
      <w:r w:rsidR="001E5B7F">
        <w:t xml:space="preserve"> pool) transcripts could be completely mapped to the reference genome </w:t>
      </w:r>
      <w:r w:rsidR="001E5B7F" w:rsidRPr="00A70A15">
        <w:t>(query coverage &gt; 95%)</w:t>
      </w:r>
      <w:r w:rsidR="001E5B7F">
        <w:t xml:space="preserve">. </w:t>
      </w:r>
      <w:r w:rsidR="00990FAE">
        <w:t xml:space="preserve">Out of these, </w:t>
      </w:r>
      <w:r w:rsidR="008C03E2" w:rsidRPr="008C03E2">
        <w:t>3</w:t>
      </w:r>
      <w:r w:rsidR="000E630F">
        <w:t>8</w:t>
      </w:r>
      <w:r w:rsidR="00990FAE" w:rsidRPr="008C03E2">
        <w:t>%</w:t>
      </w:r>
      <w:r w:rsidR="00990FAE" w:rsidRPr="00FD7B41">
        <w:rPr>
          <w:color w:val="FF0000"/>
        </w:rPr>
        <w:t xml:space="preserve"> </w:t>
      </w:r>
      <w:r w:rsidR="00990FAE">
        <w:t xml:space="preserve">overlap with reference genes (coordinate overlap of gene features &gt; 50%), whereas </w:t>
      </w:r>
      <w:r w:rsidR="008C03E2" w:rsidRPr="008C03E2">
        <w:t>6</w:t>
      </w:r>
      <w:r w:rsidR="000E630F">
        <w:t>2</w:t>
      </w:r>
      <w:r w:rsidR="00990FAE" w:rsidRPr="008C03E2">
        <w:t>%</w:t>
      </w:r>
      <w:r w:rsidR="00990FAE">
        <w:t xml:space="preserve"> map to</w:t>
      </w:r>
      <w:r w:rsidR="008C03E2">
        <w:t xml:space="preserve"> reference</w:t>
      </w:r>
      <w:r w:rsidR="00990FAE">
        <w:t xml:space="preserve"> intergenic regions.</w:t>
      </w:r>
    </w:p>
    <w:p w14:paraId="74BF8303" w14:textId="68C2F8BF" w:rsidR="00581558" w:rsidRDefault="00581558" w:rsidP="00FD0A85">
      <w:pPr>
        <w:bidi w:val="0"/>
        <w:spacing w:after="0" w:line="360" w:lineRule="auto"/>
      </w:pPr>
      <w:r>
        <w:t xml:space="preserve">In other cases, a </w:t>
      </w:r>
      <w:r w:rsidRPr="00A70A15">
        <w:t xml:space="preserve">DN+|MTP- </w:t>
      </w:r>
      <w:r>
        <w:t xml:space="preserve">transcript only partially maps to the reference sequence. </w:t>
      </w:r>
      <w:r w:rsidR="006537F7">
        <w:t>Such cases</w:t>
      </w:r>
      <w:r w:rsidR="00AE6A1E">
        <w:t xml:space="preserve"> indicate that the gene is annotated in a region containing a combination of reference-homologous and </w:t>
      </w:r>
      <w:r w:rsidR="00326A03">
        <w:t>non-</w:t>
      </w:r>
      <w:r w:rsidR="00AE6A1E">
        <w:t xml:space="preserve">reference-homologous sequences. If the stretches of nonhomologous sequences shorter than a certain cutoff (300 bp in this case), then they will be ignored in the </w:t>
      </w:r>
      <w:r w:rsidR="00AE6A1E">
        <w:lastRenderedPageBreak/>
        <w:t>MTP annotation process. We found that 2,476</w:t>
      </w:r>
      <w:r w:rsidR="007E3AA1">
        <w:t xml:space="preserve"> (55%)</w:t>
      </w:r>
      <w:r w:rsidR="00AE6A1E">
        <w:t xml:space="preserve"> </w:t>
      </w:r>
      <w:r w:rsidR="00344D2B" w:rsidRPr="00A70A15">
        <w:t>DN+|MTP-</w:t>
      </w:r>
      <w:r w:rsidR="00344D2B">
        <w:t xml:space="preserve"> transcripts partially mapped to the reference genome (20% &lt; query coverage &lt; 95%).</w:t>
      </w:r>
    </w:p>
    <w:p w14:paraId="330DE589" w14:textId="544B9D4C" w:rsidR="0072648E" w:rsidRDefault="0072648E" w:rsidP="00FD0A85">
      <w:pPr>
        <w:bidi w:val="0"/>
        <w:spacing w:after="0" w:line="360" w:lineRule="auto"/>
      </w:pPr>
      <w:r>
        <w:t xml:space="preserve">Finally, </w:t>
      </w:r>
      <w:r w:rsidR="00B7593F">
        <w:t>we found 144 (3%)</w:t>
      </w:r>
      <w:r w:rsidR="007E3AA1">
        <w:t xml:space="preserve"> </w:t>
      </w:r>
      <w:r w:rsidR="007E3AA1" w:rsidRPr="00A70A15">
        <w:t>DN+|MTP-</w:t>
      </w:r>
      <w:r w:rsidR="007E3AA1">
        <w:t xml:space="preserve"> transcript</w:t>
      </w:r>
      <w:r w:rsidR="006F1B34">
        <w:t>s</w:t>
      </w:r>
      <w:r w:rsidR="007E3AA1">
        <w:t xml:space="preserve"> </w:t>
      </w:r>
      <w:r w:rsidR="00B7593F">
        <w:t xml:space="preserve">that </w:t>
      </w:r>
      <w:r w:rsidR="007E3AA1">
        <w:t>can be completely mapped to a novel sequence identified by the MTP approach</w:t>
      </w:r>
      <w:r w:rsidR="00B7593F">
        <w:t xml:space="preserve">. </w:t>
      </w:r>
      <w:r w:rsidR="00ED5C10">
        <w:t>These are likely the result of the more limited genomic context in which annotation is performed in the MTP approach.</w:t>
      </w:r>
    </w:p>
    <w:p w14:paraId="79881040" w14:textId="2AD47B67" w:rsidR="00767FC9" w:rsidRPr="00990FAE" w:rsidRDefault="00767FC9" w:rsidP="00FD0A85">
      <w:pPr>
        <w:bidi w:val="0"/>
        <w:spacing w:after="0" w:line="360" w:lineRule="auto"/>
      </w:pPr>
      <w:r>
        <w:t>Together t</w:t>
      </w:r>
      <w:r w:rsidRPr="00A70A15">
        <w:t>hese results suggest that the higher number of nonreference genes detected by the DN approach stems from: (1) its ability to predict genes in reference sequences; and (2) its ability to analyze partially novel genomic sequences.</w:t>
      </w:r>
    </w:p>
    <w:p w14:paraId="156162C7" w14:textId="77777777" w:rsidR="00E36CD4" w:rsidRDefault="00E36CD4" w:rsidP="00FD0A85">
      <w:pPr>
        <w:bidi w:val="0"/>
        <w:spacing w:after="0" w:line="360" w:lineRule="auto"/>
        <w:rPr>
          <w:b/>
          <w:bCs/>
        </w:rPr>
      </w:pPr>
    </w:p>
    <w:p w14:paraId="48644257" w14:textId="6F210F5A" w:rsidR="009C4BC3" w:rsidRDefault="009C4BC3" w:rsidP="00FD0A85">
      <w:pPr>
        <w:pStyle w:val="Heading2"/>
        <w:bidi w:val="0"/>
        <w:spacing w:before="0" w:line="360" w:lineRule="auto"/>
      </w:pPr>
      <w:r>
        <w:t xml:space="preserve">Supplementary note 2 – analysis of DN-|MTP+ nonreference </w:t>
      </w:r>
      <w:r w:rsidR="00A857AC">
        <w:t>pan-</w:t>
      </w:r>
      <w:r>
        <w:t>genes</w:t>
      </w:r>
      <w:r w:rsidR="00A857AC">
        <w:t xml:space="preserve"> in </w:t>
      </w:r>
      <w:r w:rsidR="00A857AC">
        <w:rPr>
          <w:i/>
          <w:iCs/>
        </w:rPr>
        <w:t>A. thaliana</w:t>
      </w:r>
    </w:p>
    <w:p w14:paraId="6C97962D" w14:textId="19E6B2DD" w:rsidR="00811CF6" w:rsidRDefault="00CA3B7A" w:rsidP="00FD0A85">
      <w:pPr>
        <w:bidi w:val="0"/>
        <w:spacing w:after="0" w:line="360" w:lineRule="auto"/>
      </w:pPr>
      <w:r>
        <w:t>All genomic sequences annotated in the MTP approach are extracted from genome assemblies, and as such are necessarily also annotated by the DN approach. Therefore,</w:t>
      </w:r>
      <w:r w:rsidR="00E01D59">
        <w:t xml:space="preserve"> the existence of</w:t>
      </w:r>
      <w:r w:rsidR="009D362E">
        <w:t xml:space="preserve"> 574</w:t>
      </w:r>
      <w:r>
        <w:t xml:space="preserve"> </w:t>
      </w:r>
      <w:r w:rsidRPr="00CA3B7A">
        <w:t>DN-|MTP+</w:t>
      </w:r>
      <w:r>
        <w:t xml:space="preserve"> nonreference genes</w:t>
      </w:r>
      <w:r w:rsidR="00E01D59">
        <w:t xml:space="preserve"> might be surprising at first</w:t>
      </w:r>
      <w:r w:rsidR="00C81517">
        <w:t>, and points to methodological biases in both construction approaches</w:t>
      </w:r>
      <w:r w:rsidR="00B376BC">
        <w:t xml:space="preserve"> (Supplementary Figure </w:t>
      </w:r>
      <w:r w:rsidR="00AF05C2">
        <w:t>S</w:t>
      </w:r>
      <w:r w:rsidR="00B376BC">
        <w:t>1)</w:t>
      </w:r>
      <w:r w:rsidR="00C81517">
        <w:t>.</w:t>
      </w:r>
    </w:p>
    <w:p w14:paraId="23FDA517" w14:textId="671C519E" w:rsidR="00C81517" w:rsidRDefault="00C81517" w:rsidP="00FD0A85">
      <w:pPr>
        <w:bidi w:val="0"/>
        <w:spacing w:after="0" w:line="360" w:lineRule="auto"/>
      </w:pPr>
      <w:r>
        <w:t xml:space="preserve">To investigate these methodological biases, we first mapped protein sequences of </w:t>
      </w:r>
      <w:r w:rsidRPr="00CA3B7A">
        <w:t>DN-|MTP+</w:t>
      </w:r>
      <w:r w:rsidR="00465860">
        <w:t xml:space="preserve"> pan-genes to those of </w:t>
      </w:r>
      <w:r w:rsidR="00465860" w:rsidRPr="00CA3B7A">
        <w:t>DN</w:t>
      </w:r>
      <w:r w:rsidR="00465860">
        <w:t>+</w:t>
      </w:r>
      <w:r w:rsidR="00465860" w:rsidRPr="00CA3B7A">
        <w:t>|MTP</w:t>
      </w:r>
      <w:r w:rsidR="00465860">
        <w:t>- pan-genes.</w:t>
      </w:r>
      <w:r w:rsidR="0025761C">
        <w:t xml:space="preserve"> </w:t>
      </w:r>
      <w:r w:rsidR="009D362E">
        <w:t>60 proteins (</w:t>
      </w:r>
      <w:r w:rsidR="0054133C">
        <w:t>10%</w:t>
      </w:r>
      <w:r w:rsidR="009D362E">
        <w:t>)</w:t>
      </w:r>
      <w:r w:rsidR="0054133C">
        <w:t xml:space="preserve"> show high similarity to </w:t>
      </w:r>
      <w:r w:rsidR="0054133C" w:rsidRPr="00CA3B7A">
        <w:t>DN</w:t>
      </w:r>
      <w:r w:rsidR="0054133C">
        <w:t>+</w:t>
      </w:r>
      <w:r w:rsidR="0054133C" w:rsidRPr="00CA3B7A">
        <w:t>|MTP</w:t>
      </w:r>
      <w:r w:rsidR="0054133C">
        <w:t xml:space="preserve">- proteins (percent identity &gt; 95%), however most are in fact truncated versions of those </w:t>
      </w:r>
      <w:r w:rsidR="0054133C" w:rsidRPr="00CA3B7A">
        <w:t>DN</w:t>
      </w:r>
      <w:r w:rsidR="0054133C">
        <w:t>+</w:t>
      </w:r>
      <w:r w:rsidR="0054133C" w:rsidRPr="00CA3B7A">
        <w:t>|MTP</w:t>
      </w:r>
      <w:r w:rsidR="0054133C">
        <w:t xml:space="preserve">- genes. Such cases likely </w:t>
      </w:r>
      <w:r w:rsidR="00AF05C2">
        <w:t>occur</w:t>
      </w:r>
      <w:r w:rsidR="0054133C">
        <w:t xml:space="preserve"> </w:t>
      </w:r>
      <w:r w:rsidR="00AF05C2">
        <w:t xml:space="preserve">when </w:t>
      </w:r>
      <w:r w:rsidR="00944EAA">
        <w:t xml:space="preserve">novel </w:t>
      </w:r>
      <w:r w:rsidR="0054133C">
        <w:t xml:space="preserve">genomic regions </w:t>
      </w:r>
      <w:r w:rsidR="00944EAA">
        <w:t>flanked by reference-homologous regions</w:t>
      </w:r>
      <w:r w:rsidR="00AF05C2">
        <w:t xml:space="preserve"> are annotated by the DN procedure.</w:t>
      </w:r>
    </w:p>
    <w:p w14:paraId="4DBA294E" w14:textId="3BA50BFE" w:rsidR="00B376BC" w:rsidRDefault="006268D7" w:rsidP="00FD0A85">
      <w:pPr>
        <w:bidi w:val="0"/>
        <w:spacing w:after="0" w:line="360" w:lineRule="auto"/>
      </w:pPr>
      <w:r>
        <w:t xml:space="preserve">We performed another analysis, this time mapping </w:t>
      </w:r>
      <w:r w:rsidRPr="00CA3B7A">
        <w:t>DN</w:t>
      </w:r>
      <w:r>
        <w:t>-</w:t>
      </w:r>
      <w:r w:rsidRPr="00CA3B7A">
        <w:t>|MTP</w:t>
      </w:r>
      <w:r>
        <w:t xml:space="preserve">+ protein sequences to protein sequences derived directly from whole genome annotations of the DN pan-genome, before </w:t>
      </w:r>
      <w:proofErr w:type="spellStart"/>
      <w:r>
        <w:t>orthology</w:t>
      </w:r>
      <w:proofErr w:type="spellEnd"/>
      <w:r>
        <w:t xml:space="preserve"> clustering and selection of representative genes</w:t>
      </w:r>
      <w:r w:rsidR="00873FD9">
        <w:t xml:space="preserve"> (see Figure 1)</w:t>
      </w:r>
      <w:r>
        <w:t xml:space="preserve">. </w:t>
      </w:r>
      <w:r w:rsidR="00C13CB4">
        <w:t xml:space="preserve">381 of the </w:t>
      </w:r>
      <w:r w:rsidR="00C13CB4" w:rsidRPr="00CA3B7A">
        <w:t>DN</w:t>
      </w:r>
      <w:r w:rsidR="00C13CB4">
        <w:t>-</w:t>
      </w:r>
      <w:r w:rsidR="00C13CB4" w:rsidRPr="00CA3B7A">
        <w:t>|MTP</w:t>
      </w:r>
      <w:r w:rsidR="00C13CB4">
        <w:t xml:space="preserve">+ (66%) </w:t>
      </w:r>
      <w:r w:rsidR="00130009">
        <w:t xml:space="preserve">show very high similarity (percent identity &gt; 95% and length difference &lt; 10%) to annotated DN proteins. This indicates that the corresponding nonreference genes were in fact detected by the DN approach, however they were not selected as the representative of the </w:t>
      </w:r>
      <w:proofErr w:type="spellStart"/>
      <w:r w:rsidR="00130009">
        <w:t>orthology</w:t>
      </w:r>
      <w:proofErr w:type="spellEnd"/>
      <w:r w:rsidR="00130009">
        <w:t xml:space="preserve"> cluster to which they belong, for example because this cluster contains a reference gene.</w:t>
      </w:r>
    </w:p>
    <w:p w14:paraId="6409364E" w14:textId="1BD1A661" w:rsidR="00A70A15" w:rsidRDefault="008318E1" w:rsidP="00FD0A85">
      <w:pPr>
        <w:bidi w:val="0"/>
        <w:spacing w:after="0" w:line="360" w:lineRule="auto"/>
      </w:pPr>
      <w:r>
        <w:t xml:space="preserve">The remaining </w:t>
      </w:r>
      <w:r w:rsidR="006431E1">
        <w:t>24% may result from over-annotation by the MTP approach.</w:t>
      </w:r>
    </w:p>
    <w:p w14:paraId="54E8914F" w14:textId="791B54C5" w:rsidR="00CC2F6A" w:rsidRDefault="00CC2F6A" w:rsidP="00FD0A85">
      <w:pPr>
        <w:bidi w:val="0"/>
        <w:spacing w:after="0" w:line="360" w:lineRule="auto"/>
      </w:pPr>
    </w:p>
    <w:p w14:paraId="288FF7F0" w14:textId="17388C29" w:rsidR="00CC2F6A" w:rsidRDefault="00CC2F6A" w:rsidP="00FD0A85">
      <w:pPr>
        <w:pStyle w:val="Heading2"/>
        <w:bidi w:val="0"/>
        <w:spacing w:before="0" w:line="360" w:lineRule="auto"/>
      </w:pPr>
      <w:r>
        <w:lastRenderedPageBreak/>
        <w:t xml:space="preserve">Supplementary note 3 – </w:t>
      </w:r>
      <w:r>
        <w:rPr>
          <w:i/>
          <w:iCs/>
        </w:rPr>
        <w:t xml:space="preserve">A. thaliana </w:t>
      </w:r>
      <w:r>
        <w:t>genome assembly and contamination analysis</w:t>
      </w:r>
    </w:p>
    <w:p w14:paraId="6482C290" w14:textId="0A4BAD66" w:rsidR="00D60C74" w:rsidRDefault="00D60C74" w:rsidP="00FD0A85">
      <w:pPr>
        <w:bidi w:val="0"/>
        <w:spacing w:after="0" w:line="360" w:lineRule="auto"/>
      </w:pPr>
      <w:r>
        <w:t>During the analysis of genome assembl</w:t>
      </w:r>
      <w:r w:rsidR="006A4650">
        <w:t>i</w:t>
      </w:r>
      <w:r>
        <w:t xml:space="preserve">es, we noticed that the assembly of the ecotype </w:t>
      </w:r>
      <w:proofErr w:type="spellStart"/>
      <w:r>
        <w:t>Ler</w:t>
      </w:r>
      <w:proofErr w:type="spellEnd"/>
      <w:r>
        <w:t xml:space="preserve"> </w:t>
      </w:r>
      <w:r w:rsidRPr="00F55343">
        <w:t xml:space="preserve">shows considerably lower N50 values and larger assembly size compared to other ecotypes </w:t>
      </w:r>
      <w:r>
        <w:t xml:space="preserve">in </w:t>
      </w:r>
      <w:r w:rsidR="00F55343">
        <w:t>most</w:t>
      </w:r>
      <w:r>
        <w:t>-data sets</w:t>
      </w:r>
      <w:r w:rsidR="00D254AE">
        <w:t xml:space="preserve"> (Figure </w:t>
      </w:r>
      <w:r w:rsidR="00F85238">
        <w:t>3A</w:t>
      </w:r>
      <w:r w:rsidR="00D254AE">
        <w:t xml:space="preserve"> and Supplementary Table S4)</w:t>
      </w:r>
      <w:r>
        <w:t>.</w:t>
      </w:r>
      <w:r w:rsidR="00F55343">
        <w:t xml:space="preserve"> We suspected that this may be the result of biological sequencing contamination, specifically with aphid DNA. To test this, we generated a data base of whole genome sequences of five </w:t>
      </w:r>
      <w:r w:rsidR="00014AF3">
        <w:t>H</w:t>
      </w:r>
      <w:r w:rsidR="00F55343">
        <w:t>emiptera species (</w:t>
      </w:r>
      <w:proofErr w:type="spellStart"/>
      <w:r w:rsidR="00F55343" w:rsidRPr="00D254AE">
        <w:rPr>
          <w:i/>
          <w:iCs/>
        </w:rPr>
        <w:t>Cimex</w:t>
      </w:r>
      <w:proofErr w:type="spellEnd"/>
      <w:r w:rsidR="00F55343" w:rsidRPr="00D254AE">
        <w:rPr>
          <w:i/>
          <w:iCs/>
        </w:rPr>
        <w:t xml:space="preserve"> </w:t>
      </w:r>
      <w:proofErr w:type="spellStart"/>
      <w:r w:rsidR="00F55343" w:rsidRPr="00D254AE">
        <w:rPr>
          <w:i/>
          <w:iCs/>
        </w:rPr>
        <w:t>lectularius</w:t>
      </w:r>
      <w:proofErr w:type="spellEnd"/>
      <w:r w:rsidR="00F55343" w:rsidRPr="00D254AE">
        <w:rPr>
          <w:i/>
          <w:iCs/>
        </w:rPr>
        <w:t xml:space="preserve">, </w:t>
      </w:r>
      <w:proofErr w:type="spellStart"/>
      <w:r w:rsidR="00F55343" w:rsidRPr="00D254AE">
        <w:rPr>
          <w:i/>
          <w:iCs/>
        </w:rPr>
        <w:t>Rhodnius</w:t>
      </w:r>
      <w:proofErr w:type="spellEnd"/>
      <w:r w:rsidR="00F55343" w:rsidRPr="00D254AE">
        <w:rPr>
          <w:i/>
          <w:iCs/>
        </w:rPr>
        <w:t xml:space="preserve"> </w:t>
      </w:r>
      <w:proofErr w:type="spellStart"/>
      <w:r w:rsidR="00F55343" w:rsidRPr="00D254AE">
        <w:rPr>
          <w:i/>
          <w:iCs/>
        </w:rPr>
        <w:t>prolixus</w:t>
      </w:r>
      <w:proofErr w:type="spellEnd"/>
      <w:r w:rsidR="00F55343" w:rsidRPr="00D254AE">
        <w:rPr>
          <w:i/>
          <w:iCs/>
        </w:rPr>
        <w:t xml:space="preserve">, </w:t>
      </w:r>
      <w:proofErr w:type="spellStart"/>
      <w:r w:rsidR="00F55343" w:rsidRPr="00D254AE">
        <w:rPr>
          <w:i/>
          <w:iCs/>
        </w:rPr>
        <w:t>Bemisia</w:t>
      </w:r>
      <w:proofErr w:type="spellEnd"/>
      <w:r w:rsidR="00F55343" w:rsidRPr="00D254AE">
        <w:rPr>
          <w:i/>
          <w:iCs/>
        </w:rPr>
        <w:t xml:space="preserve"> </w:t>
      </w:r>
      <w:proofErr w:type="spellStart"/>
      <w:r w:rsidR="00F55343" w:rsidRPr="00D254AE">
        <w:rPr>
          <w:i/>
          <w:iCs/>
        </w:rPr>
        <w:t>tabaci</w:t>
      </w:r>
      <w:proofErr w:type="spellEnd"/>
      <w:r w:rsidR="00F55343" w:rsidRPr="00D254AE">
        <w:rPr>
          <w:i/>
          <w:iCs/>
        </w:rPr>
        <w:t xml:space="preserve">, </w:t>
      </w:r>
      <w:proofErr w:type="spellStart"/>
      <w:r w:rsidR="00D254AE" w:rsidRPr="00D254AE">
        <w:rPr>
          <w:i/>
          <w:iCs/>
        </w:rPr>
        <w:t>Acyrthosiphon</w:t>
      </w:r>
      <w:proofErr w:type="spellEnd"/>
      <w:r w:rsidR="00D254AE" w:rsidRPr="00D254AE">
        <w:rPr>
          <w:i/>
          <w:iCs/>
        </w:rPr>
        <w:t xml:space="preserve"> </w:t>
      </w:r>
      <w:proofErr w:type="spellStart"/>
      <w:r w:rsidR="00D254AE" w:rsidRPr="00D254AE">
        <w:rPr>
          <w:i/>
          <w:iCs/>
        </w:rPr>
        <w:t>pisum</w:t>
      </w:r>
      <w:proofErr w:type="spellEnd"/>
      <w:r w:rsidR="00D254AE" w:rsidRPr="00D254AE">
        <w:rPr>
          <w:i/>
          <w:iCs/>
        </w:rPr>
        <w:t xml:space="preserve">, </w:t>
      </w:r>
      <w:r w:rsidR="00D254AE" w:rsidRPr="00F85238">
        <w:t>and</w:t>
      </w:r>
      <w:r w:rsidR="00D254AE" w:rsidRPr="00D254AE">
        <w:rPr>
          <w:i/>
          <w:iCs/>
        </w:rPr>
        <w:t xml:space="preserve"> </w:t>
      </w:r>
      <w:proofErr w:type="spellStart"/>
      <w:r w:rsidR="00D254AE" w:rsidRPr="00D254AE">
        <w:rPr>
          <w:i/>
          <w:iCs/>
        </w:rPr>
        <w:t>Trialeurodes</w:t>
      </w:r>
      <w:proofErr w:type="spellEnd"/>
      <w:r w:rsidR="00D254AE" w:rsidRPr="00D254AE">
        <w:rPr>
          <w:i/>
          <w:iCs/>
        </w:rPr>
        <w:t xml:space="preserve"> </w:t>
      </w:r>
      <w:proofErr w:type="spellStart"/>
      <w:r w:rsidR="00D254AE" w:rsidRPr="00D254AE">
        <w:rPr>
          <w:i/>
          <w:iCs/>
        </w:rPr>
        <w:t>vaporariorum</w:t>
      </w:r>
      <w:proofErr w:type="spellEnd"/>
      <w:r w:rsidR="00F55343">
        <w:t>)</w:t>
      </w:r>
      <w:r w:rsidR="00D254AE">
        <w:t xml:space="preserve">, obtained from ENSEMBL </w:t>
      </w:r>
      <w:proofErr w:type="spellStart"/>
      <w:r w:rsidR="00D254AE">
        <w:t>Metazoa</w:t>
      </w:r>
      <w:proofErr w:type="spellEnd"/>
      <w:r w:rsidR="00D254AE">
        <w:t xml:space="preserve"> Release 52. </w:t>
      </w:r>
      <w:r w:rsidR="00F24B12">
        <w:t xml:space="preserve">All </w:t>
      </w:r>
      <w:proofErr w:type="spellStart"/>
      <w:r w:rsidR="00F24B12">
        <w:t>Ler</w:t>
      </w:r>
      <w:proofErr w:type="spellEnd"/>
      <w:r w:rsidR="00F24B12">
        <w:t xml:space="preserve"> contigs from the 50</w:t>
      </w:r>
      <w:r w:rsidR="00F24B12">
        <w:rPr>
          <w:rFonts w:ascii="Arial" w:hAnsi="Arial" w:cs="Arial"/>
        </w:rPr>
        <w:t>×</w:t>
      </w:r>
      <w:r w:rsidR="00F24B12">
        <w:t xml:space="preserve"> data set which could not be reliably mapped to the </w:t>
      </w:r>
      <w:r w:rsidR="00F24B12">
        <w:rPr>
          <w:i/>
          <w:iCs/>
        </w:rPr>
        <w:t>A. thaliana</w:t>
      </w:r>
      <w:r w:rsidR="00F24B12">
        <w:t xml:space="preserve"> reference genome during </w:t>
      </w:r>
      <w:proofErr w:type="spellStart"/>
      <w:r w:rsidR="00F24B12">
        <w:t>Panoramic's</w:t>
      </w:r>
      <w:proofErr w:type="spellEnd"/>
      <w:r w:rsidR="00F24B12">
        <w:t xml:space="preserve"> reference-guided assembly step were searched for within the </w:t>
      </w:r>
      <w:r w:rsidR="00014AF3">
        <w:t>H</w:t>
      </w:r>
      <w:r w:rsidR="00F24B12">
        <w:t>emiptera DB</w:t>
      </w:r>
      <w:r w:rsidR="00A31F8E">
        <w:t xml:space="preserve">, using </w:t>
      </w:r>
      <w:proofErr w:type="spellStart"/>
      <w:r w:rsidR="00A31F8E">
        <w:t>Blast</w:t>
      </w:r>
      <w:r w:rsidR="002D0752">
        <w:t>n</w:t>
      </w:r>
      <w:proofErr w:type="spellEnd"/>
      <w:r w:rsidR="00A31F8E">
        <w:t>. As expected, we found that</w:t>
      </w:r>
      <w:r w:rsidR="00014AF3">
        <w:t xml:space="preserve"> </w:t>
      </w:r>
      <w:proofErr w:type="spellStart"/>
      <w:r w:rsidR="00014AF3">
        <w:t>Ler</w:t>
      </w:r>
      <w:proofErr w:type="spellEnd"/>
      <w:r w:rsidR="00014AF3">
        <w:t xml:space="preserve"> contigs with high similarity to Hemiptera genomes (% identity &gt; 70) accounted for</w:t>
      </w:r>
      <w:r w:rsidR="00A31F8E">
        <w:t xml:space="preserve"> </w:t>
      </w:r>
      <w:r w:rsidR="00A31F8E" w:rsidRPr="00A31F8E">
        <w:t>52</w:t>
      </w:r>
      <w:r w:rsidR="00A31F8E">
        <w:t>,</w:t>
      </w:r>
      <w:r w:rsidR="00A31F8E" w:rsidRPr="00A31F8E">
        <w:t>762</w:t>
      </w:r>
      <w:r w:rsidR="00A31F8E">
        <w:t>,</w:t>
      </w:r>
      <w:r w:rsidR="00A31F8E" w:rsidRPr="00A31F8E">
        <w:t>315</w:t>
      </w:r>
      <w:r w:rsidR="00A31F8E">
        <w:t xml:space="preserve"> bp out of the total </w:t>
      </w:r>
      <w:r w:rsidR="00A31F8E" w:rsidRPr="00A31F8E">
        <w:t>60</w:t>
      </w:r>
      <w:r w:rsidR="00A31F8E">
        <w:t>,</w:t>
      </w:r>
      <w:r w:rsidR="00A31F8E" w:rsidRPr="00A31F8E">
        <w:t>862</w:t>
      </w:r>
      <w:r w:rsidR="00A31F8E">
        <w:t>,</w:t>
      </w:r>
      <w:r w:rsidR="00A31F8E" w:rsidRPr="00A31F8E">
        <w:t>882</w:t>
      </w:r>
      <w:r w:rsidR="00A31F8E">
        <w:t xml:space="preserve"> nonreference sequences (</w:t>
      </w:r>
      <w:r w:rsidR="00014AF3">
        <w:t>87%</w:t>
      </w:r>
      <w:r w:rsidR="00A31F8E">
        <w:t>)</w:t>
      </w:r>
      <w:r w:rsidR="00014AF3">
        <w:t>, indicating that the majority of nonreference genome sequences derives from aphid DNA sequencing contamination, assembled into contigs.</w:t>
      </w:r>
    </w:p>
    <w:p w14:paraId="54127CBE" w14:textId="4102FD37" w:rsidR="00891047" w:rsidRDefault="00891047" w:rsidP="00FD0A85">
      <w:pPr>
        <w:bidi w:val="0"/>
        <w:spacing w:after="0" w:line="360" w:lineRule="auto"/>
      </w:pPr>
      <w:r>
        <w:t>We tested the effect of this contamination on gene prediction results by mapping the transcript sequences of nonreference genes from the DN 50</w:t>
      </w:r>
      <w:r w:rsidRPr="002D0752">
        <w:t xml:space="preserve">× </w:t>
      </w:r>
      <w:r w:rsidR="001872E7" w:rsidRPr="002D0752">
        <w:t xml:space="preserve">pan-genome to the Hemiptera DB, using Minimap2. None of the transcripts showed significant similarity to </w:t>
      </w:r>
      <w:r w:rsidR="001872E7">
        <w:t>Hemiptera genomes, indicating no gene models of aphid origin were incorporated into the pan-genome.</w:t>
      </w:r>
    </w:p>
    <w:p w14:paraId="2AB8F4AF" w14:textId="77777777" w:rsidR="009F40CA" w:rsidRPr="00F24B12" w:rsidRDefault="009F40CA" w:rsidP="009F40CA">
      <w:pPr>
        <w:bidi w:val="0"/>
        <w:spacing w:after="0" w:line="360" w:lineRule="auto"/>
      </w:pPr>
    </w:p>
    <w:p w14:paraId="05DF0EB6" w14:textId="72A13AD8" w:rsidR="00B25AF6" w:rsidRDefault="00B25AF6" w:rsidP="00FD0A85">
      <w:pPr>
        <w:pStyle w:val="Heading2"/>
        <w:bidi w:val="0"/>
        <w:spacing w:before="0" w:line="360" w:lineRule="auto"/>
      </w:pPr>
      <w:r>
        <w:t>Supplementary note 4 – analysis of gene presence-absence detection thresholds in the Map-to-pan approach</w:t>
      </w:r>
    </w:p>
    <w:p w14:paraId="2E5B7817" w14:textId="6EF1CBB2" w:rsidR="00B25AF6" w:rsidRDefault="00D0659B" w:rsidP="00FD0A85">
      <w:pPr>
        <w:bidi w:val="0"/>
        <w:spacing w:after="0" w:line="360" w:lineRule="auto"/>
      </w:pPr>
      <w:r>
        <w:t xml:space="preserve">The last step of the MTP </w:t>
      </w:r>
      <w:r w:rsidR="004A5574">
        <w:t xml:space="preserve">pan-genome </w:t>
      </w:r>
      <w:r>
        <w:t xml:space="preserve">construction procedure (Figure 1) is aimed at determining the presence of all reference and nonreference pan-genes in each of the </w:t>
      </w:r>
      <w:r w:rsidR="00D624B3">
        <w:t>examined accessions to create the gene PAV matrix. This is achieved through mapping of short sequencing reads</w:t>
      </w:r>
      <w:r w:rsidR="006E3373">
        <w:t xml:space="preserve"> </w:t>
      </w:r>
      <w:r w:rsidR="00D624B3">
        <w:t xml:space="preserve">to the </w:t>
      </w:r>
      <w:r w:rsidR="006E3373">
        <w:t xml:space="preserve">genomic </w:t>
      </w:r>
      <w:r w:rsidR="00D624B3">
        <w:t>reference and nonreference pan-geno</w:t>
      </w:r>
      <w:r w:rsidR="006E3373">
        <w:t>me</w:t>
      </w:r>
      <w:r w:rsidR="00D624B3">
        <w:t xml:space="preserve"> </w:t>
      </w:r>
      <w:proofErr w:type="gramStart"/>
      <w:r w:rsidR="00D624B3">
        <w:t>sequences  and</w:t>
      </w:r>
      <w:proofErr w:type="gramEnd"/>
      <w:r w:rsidR="00D624B3">
        <w:t xml:space="preserve"> analysis of coverage patterns for each gene. This usually requires the </w:t>
      </w:r>
      <w:r w:rsidR="004A5574">
        <w:t>choice of values</w:t>
      </w:r>
      <w:r w:rsidR="006E3373">
        <w:t xml:space="preserve"> </w:t>
      </w:r>
      <w:r w:rsidR="004A5574">
        <w:t>for</w:t>
      </w:r>
      <w:r w:rsidR="006E3373">
        <w:t xml:space="preserve"> two parameters</w:t>
      </w:r>
      <w:r w:rsidR="00D624B3">
        <w:t>:</w:t>
      </w:r>
    </w:p>
    <w:p w14:paraId="10C4491E" w14:textId="76E4632B" w:rsidR="00D624B3" w:rsidRDefault="00D624B3" w:rsidP="00FD0A85">
      <w:pPr>
        <w:pStyle w:val="ListParagraph"/>
        <w:numPr>
          <w:ilvl w:val="0"/>
          <w:numId w:val="2"/>
        </w:numPr>
        <w:bidi w:val="0"/>
        <w:spacing w:after="0" w:line="360" w:lineRule="auto"/>
      </w:pPr>
      <w:r>
        <w:t xml:space="preserve">The depth threshold </w:t>
      </w:r>
      <w:r w:rsidR="00E02080">
        <w:t>–</w:t>
      </w:r>
      <w:r>
        <w:t xml:space="preserve"> </w:t>
      </w:r>
      <w:r w:rsidR="00E02080">
        <w:t>the minimal number of</w:t>
      </w:r>
      <w:r>
        <w:t xml:space="preserve"> mapped reads required to label a given position in the gene sequence "covered".</w:t>
      </w:r>
    </w:p>
    <w:p w14:paraId="03036886" w14:textId="2EE4E7FC" w:rsidR="00D624B3" w:rsidRDefault="00D624B3" w:rsidP="00FD0A85">
      <w:pPr>
        <w:pStyle w:val="ListParagraph"/>
        <w:numPr>
          <w:ilvl w:val="0"/>
          <w:numId w:val="2"/>
        </w:numPr>
        <w:bidi w:val="0"/>
        <w:spacing w:after="0" w:line="360" w:lineRule="auto"/>
      </w:pPr>
      <w:r>
        <w:t xml:space="preserve">The coverage threshold – the </w:t>
      </w:r>
      <w:r w:rsidR="00E02080">
        <w:t xml:space="preserve">minimal </w:t>
      </w:r>
      <w:r>
        <w:t xml:space="preserve">percentage of the gene sequence labeled as "covered" </w:t>
      </w:r>
      <w:r w:rsidR="002E6F97">
        <w:t>required to assign</w:t>
      </w:r>
      <w:r w:rsidR="00E02080">
        <w:t xml:space="preserve"> the gene as present in a given accession.</w:t>
      </w:r>
    </w:p>
    <w:p w14:paraId="083879C1" w14:textId="18629639" w:rsidR="004033B8" w:rsidRDefault="004033B8" w:rsidP="00FD0A85">
      <w:pPr>
        <w:bidi w:val="0"/>
        <w:spacing w:after="0" w:line="360" w:lineRule="auto"/>
      </w:pPr>
      <w:r>
        <w:lastRenderedPageBreak/>
        <w:t>Different pan-genome studies have arbitrarily used different thresholds, without reporting the effects of the value choice on the obtained pan-genome.</w:t>
      </w:r>
      <w:r w:rsidR="006E3373">
        <w:t xml:space="preserve"> We therefore analyzed the effect of these two parameters to gain a general understanding </w:t>
      </w:r>
      <w:r w:rsidR="00251FD3">
        <w:t>on</w:t>
      </w:r>
      <w:r w:rsidR="006E3373">
        <w:t xml:space="preserve"> how they impact gene presence-absence detection</w:t>
      </w:r>
      <w:r w:rsidR="00251FD3">
        <w:t xml:space="preserve"> by the MTP approach,</w:t>
      </w:r>
      <w:r w:rsidR="006E3373">
        <w:t xml:space="preserve"> and the inferred pan-genome composition.</w:t>
      </w:r>
    </w:p>
    <w:p w14:paraId="6A5E8E18" w14:textId="583B779E" w:rsidR="005E3824" w:rsidRDefault="001A622A" w:rsidP="00FD0A85">
      <w:pPr>
        <w:bidi w:val="0"/>
        <w:spacing w:after="0" w:line="360" w:lineRule="auto"/>
      </w:pPr>
      <w:r>
        <w:t>We began by examining the effect of the depth threshold</w:t>
      </w:r>
      <w:r w:rsidR="00C27034">
        <w:t xml:space="preserve"> parameter</w:t>
      </w:r>
      <w:r>
        <w:t xml:space="preserve"> on the </w:t>
      </w:r>
      <w:r w:rsidR="00C27034">
        <w:t xml:space="preserve">percentage of gene coverage across all pan-genes of a single </w:t>
      </w:r>
      <w:r w:rsidR="00C27034">
        <w:rPr>
          <w:i/>
          <w:iCs/>
        </w:rPr>
        <w:t>A. thaliana</w:t>
      </w:r>
      <w:r w:rsidR="00C27034">
        <w:t xml:space="preserve"> ecotype (An-1), using 50</w:t>
      </w:r>
      <w:r w:rsidR="00C27034">
        <w:rPr>
          <w:rFonts w:ascii="Arial" w:hAnsi="Arial" w:cs="Arial"/>
        </w:rPr>
        <w:t>×</w:t>
      </w:r>
      <w:r w:rsidR="00C27034">
        <w:t xml:space="preserve"> sequencing data. </w:t>
      </w:r>
      <w:r w:rsidR="00CC1959">
        <w:t>As expected, u</w:t>
      </w:r>
      <w:r w:rsidR="00C27034">
        <w:t>sing depth thresholds of 1, 5, 10, 15, 20, 30, 40, and 50 reads</w:t>
      </w:r>
      <w:r w:rsidR="00CC1959">
        <w:t xml:space="preserve"> resulted in</w:t>
      </w:r>
      <w:r w:rsidR="00C27034">
        <w:t xml:space="preserve"> </w:t>
      </w:r>
      <w:r w:rsidR="005F1E0A">
        <w:t>considerabl</w:t>
      </w:r>
      <w:r w:rsidR="00CC1959">
        <w:t>y</w:t>
      </w:r>
      <w:r w:rsidR="005F1E0A">
        <w:t xml:space="preserve"> differen</w:t>
      </w:r>
      <w:r w:rsidR="00CC1959">
        <w:t>t</w:t>
      </w:r>
      <w:r w:rsidR="005F1E0A">
        <w:t xml:space="preserve"> </w:t>
      </w:r>
      <w:r w:rsidR="00CC1959">
        <w:t xml:space="preserve">distributions of gene coverage, with lower threshold values leading to high gene coverage values (Supplementary Figure </w:t>
      </w:r>
      <w:r w:rsidR="00912417">
        <w:t>S5</w:t>
      </w:r>
      <w:r w:rsidR="00CC1959">
        <w:t xml:space="preserve">A). Notably, intermediate depth thresholds (20,30,40) resulted </w:t>
      </w:r>
      <w:r w:rsidR="00CF0005">
        <w:t xml:space="preserve">in </w:t>
      </w:r>
      <w:r w:rsidR="00CC1959">
        <w:t xml:space="preserve">higher variation among genes compared to more extreme values (1-15 and 50). </w:t>
      </w:r>
      <w:r w:rsidR="00CF0005">
        <w:t xml:space="preserve">Next, we </w:t>
      </w:r>
      <w:r w:rsidR="001903E6">
        <w:t>computed the percentage of genes determined as present in the examined ecotype out of the total 27,960 pan-genes, using different values of the depth and coverage thresholds</w:t>
      </w:r>
      <w:r w:rsidR="00FD7045">
        <w:t xml:space="preserve"> (Supplementary Figure S5B)</w:t>
      </w:r>
      <w:r w:rsidR="001903E6">
        <w:t>. Using lenient depth thresholds between 1 and 15 resulted in gene presence percentage &gt; 90% for any coverage threshold &lt; 95</w:t>
      </w:r>
      <w:r w:rsidR="00FD7045">
        <w:t xml:space="preserve">%. Using a depth threshold of 20 and coverage threshold of 75% resulted in a gene presence percentage </w:t>
      </w:r>
      <w:proofErr w:type="gramStart"/>
      <w:r w:rsidR="00FD7045">
        <w:t>similar to</w:t>
      </w:r>
      <w:proofErr w:type="gramEnd"/>
      <w:r w:rsidR="00FD7045">
        <w:t xml:space="preserve"> the one observed using the DN approach (87%). Depth thresholds of 30 or higher resulted in unrealistically low gene presence percentages for almost any coverage threshold.</w:t>
      </w:r>
    </w:p>
    <w:p w14:paraId="57556270" w14:textId="07F745AD" w:rsidR="001A622A" w:rsidRDefault="00DA7797" w:rsidP="00FD0A85">
      <w:pPr>
        <w:bidi w:val="0"/>
        <w:spacing w:after="0" w:line="360" w:lineRule="auto"/>
      </w:pPr>
      <w:r>
        <w:t>We further examined the effect of the threshold parameters on two measures related to the pan-genome composition (using the 50</w:t>
      </w:r>
      <w:r>
        <w:rPr>
          <w:rFonts w:ascii="Arial" w:hAnsi="Arial" w:cs="Arial"/>
        </w:rPr>
        <w:t>×</w:t>
      </w:r>
      <w:r>
        <w:t xml:space="preserve"> pan-genome): the percentage of core pan-genes (present in all eight accessions</w:t>
      </w:r>
      <w:r w:rsidR="006D0A6C">
        <w:t>; Supplementary Figure S5C</w:t>
      </w:r>
      <w:r>
        <w:t>) and the overall gene occupancy (see the main text for details</w:t>
      </w:r>
      <w:r w:rsidR="006D0A6C">
        <w:t>; Supplementary Figure S5D</w:t>
      </w:r>
      <w:r>
        <w:t xml:space="preserve">). The observed patterns were </w:t>
      </w:r>
      <w:proofErr w:type="gramStart"/>
      <w:r>
        <w:t>similar to</w:t>
      </w:r>
      <w:proofErr w:type="gramEnd"/>
      <w:r>
        <w:t xml:space="preserve"> those described above, with low </w:t>
      </w:r>
      <w:r w:rsidR="00C46B49">
        <w:t xml:space="preserve">depth and coverage threshold values resulting </w:t>
      </w:r>
      <w:r w:rsidR="006D0A6C">
        <w:t xml:space="preserve">in high percentage of core genes and gene occupancies. The percentage of core genes detected </w:t>
      </w:r>
      <w:proofErr w:type="gramStart"/>
      <w:r w:rsidR="006D0A6C">
        <w:t xml:space="preserve">by </w:t>
      </w:r>
      <w:r>
        <w:t xml:space="preserve"> </w:t>
      </w:r>
      <w:r w:rsidR="006D0A6C">
        <w:t>the</w:t>
      </w:r>
      <w:proofErr w:type="gramEnd"/>
      <w:r w:rsidR="006D0A6C">
        <w:t xml:space="preserve"> DN approach (73%) was observed with depth </w:t>
      </w:r>
      <w:r w:rsidR="00CB4D9A">
        <w:t xml:space="preserve">and coverage </w:t>
      </w:r>
      <w:r w:rsidR="006D0A6C">
        <w:t>threshold</w:t>
      </w:r>
      <w:r w:rsidR="00CB4D9A">
        <w:t>s considerably more stringent than commonly used (e.g. depth threshold 15 and coverage threshold 55%, or depth threshold 10 and coverage threshold 80%).</w:t>
      </w:r>
    </w:p>
    <w:p w14:paraId="44768B2C" w14:textId="6C134AB6" w:rsidR="00CC2F6A" w:rsidRPr="00FD0A85" w:rsidRDefault="00AF1340" w:rsidP="00FD0A85">
      <w:pPr>
        <w:bidi w:val="0"/>
        <w:spacing w:after="0" w:line="360" w:lineRule="auto"/>
      </w:pPr>
      <w:r>
        <w:t>In most studies which applied the MTP approach</w:t>
      </w:r>
      <w:r w:rsidR="00A54360">
        <w:t xml:space="preserve"> (including this one)</w:t>
      </w:r>
      <w:r>
        <w:t xml:space="preserve">, the depth threshold was </w:t>
      </w:r>
      <w:r w:rsidR="00A54360">
        <w:t>specified</w:t>
      </w:r>
      <w:r>
        <w:t xml:space="preserve"> as an absolute number of reads. However, the choice of th</w:t>
      </w:r>
      <w:r w:rsidR="00A54360">
        <w:t>is</w:t>
      </w:r>
      <w:r>
        <w:t xml:space="preserve"> </w:t>
      </w:r>
      <w:r w:rsidR="00A074CB">
        <w:t>parameter</w:t>
      </w:r>
      <w:r w:rsidR="00A54360">
        <w:t xml:space="preserve"> value</w:t>
      </w:r>
      <w:r>
        <w:t xml:space="preserve"> should obviously be based on the </w:t>
      </w:r>
      <w:r w:rsidR="00A54360">
        <w:t>amount of</w:t>
      </w:r>
      <w:r>
        <w:t xml:space="preserve"> </w:t>
      </w:r>
      <w:r w:rsidR="00A54360">
        <w:t xml:space="preserve">available sequencing data, and </w:t>
      </w:r>
      <w:r w:rsidR="00203DCF">
        <w:t>thus</w:t>
      </w:r>
      <w:r w:rsidR="00A54360">
        <w:t xml:space="preserve"> </w:t>
      </w:r>
      <w:r w:rsidR="00B35C20">
        <w:t xml:space="preserve">may </w:t>
      </w:r>
      <w:r w:rsidR="00A54360">
        <w:t>be specified as a fraction of the mean sequencing depth</w:t>
      </w:r>
      <w:r>
        <w:t xml:space="preserve">. </w:t>
      </w:r>
      <w:r w:rsidR="00A54360">
        <w:t xml:space="preserve">We therefore analyzed the effect of </w:t>
      </w:r>
      <w:r w:rsidR="00F02D9A">
        <w:t xml:space="preserve">the mean sequencing depth when using various depth fraction thresholds. </w:t>
      </w:r>
      <w:proofErr w:type="gramStart"/>
      <w:r w:rsidR="00F02D9A">
        <w:t>For the purpose of</w:t>
      </w:r>
      <w:proofErr w:type="gramEnd"/>
      <w:r w:rsidR="00F02D9A">
        <w:t xml:space="preserve"> this analysis, we fixed the coverage threshold at 50% and computed the mean sequencing </w:t>
      </w:r>
      <w:r w:rsidR="00F02D9A">
        <w:lastRenderedPageBreak/>
        <w:t>depth against the percentage of gene presence in a single ecotype (An-1), using different depth fraction thresholds (0.1, 0.3, 0.5, 0.7, 0.9; Supplementary Figure S5E).</w:t>
      </w:r>
      <w:r w:rsidR="00CA1DAA">
        <w:t xml:space="preserve"> </w:t>
      </w:r>
      <w:r w:rsidR="00B35C20">
        <w:t>The sequencing depth appears to have only a modest effect on the gene presence</w:t>
      </w:r>
      <w:r w:rsidR="0046567E">
        <w:t>-</w:t>
      </w:r>
      <w:bookmarkStart w:id="0" w:name="_GoBack"/>
      <w:bookmarkEnd w:id="0"/>
      <w:r w:rsidR="00B35C20">
        <w:t xml:space="preserve">absence inferences, </w:t>
      </w:r>
      <w:r w:rsidR="005D39B0">
        <w:t>indicating that setting the threshold as a fraction of the mean depth rather than as an absolute number is an effective</w:t>
      </w:r>
      <w:r w:rsidR="00300AF9">
        <w:rPr>
          <w:rFonts w:hint="cs"/>
          <w:rtl/>
        </w:rPr>
        <w:t xml:space="preserve"> </w:t>
      </w:r>
      <w:r w:rsidR="00300AF9">
        <w:t>way to perform this type of analysis.</w:t>
      </w:r>
    </w:p>
    <w:sectPr w:rsidR="00CC2F6A" w:rsidRPr="00FD0A85" w:rsidSect="00BB3B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44BF" w14:textId="77777777" w:rsidR="000A4C17" w:rsidRDefault="000A4C17" w:rsidP="00835FB8">
      <w:pPr>
        <w:spacing w:after="0" w:line="240" w:lineRule="auto"/>
      </w:pPr>
      <w:r>
        <w:separator/>
      </w:r>
    </w:p>
  </w:endnote>
  <w:endnote w:type="continuationSeparator" w:id="0">
    <w:p w14:paraId="4566F398" w14:textId="77777777" w:rsidR="000A4C17" w:rsidRDefault="000A4C17" w:rsidP="0083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75385035"/>
      <w:docPartObj>
        <w:docPartGallery w:val="Page Numbers (Bottom of Page)"/>
        <w:docPartUnique/>
      </w:docPartObj>
    </w:sdtPr>
    <w:sdtContent>
      <w:p w14:paraId="4994A29F" w14:textId="4691E637" w:rsidR="00FD0A85" w:rsidRDefault="00FD0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BF961" w14:textId="77777777" w:rsidR="00FD0A85" w:rsidRDefault="00FD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D147" w14:textId="77777777" w:rsidR="000A4C17" w:rsidRDefault="000A4C17" w:rsidP="00835FB8">
      <w:pPr>
        <w:spacing w:after="0" w:line="240" w:lineRule="auto"/>
      </w:pPr>
      <w:r>
        <w:separator/>
      </w:r>
    </w:p>
  </w:footnote>
  <w:footnote w:type="continuationSeparator" w:id="0">
    <w:p w14:paraId="7CDA0226" w14:textId="77777777" w:rsidR="000A4C17" w:rsidRDefault="000A4C17" w:rsidP="0083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F78A" w14:textId="74A81B21" w:rsidR="00835FB8" w:rsidRPr="00835FB8" w:rsidRDefault="00835FB8" w:rsidP="00835FB8">
    <w:pPr>
      <w:pStyle w:val="Header"/>
      <w:bidi w:val="0"/>
      <w:rPr>
        <w:b/>
        <w:bCs/>
      </w:rPr>
    </w:pPr>
    <w:r>
      <w:t xml:space="preserve">Glick &amp; </w:t>
    </w:r>
    <w:proofErr w:type="spellStart"/>
    <w:r>
      <w:t>Mayrose</w:t>
    </w:r>
    <w:proofErr w:type="spellEnd"/>
    <w:r>
      <w:t xml:space="preserve">, </w:t>
    </w:r>
    <w:r w:rsidRPr="00FD7246">
      <w:rPr>
        <w:b/>
        <w:bCs/>
      </w:rPr>
      <w:t>Plant pan-genomes are highly vulnerable to methodological considerations</w:t>
    </w:r>
  </w:p>
  <w:p w14:paraId="198FC8D2" w14:textId="5F104C63" w:rsidR="00835FB8" w:rsidRPr="00835FB8" w:rsidRDefault="00835FB8">
    <w:pPr>
      <w:pStyle w:val="Header"/>
    </w:pPr>
  </w:p>
  <w:p w14:paraId="70571569" w14:textId="77777777" w:rsidR="00835FB8" w:rsidRDefault="0083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0D"/>
    <w:multiLevelType w:val="hybridMultilevel"/>
    <w:tmpl w:val="3772906C"/>
    <w:lvl w:ilvl="0" w:tplc="449A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BD0"/>
    <w:multiLevelType w:val="hybridMultilevel"/>
    <w:tmpl w:val="485EB12C"/>
    <w:lvl w:ilvl="0" w:tplc="29F2A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D0"/>
    <w:rsid w:val="00014AF3"/>
    <w:rsid w:val="0006277F"/>
    <w:rsid w:val="000A4C17"/>
    <w:rsid w:val="000E630F"/>
    <w:rsid w:val="000F7284"/>
    <w:rsid w:val="00130009"/>
    <w:rsid w:val="00177356"/>
    <w:rsid w:val="001872E7"/>
    <w:rsid w:val="001903E6"/>
    <w:rsid w:val="001A622A"/>
    <w:rsid w:val="001E5B7F"/>
    <w:rsid w:val="00203DCF"/>
    <w:rsid w:val="0022478D"/>
    <w:rsid w:val="002346DA"/>
    <w:rsid w:val="00251FD3"/>
    <w:rsid w:val="0025761C"/>
    <w:rsid w:val="002927FA"/>
    <w:rsid w:val="002D0752"/>
    <w:rsid w:val="002E6F97"/>
    <w:rsid w:val="00300AF9"/>
    <w:rsid w:val="003053AB"/>
    <w:rsid w:val="00326A03"/>
    <w:rsid w:val="00344D2B"/>
    <w:rsid w:val="004033B8"/>
    <w:rsid w:val="004223A8"/>
    <w:rsid w:val="004330AA"/>
    <w:rsid w:val="0046567E"/>
    <w:rsid w:val="00465860"/>
    <w:rsid w:val="004A5574"/>
    <w:rsid w:val="004D442D"/>
    <w:rsid w:val="00534036"/>
    <w:rsid w:val="0054133C"/>
    <w:rsid w:val="00551BD0"/>
    <w:rsid w:val="00581558"/>
    <w:rsid w:val="005C19D4"/>
    <w:rsid w:val="005D39B0"/>
    <w:rsid w:val="005E3824"/>
    <w:rsid w:val="005F1E0A"/>
    <w:rsid w:val="005F66DF"/>
    <w:rsid w:val="006268D7"/>
    <w:rsid w:val="006431E1"/>
    <w:rsid w:val="006537F7"/>
    <w:rsid w:val="006A1D77"/>
    <w:rsid w:val="006A4650"/>
    <w:rsid w:val="006D0A6C"/>
    <w:rsid w:val="006E3373"/>
    <w:rsid w:val="006F1B34"/>
    <w:rsid w:val="0072648E"/>
    <w:rsid w:val="00767FC9"/>
    <w:rsid w:val="007E3AA1"/>
    <w:rsid w:val="00811CF6"/>
    <w:rsid w:val="008318E1"/>
    <w:rsid w:val="00835FB8"/>
    <w:rsid w:val="00873FD9"/>
    <w:rsid w:val="0088786A"/>
    <w:rsid w:val="00891047"/>
    <w:rsid w:val="008C03E2"/>
    <w:rsid w:val="008E6D67"/>
    <w:rsid w:val="00912417"/>
    <w:rsid w:val="00944EAA"/>
    <w:rsid w:val="00990FAE"/>
    <w:rsid w:val="009C4BC3"/>
    <w:rsid w:val="009D362E"/>
    <w:rsid w:val="009F40CA"/>
    <w:rsid w:val="009F48F5"/>
    <w:rsid w:val="00A074CB"/>
    <w:rsid w:val="00A17B20"/>
    <w:rsid w:val="00A31F8E"/>
    <w:rsid w:val="00A54360"/>
    <w:rsid w:val="00A70A15"/>
    <w:rsid w:val="00A71DC0"/>
    <w:rsid w:val="00A857AC"/>
    <w:rsid w:val="00A973A9"/>
    <w:rsid w:val="00AE6A1E"/>
    <w:rsid w:val="00AF05C2"/>
    <w:rsid w:val="00AF1340"/>
    <w:rsid w:val="00B25AF6"/>
    <w:rsid w:val="00B35C20"/>
    <w:rsid w:val="00B376BC"/>
    <w:rsid w:val="00B4003D"/>
    <w:rsid w:val="00B7593F"/>
    <w:rsid w:val="00BB3B36"/>
    <w:rsid w:val="00C07A04"/>
    <w:rsid w:val="00C13CB4"/>
    <w:rsid w:val="00C27034"/>
    <w:rsid w:val="00C46B49"/>
    <w:rsid w:val="00C81517"/>
    <w:rsid w:val="00CA1DAA"/>
    <w:rsid w:val="00CA3B7A"/>
    <w:rsid w:val="00CB4D9A"/>
    <w:rsid w:val="00CC1959"/>
    <w:rsid w:val="00CC2F6A"/>
    <w:rsid w:val="00CF0005"/>
    <w:rsid w:val="00D0659B"/>
    <w:rsid w:val="00D254AE"/>
    <w:rsid w:val="00D454AC"/>
    <w:rsid w:val="00D60C74"/>
    <w:rsid w:val="00D624B3"/>
    <w:rsid w:val="00DA7797"/>
    <w:rsid w:val="00E01D59"/>
    <w:rsid w:val="00E02080"/>
    <w:rsid w:val="00E36CD4"/>
    <w:rsid w:val="00ED5C10"/>
    <w:rsid w:val="00EF4041"/>
    <w:rsid w:val="00F02D9A"/>
    <w:rsid w:val="00F17068"/>
    <w:rsid w:val="00F24B12"/>
    <w:rsid w:val="00F55343"/>
    <w:rsid w:val="00F85238"/>
    <w:rsid w:val="00FD0A85"/>
    <w:rsid w:val="00FD7045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8263"/>
  <w15:chartTrackingRefBased/>
  <w15:docId w15:val="{F74E1153-5E30-460B-BE1A-E5659C1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F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5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5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B8"/>
  </w:style>
  <w:style w:type="paragraph" w:styleId="Footer">
    <w:name w:val="footer"/>
    <w:basedOn w:val="Normal"/>
    <w:link w:val="FooterChar"/>
    <w:uiPriority w:val="99"/>
    <w:unhideWhenUsed/>
    <w:rsid w:val="00835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B8"/>
  </w:style>
  <w:style w:type="character" w:customStyle="1" w:styleId="Heading2Char">
    <w:name w:val="Heading 2 Char"/>
    <w:basedOn w:val="DefaultParagraphFont"/>
    <w:link w:val="Heading2"/>
    <w:uiPriority w:val="9"/>
    <w:rsid w:val="00FD0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1678</Words>
  <Characters>8391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Lior Glick</cp:lastModifiedBy>
  <cp:revision>57</cp:revision>
  <cp:lastPrinted>2022-03-03T09:22:00Z</cp:lastPrinted>
  <dcterms:created xsi:type="dcterms:W3CDTF">2022-01-18T12:18:00Z</dcterms:created>
  <dcterms:modified xsi:type="dcterms:W3CDTF">2022-03-03T10:12:00Z</dcterms:modified>
</cp:coreProperties>
</file>