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4C85" w14:textId="77777777" w:rsidR="0046067B" w:rsidRDefault="0046067B" w:rsidP="0046067B">
      <w:pPr>
        <w:rPr>
          <w:rFonts w:ascii="Times New Roman"/>
        </w:rPr>
      </w:pPr>
      <w:r w:rsidRPr="00A87A59">
        <w:rPr>
          <w:rFonts w:ascii="Times New Roman"/>
          <w:b/>
          <w:bCs/>
        </w:rPr>
        <w:t>Supplementary Table 1</w:t>
      </w:r>
      <w:r>
        <w:rPr>
          <w:rFonts w:ascii="Times New Roman"/>
        </w:rPr>
        <w:t>. Criteria to distinguish narrow funnel-like interaction energy distribution of whole interaction pairs</w:t>
      </w:r>
    </w:p>
    <w:p w14:paraId="5397BA65" w14:textId="1FB40277" w:rsidR="00936719" w:rsidRDefault="0046067B" w:rsidP="0046067B">
      <w:r>
        <w:rPr>
          <w:rFonts w:ascii="Times New Roman" w:hAnsi="Times New Roman" w:cs="Times New Roman"/>
          <w:noProof/>
        </w:rPr>
        <w:drawing>
          <wp:inline distT="0" distB="0" distL="0" distR="0" wp14:anchorId="3D9E9A43" wp14:editId="0890D1FD">
            <wp:extent cx="5713171" cy="826238"/>
            <wp:effectExtent l="0" t="0" r="1905" b="0"/>
            <wp:docPr id="72" name="그림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61" cy="841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F4507" w14:textId="4598076B" w:rsidR="0046067B" w:rsidRDefault="0046067B" w:rsidP="0046067B"/>
    <w:p w14:paraId="74616098" w14:textId="56C3A76C" w:rsidR="0046067B" w:rsidRDefault="0046067B" w:rsidP="0046067B"/>
    <w:p w14:paraId="2AFAABFC" w14:textId="6DA49C8A" w:rsidR="0046067B" w:rsidRDefault="0046067B" w:rsidP="0046067B"/>
    <w:p w14:paraId="5F164A99" w14:textId="7538C225" w:rsidR="0046067B" w:rsidRDefault="0046067B" w:rsidP="0046067B"/>
    <w:p w14:paraId="1D7CFB3B" w14:textId="5EBECE97" w:rsidR="0046067B" w:rsidRDefault="0046067B" w:rsidP="0046067B"/>
    <w:p w14:paraId="59084D9F" w14:textId="2E96B3A4" w:rsidR="0046067B" w:rsidRDefault="0046067B" w:rsidP="0046067B"/>
    <w:p w14:paraId="66765D1D" w14:textId="65DF06C3" w:rsidR="0046067B" w:rsidRDefault="0046067B" w:rsidP="0046067B"/>
    <w:p w14:paraId="38134FE4" w14:textId="57ECAAA1" w:rsidR="0046067B" w:rsidRDefault="0046067B" w:rsidP="0046067B"/>
    <w:p w14:paraId="2D5AC34C" w14:textId="0E03082A" w:rsidR="0046067B" w:rsidRDefault="0046067B" w:rsidP="0046067B"/>
    <w:p w14:paraId="255CE6A9" w14:textId="7809AC18" w:rsidR="0046067B" w:rsidRDefault="0046067B" w:rsidP="0046067B"/>
    <w:p w14:paraId="261C1898" w14:textId="1EE84D12" w:rsidR="0046067B" w:rsidRDefault="0046067B" w:rsidP="0046067B"/>
    <w:p w14:paraId="50E17AD0" w14:textId="75315E24" w:rsidR="0046067B" w:rsidRDefault="0046067B" w:rsidP="0046067B"/>
    <w:p w14:paraId="01F59074" w14:textId="44B371E8" w:rsidR="0046067B" w:rsidRDefault="0046067B" w:rsidP="0046067B"/>
    <w:p w14:paraId="33259ADD" w14:textId="44B2E900" w:rsidR="0046067B" w:rsidRDefault="0046067B" w:rsidP="0046067B"/>
    <w:p w14:paraId="1EA1813D" w14:textId="34E7CBA4" w:rsidR="0046067B" w:rsidRDefault="0046067B" w:rsidP="0046067B"/>
    <w:p w14:paraId="3B7C1B2F" w14:textId="232BB44A" w:rsidR="0046067B" w:rsidRDefault="0046067B" w:rsidP="0046067B"/>
    <w:p w14:paraId="5EB04908" w14:textId="2BEEA30E" w:rsidR="0046067B" w:rsidRDefault="0046067B" w:rsidP="0046067B"/>
    <w:p w14:paraId="7CF2202E" w14:textId="6FC98B94" w:rsidR="0046067B" w:rsidRDefault="0046067B" w:rsidP="0046067B"/>
    <w:p w14:paraId="21FCAB2C" w14:textId="753F7AF1" w:rsidR="0046067B" w:rsidRDefault="0046067B" w:rsidP="0046067B"/>
    <w:p w14:paraId="1F5C6617" w14:textId="36C5419E" w:rsidR="0046067B" w:rsidRDefault="0046067B" w:rsidP="0046067B"/>
    <w:p w14:paraId="48732C41" w14:textId="05759BFF" w:rsidR="0046067B" w:rsidRDefault="0046067B" w:rsidP="0046067B"/>
    <w:p w14:paraId="0BEE4C13" w14:textId="4FE91E7D" w:rsidR="0046067B" w:rsidRDefault="0046067B" w:rsidP="0046067B"/>
    <w:p w14:paraId="4ECB94C8" w14:textId="77777777" w:rsidR="0046067B" w:rsidRDefault="0046067B" w:rsidP="0046067B">
      <w:pPr>
        <w:rPr>
          <w:rFonts w:ascii="Times New Roman"/>
        </w:rPr>
      </w:pPr>
      <w:r w:rsidRPr="00A87A59">
        <w:rPr>
          <w:rFonts w:ascii="Times New Roman"/>
          <w:b/>
          <w:bCs/>
        </w:rPr>
        <w:lastRenderedPageBreak/>
        <w:t xml:space="preserve">Supplementary Table </w:t>
      </w:r>
      <w:r>
        <w:rPr>
          <w:rFonts w:ascii="Times New Roman"/>
          <w:b/>
          <w:bCs/>
        </w:rPr>
        <w:t>2</w:t>
      </w:r>
      <w:r>
        <w:rPr>
          <w:rFonts w:ascii="Times New Roman"/>
        </w:rPr>
        <w:t>. Criteria to distinguish narrow funnel-like interaction energy distribution of interaction pairs with high-accuracy structure prediction results.</w:t>
      </w:r>
    </w:p>
    <w:p w14:paraId="7317AA6C" w14:textId="77777777" w:rsidR="0046067B" w:rsidRDefault="0046067B" w:rsidP="004606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F1F568" wp14:editId="76608081">
            <wp:extent cx="5744540" cy="830109"/>
            <wp:effectExtent l="0" t="0" r="0" b="8255"/>
            <wp:docPr id="73" name="그림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81" cy="845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11328" w14:textId="77777777" w:rsidR="0046067B" w:rsidRDefault="0046067B" w:rsidP="0046067B">
      <w:pPr>
        <w:rPr>
          <w:rFonts w:hint="eastAsia"/>
        </w:rPr>
      </w:pPr>
    </w:p>
    <w:sectPr w:rsidR="004606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7B"/>
    <w:rsid w:val="0046067B"/>
    <w:rsid w:val="009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B34C"/>
  <w15:chartTrackingRefBased/>
  <w15:docId w15:val="{0F8F22F1-84F3-459B-8C15-6D7A1CEB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JUYOUNG</dc:creator>
  <cp:keywords/>
  <dc:description/>
  <cp:lastModifiedBy>CHOI JUYOUNG</cp:lastModifiedBy>
  <cp:revision>1</cp:revision>
  <dcterms:created xsi:type="dcterms:W3CDTF">2022-02-28T22:33:00Z</dcterms:created>
  <dcterms:modified xsi:type="dcterms:W3CDTF">2022-02-28T22:34:00Z</dcterms:modified>
</cp:coreProperties>
</file>