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6C813" w14:textId="77777777" w:rsidR="00250424" w:rsidRDefault="00363CF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Table S1 Primers used in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 xml:space="preserve">-PCR </w:t>
      </w:r>
    </w:p>
    <w:tbl>
      <w:tblPr>
        <w:tblW w:w="9016" w:type="dxa"/>
        <w:jc w:val="center"/>
        <w:tblLook w:val="04A0" w:firstRow="1" w:lastRow="0" w:firstColumn="1" w:lastColumn="0" w:noHBand="0" w:noVBand="1"/>
      </w:tblPr>
      <w:tblGrid>
        <w:gridCol w:w="1623"/>
        <w:gridCol w:w="3894"/>
        <w:gridCol w:w="3769"/>
      </w:tblGrid>
      <w:tr w:rsidR="00250424" w14:paraId="598F8F77" w14:textId="77777777">
        <w:trPr>
          <w:trHeight w:val="816"/>
          <w:jc w:val="center"/>
        </w:trPr>
        <w:tc>
          <w:tcPr>
            <w:tcW w:w="171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096769D" w14:textId="77777777" w:rsidR="00250424" w:rsidRDefault="00363CF9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Primer Name</w:t>
            </w:r>
          </w:p>
        </w:tc>
        <w:tc>
          <w:tcPr>
            <w:tcW w:w="36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7514CAA" w14:textId="77777777" w:rsidR="00250424" w:rsidRDefault="00363CF9">
            <w:pPr>
              <w:widowControl/>
              <w:spacing w:line="300" w:lineRule="auto"/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 xml:space="preserve">Upstream Primer </w:t>
            </w:r>
          </w:p>
          <w:p w14:paraId="54F6D140" w14:textId="77777777" w:rsidR="00250424" w:rsidRDefault="00363CF9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Sequence (</w:t>
            </w:r>
            <w:r>
              <w:rPr>
                <w:rFonts w:ascii="Times New Roman" w:hAnsi="Times New Roman" w:cs="Times New Roman"/>
                <w:bCs/>
                <w:sz w:val="24"/>
              </w:rPr>
              <w:t>5’-3’</w:t>
            </w: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)</w:t>
            </w:r>
          </w:p>
        </w:tc>
        <w:tc>
          <w:tcPr>
            <w:tcW w:w="3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BC666A2" w14:textId="77777777" w:rsidR="00250424" w:rsidRDefault="00363CF9">
            <w:pPr>
              <w:widowControl/>
              <w:spacing w:line="300" w:lineRule="auto"/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 xml:space="preserve">Downstream Primer </w:t>
            </w:r>
          </w:p>
          <w:p w14:paraId="255C1B49" w14:textId="77777777" w:rsidR="00250424" w:rsidRDefault="00363CF9">
            <w:pPr>
              <w:widowControl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Sequence (</w:t>
            </w:r>
            <w:r>
              <w:rPr>
                <w:rFonts w:ascii="Times New Roman" w:hAnsi="Times New Roman" w:cs="Times New Roman"/>
                <w:bCs/>
                <w:sz w:val="24"/>
              </w:rPr>
              <w:t>5’-3’</w:t>
            </w: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)</w:t>
            </w:r>
          </w:p>
        </w:tc>
      </w:tr>
      <w:tr w:rsidR="00250424" w14:paraId="13D859F9" w14:textId="77777777">
        <w:trPr>
          <w:trHeight w:val="118"/>
          <w:jc w:val="center"/>
        </w:trPr>
        <w:tc>
          <w:tcPr>
            <w:tcW w:w="17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7FC129" w14:textId="77777777" w:rsidR="00250424" w:rsidRDefault="00250424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22488B" w14:textId="77777777" w:rsidR="00250424" w:rsidRDefault="00250424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45BFB5" w14:textId="77777777" w:rsidR="00250424" w:rsidRDefault="00250424">
            <w:pPr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</w:p>
        </w:tc>
      </w:tr>
      <w:tr w:rsidR="00250424" w14:paraId="18415C9F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00696A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PSMC2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D8FE0C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CAGCACTCTGGGATTTGGCT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96D39F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TTTCTATCCACGCCCACTCTC</w:t>
            </w:r>
          </w:p>
        </w:tc>
      </w:tr>
      <w:tr w:rsidR="00250424" w14:paraId="4C2E5AE8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8AFBC8" w14:textId="77777777" w:rsidR="00250424" w:rsidRDefault="00363CF9">
            <w:pPr>
              <w:widowControl/>
              <w:spacing w:line="300" w:lineRule="auto"/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 xml:space="preserve">GAPDH 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9EE17" w14:textId="77777777" w:rsidR="00250424" w:rsidRDefault="00363CF9">
            <w:pPr>
              <w:widowControl/>
              <w:spacing w:line="300" w:lineRule="auto"/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TGACTTCAACAGCGACACCCA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D5FB84E" w14:textId="77777777" w:rsidR="00250424" w:rsidRDefault="00363CF9">
            <w:pPr>
              <w:widowControl/>
              <w:spacing w:line="300" w:lineRule="auto"/>
              <w:jc w:val="center"/>
              <w:rPr>
                <w:rFonts w:ascii="Times New Roman" w:eastAsia="微软雅黑" w:hAnsi="Times New Roman" w:cs="Times New Roman"/>
                <w:kern w:val="0"/>
                <w:sz w:val="24"/>
              </w:rPr>
            </w:pPr>
            <w:r>
              <w:rPr>
                <w:rFonts w:ascii="Times New Roman" w:eastAsia="微软雅黑" w:hAnsi="Times New Roman" w:cs="Times New Roman"/>
                <w:kern w:val="0"/>
                <w:sz w:val="24"/>
              </w:rPr>
              <w:t>CACCCTGTTGCTGTAGCCAAA</w:t>
            </w:r>
          </w:p>
        </w:tc>
      </w:tr>
      <w:tr w:rsidR="00250424" w14:paraId="0CE0F5A6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62569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BARD1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9FBBD0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ATCCTCAGTAGAAAGCCCAAGC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F4EACF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TCAGAATCGGGTCTCGCATG</w:t>
            </w:r>
          </w:p>
        </w:tc>
      </w:tr>
      <w:tr w:rsidR="00250424" w14:paraId="537E6856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3C8ABE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CHEK1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A35FA9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TTGGCTTGGCAACAGTATTTCG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99988E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CCAGCGAGCATTGCAGTAAGT</w:t>
            </w:r>
          </w:p>
        </w:tc>
      </w:tr>
      <w:tr w:rsidR="00250424" w14:paraId="639D961D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758289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FANCE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1D8CB3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GGAAACGCAGAAAGGACTCAG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AB7B15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CCTCTTCCCAACACCGTAATC</w:t>
            </w:r>
          </w:p>
        </w:tc>
      </w:tr>
      <w:tr w:rsidR="00250424" w14:paraId="46109BD1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94CD4C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FANCB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94B2A0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TGATAGCTTGGTTGTTGGAGTG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95920C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AAGTATGGTGCTGGGAAAGGA</w:t>
            </w:r>
          </w:p>
        </w:tc>
      </w:tr>
      <w:tr w:rsidR="00250424" w14:paraId="67D3D8F7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36896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FANCD2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4109A7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GGCTTGACAGAGTTGTGGATG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1C4D7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TAGGATCTCAGGTAGGCTGGTG</w:t>
            </w:r>
          </w:p>
        </w:tc>
      </w:tr>
      <w:tr w:rsidR="00250424" w14:paraId="1F3B737E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3771AB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BRCA1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108336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TGGCAACATACCATCTTCAACC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86A38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TGTCAATTCTGGCTTCTCCCT</w:t>
            </w:r>
          </w:p>
        </w:tc>
      </w:tr>
      <w:tr w:rsidR="00250424" w14:paraId="39D88E8C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CA6444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E2F8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756715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TGACGAAGTGGCAGAGGAAC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007D6C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CATCATAATCTGCTCGGCGTA</w:t>
            </w:r>
          </w:p>
        </w:tc>
      </w:tr>
      <w:tr w:rsidR="00250424" w14:paraId="5DDB15A1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E1638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RAD51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B3331E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CAGTGATGTCCTGGATAATGTAGC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BCC4EA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TGTTCTGTAAAGGGCGGTGG</w:t>
            </w:r>
          </w:p>
        </w:tc>
      </w:tr>
      <w:tr w:rsidR="00250424" w14:paraId="59FA5278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D9AC69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FANCG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B819B4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TTGCTCAGCCGCACATCAT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BED4E6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TGGCAGTTCCTTGGTTCCTT</w:t>
            </w:r>
          </w:p>
        </w:tc>
      </w:tr>
      <w:tr w:rsidR="00250424" w14:paraId="22B49982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3ABA67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PLK1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0E087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AGAGGAGGAAAGCCCTGACT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6696D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TAACTCGGTTTCGGTGCAGG</w:t>
            </w:r>
          </w:p>
        </w:tc>
      </w:tr>
      <w:tr w:rsidR="00250424" w14:paraId="024A34B8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71D1F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RFC4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8FC97D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TCAGGAAGTCGCTCAGATGG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31B06D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CAGAATCGGGTGGTTTTCG</w:t>
            </w:r>
          </w:p>
        </w:tc>
      </w:tr>
      <w:tr w:rsidR="00250424" w14:paraId="58AE9E4D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D538B4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E2F1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ED44A2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CACTTTCGGCCCTTTTGCTC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6ED358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GTGCTCTCACCGTCCTACAC</w:t>
            </w:r>
          </w:p>
        </w:tc>
      </w:tr>
      <w:tr w:rsidR="00250424" w14:paraId="544624A0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FBC6D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BRCA2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070767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CGATTGGTCAGGTAGACAGCA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B4058F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CAGAATAAAAGCCCCTAAACCC</w:t>
            </w:r>
          </w:p>
        </w:tc>
      </w:tr>
      <w:tr w:rsidR="00250424" w14:paraId="270CBDEA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1F7FAA0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FANCA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568033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GTTTGAGCATACGGGGAACA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810795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TGGCAGTAGGTGGAGTACAGAG</w:t>
            </w:r>
          </w:p>
        </w:tc>
      </w:tr>
      <w:tr w:rsidR="00250424" w14:paraId="309A9F86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DE8B3B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NEK2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902C61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GAAGGAATGCCACAGACGAAGT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0345D3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CAAGCAGCCCAATGACCAGATA</w:t>
            </w:r>
          </w:p>
        </w:tc>
      </w:tr>
      <w:tr w:rsidR="00250424" w14:paraId="5A93E740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E69280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BIRC5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8F0287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TCTCAAGGACCACCGCATCT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60E090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TTTGAGGAAACTGCGGAGAA</w:t>
            </w:r>
          </w:p>
        </w:tc>
      </w:tr>
      <w:tr w:rsidR="00250424" w14:paraId="3E698260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1B74AA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KIF2C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57859B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AGATGGAAGCCTGCTCTAACGG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AD8237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GCTGGACATCTGGGAAGACAGT</w:t>
            </w:r>
          </w:p>
        </w:tc>
      </w:tr>
      <w:tr w:rsidR="00250424" w14:paraId="11EED033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BB633B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DEPDC1A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DABDC7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CTGAAGTGACCCGCAAACAAA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AF5222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CTGGTGGGAGATCATTCCATTC</w:t>
            </w:r>
          </w:p>
        </w:tc>
      </w:tr>
      <w:tr w:rsidR="00250424" w14:paraId="72544939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B5F2F2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PSMA1</w:t>
            </w: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35ED28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CAGCCACAGTTGGTCTGAAATC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D7D6B3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CACAGGCAGTGGTCTATCGAATA</w:t>
            </w:r>
          </w:p>
        </w:tc>
      </w:tr>
      <w:tr w:rsidR="00250424" w14:paraId="572B8D27" w14:textId="77777777">
        <w:trPr>
          <w:trHeight w:val="402"/>
          <w:jc w:val="center"/>
        </w:trPr>
        <w:tc>
          <w:tcPr>
            <w:tcW w:w="17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14:paraId="2689F264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PSMC4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14:paraId="1524A259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AAAGCATCCCGCTGGTCAT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</w:tcPr>
          <w:p w14:paraId="3974F6C4" w14:textId="77777777" w:rsidR="00250424" w:rsidRDefault="00363CF9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CGCACATAATAGTTGGAGCCTGT</w:t>
            </w:r>
          </w:p>
        </w:tc>
      </w:tr>
    </w:tbl>
    <w:p w14:paraId="3CD2E3BD" w14:textId="77777777" w:rsidR="00250424" w:rsidRDefault="00250424">
      <w:pPr>
        <w:spacing w:line="360" w:lineRule="auto"/>
        <w:rPr>
          <w:sz w:val="24"/>
        </w:rPr>
      </w:pPr>
    </w:p>
    <w:p w14:paraId="0177A9F2" w14:textId="77777777" w:rsidR="00250424" w:rsidRDefault="00250424">
      <w:pPr>
        <w:spacing w:line="360" w:lineRule="auto"/>
        <w:rPr>
          <w:sz w:val="24"/>
        </w:rPr>
      </w:pPr>
    </w:p>
    <w:p w14:paraId="66BF6C0C" w14:textId="77777777" w:rsidR="00250424" w:rsidRDefault="0025042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58A0FEF9" w14:textId="77777777" w:rsidR="00250424" w:rsidRDefault="00363CF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Table S2 Antibodies used in western blot and IHC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1694"/>
        <w:gridCol w:w="1695"/>
        <w:gridCol w:w="1694"/>
        <w:gridCol w:w="1695"/>
      </w:tblGrid>
      <w:tr w:rsidR="00250424" w14:paraId="180FC73A" w14:textId="77777777">
        <w:trPr>
          <w:trHeight w:val="330"/>
        </w:trPr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3626A01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Primary antibodies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1897025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Dilution in WB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0A015BA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Source species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86E7C0D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Company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199E5C0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Catalog No.</w:t>
            </w:r>
          </w:p>
        </w:tc>
      </w:tr>
      <w:tr w:rsidR="00250424" w14:paraId="782A43C2" w14:textId="77777777">
        <w:trPr>
          <w:trHeight w:val="358"/>
        </w:trPr>
        <w:tc>
          <w:tcPr>
            <w:tcW w:w="1694" w:type="dxa"/>
            <w:tcBorders>
              <w:top w:val="single" w:sz="4" w:space="0" w:color="auto"/>
            </w:tcBorders>
          </w:tcPr>
          <w:p w14:paraId="305AB2B2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PSMC2</w:t>
            </w:r>
          </w:p>
        </w:tc>
        <w:tc>
          <w:tcPr>
            <w:tcW w:w="1694" w:type="dxa"/>
            <w:tcBorders>
              <w:top w:val="single" w:sz="4" w:space="0" w:color="auto"/>
            </w:tcBorders>
          </w:tcPr>
          <w:p w14:paraId="22861A1A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1:1000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14:paraId="0DA41D35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Mouse</w:t>
            </w:r>
          </w:p>
        </w:tc>
        <w:tc>
          <w:tcPr>
            <w:tcW w:w="1694" w:type="dxa"/>
            <w:tcBorders>
              <w:top w:val="single" w:sz="4" w:space="0" w:color="auto"/>
            </w:tcBorders>
          </w:tcPr>
          <w:p w14:paraId="6C0131D9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 xml:space="preserve">Santa </w:t>
            </w:r>
            <w:proofErr w:type="spellStart"/>
            <w:r>
              <w:rPr>
                <w:rFonts w:ascii="Times New Roman" w:eastAsia="微软雅黑" w:hAnsi="Times New Roman" w:cs="Times New Roman"/>
                <w:bCs/>
                <w:sz w:val="24"/>
              </w:rPr>
              <w:t>cruz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</w:tcBorders>
          </w:tcPr>
          <w:p w14:paraId="04E2497F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SC-166972</w:t>
            </w:r>
          </w:p>
        </w:tc>
      </w:tr>
      <w:tr w:rsidR="00250424" w14:paraId="1B6B6E11" w14:textId="77777777">
        <w:trPr>
          <w:trHeight w:val="358"/>
        </w:trPr>
        <w:tc>
          <w:tcPr>
            <w:tcW w:w="1694" w:type="dxa"/>
            <w:vAlign w:val="center"/>
          </w:tcPr>
          <w:p w14:paraId="08765347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GAPDH</w:t>
            </w:r>
          </w:p>
        </w:tc>
        <w:tc>
          <w:tcPr>
            <w:tcW w:w="1694" w:type="dxa"/>
            <w:vAlign w:val="center"/>
          </w:tcPr>
          <w:p w14:paraId="3E65908D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1:3000</w:t>
            </w:r>
          </w:p>
        </w:tc>
        <w:tc>
          <w:tcPr>
            <w:tcW w:w="1695" w:type="dxa"/>
            <w:vAlign w:val="center"/>
          </w:tcPr>
          <w:p w14:paraId="59674F2E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6B558F5E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Bioworld</w:t>
            </w:r>
            <w:proofErr w:type="spellEnd"/>
          </w:p>
        </w:tc>
        <w:tc>
          <w:tcPr>
            <w:tcW w:w="1695" w:type="dxa"/>
            <w:vAlign w:val="center"/>
          </w:tcPr>
          <w:p w14:paraId="4C6A0C6C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AP0063</w:t>
            </w:r>
          </w:p>
        </w:tc>
      </w:tr>
      <w:tr w:rsidR="00250424" w14:paraId="740869A2" w14:textId="77777777">
        <w:trPr>
          <w:trHeight w:val="358"/>
        </w:trPr>
        <w:tc>
          <w:tcPr>
            <w:tcW w:w="1694" w:type="dxa"/>
            <w:vAlign w:val="center"/>
          </w:tcPr>
          <w:p w14:paraId="036A4C0F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E2F1</w:t>
            </w:r>
          </w:p>
        </w:tc>
        <w:tc>
          <w:tcPr>
            <w:tcW w:w="1694" w:type="dxa"/>
            <w:vAlign w:val="center"/>
          </w:tcPr>
          <w:p w14:paraId="1FF492AC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1:1000</w:t>
            </w:r>
          </w:p>
        </w:tc>
        <w:tc>
          <w:tcPr>
            <w:tcW w:w="1695" w:type="dxa"/>
            <w:vAlign w:val="center"/>
          </w:tcPr>
          <w:p w14:paraId="04ABA54F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47F16C7D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abcam</w:t>
            </w:r>
            <w:proofErr w:type="spellEnd"/>
          </w:p>
        </w:tc>
        <w:tc>
          <w:tcPr>
            <w:tcW w:w="1695" w:type="dxa"/>
            <w:vAlign w:val="center"/>
          </w:tcPr>
          <w:p w14:paraId="13DBD85F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ab179445</w:t>
            </w:r>
          </w:p>
        </w:tc>
      </w:tr>
      <w:tr w:rsidR="00250424" w14:paraId="49CD3FC9" w14:textId="77777777">
        <w:trPr>
          <w:trHeight w:val="358"/>
        </w:trPr>
        <w:tc>
          <w:tcPr>
            <w:tcW w:w="1694" w:type="dxa"/>
            <w:vAlign w:val="center"/>
          </w:tcPr>
          <w:p w14:paraId="01C963BE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BIRC5</w:t>
            </w:r>
          </w:p>
        </w:tc>
        <w:tc>
          <w:tcPr>
            <w:tcW w:w="1694" w:type="dxa"/>
            <w:vAlign w:val="center"/>
          </w:tcPr>
          <w:p w14:paraId="2604151D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1:2000</w:t>
            </w:r>
          </w:p>
        </w:tc>
        <w:tc>
          <w:tcPr>
            <w:tcW w:w="1695" w:type="dxa"/>
            <w:vAlign w:val="center"/>
          </w:tcPr>
          <w:p w14:paraId="05AAD002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04FA9860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abcam</w:t>
            </w:r>
            <w:proofErr w:type="spellEnd"/>
          </w:p>
        </w:tc>
        <w:tc>
          <w:tcPr>
            <w:tcW w:w="1695" w:type="dxa"/>
            <w:vAlign w:val="center"/>
          </w:tcPr>
          <w:p w14:paraId="1CB43E78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ab469</w:t>
            </w:r>
          </w:p>
        </w:tc>
      </w:tr>
      <w:tr w:rsidR="00250424" w14:paraId="46ED2D18" w14:textId="77777777">
        <w:trPr>
          <w:trHeight w:val="358"/>
        </w:trPr>
        <w:tc>
          <w:tcPr>
            <w:tcW w:w="1694" w:type="dxa"/>
            <w:vAlign w:val="center"/>
          </w:tcPr>
          <w:p w14:paraId="6214D2B7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BRCA1</w:t>
            </w:r>
          </w:p>
        </w:tc>
        <w:tc>
          <w:tcPr>
            <w:tcW w:w="1694" w:type="dxa"/>
            <w:vAlign w:val="center"/>
          </w:tcPr>
          <w:p w14:paraId="53E4A85F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1:2000</w:t>
            </w:r>
          </w:p>
        </w:tc>
        <w:tc>
          <w:tcPr>
            <w:tcW w:w="1695" w:type="dxa"/>
            <w:vAlign w:val="center"/>
          </w:tcPr>
          <w:p w14:paraId="061C21F3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004F2E2A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abcam</w:t>
            </w:r>
            <w:proofErr w:type="spellEnd"/>
          </w:p>
        </w:tc>
        <w:tc>
          <w:tcPr>
            <w:tcW w:w="1695" w:type="dxa"/>
            <w:vAlign w:val="center"/>
          </w:tcPr>
          <w:p w14:paraId="78AAAE49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ab191042</w:t>
            </w:r>
          </w:p>
        </w:tc>
      </w:tr>
      <w:tr w:rsidR="00250424" w14:paraId="7D251B79" w14:textId="77777777">
        <w:trPr>
          <w:trHeight w:val="358"/>
        </w:trPr>
        <w:tc>
          <w:tcPr>
            <w:tcW w:w="1694" w:type="dxa"/>
            <w:vAlign w:val="center"/>
          </w:tcPr>
          <w:p w14:paraId="13E7BC47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NEK2</w:t>
            </w:r>
          </w:p>
        </w:tc>
        <w:tc>
          <w:tcPr>
            <w:tcW w:w="1694" w:type="dxa"/>
            <w:vAlign w:val="center"/>
          </w:tcPr>
          <w:p w14:paraId="3C2E9901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1:500</w:t>
            </w:r>
          </w:p>
        </w:tc>
        <w:tc>
          <w:tcPr>
            <w:tcW w:w="1695" w:type="dxa"/>
            <w:vAlign w:val="center"/>
          </w:tcPr>
          <w:p w14:paraId="62B09174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2AC90408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abcam</w:t>
            </w:r>
            <w:proofErr w:type="spellEnd"/>
          </w:p>
        </w:tc>
        <w:tc>
          <w:tcPr>
            <w:tcW w:w="1695" w:type="dxa"/>
            <w:vAlign w:val="center"/>
          </w:tcPr>
          <w:p w14:paraId="7CAC682A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ab115731</w:t>
            </w:r>
          </w:p>
        </w:tc>
      </w:tr>
      <w:tr w:rsidR="00250424" w14:paraId="31A97C7B" w14:textId="77777777">
        <w:trPr>
          <w:trHeight w:val="358"/>
        </w:trPr>
        <w:tc>
          <w:tcPr>
            <w:tcW w:w="1694" w:type="dxa"/>
            <w:vAlign w:val="center"/>
          </w:tcPr>
          <w:p w14:paraId="139BF9DB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PLK1</w:t>
            </w:r>
          </w:p>
        </w:tc>
        <w:tc>
          <w:tcPr>
            <w:tcW w:w="1694" w:type="dxa"/>
            <w:vAlign w:val="center"/>
          </w:tcPr>
          <w:p w14:paraId="61CCF4A3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1:1000</w:t>
            </w:r>
          </w:p>
        </w:tc>
        <w:tc>
          <w:tcPr>
            <w:tcW w:w="1695" w:type="dxa"/>
            <w:vAlign w:val="center"/>
          </w:tcPr>
          <w:p w14:paraId="0ED20642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Mouse</w:t>
            </w:r>
          </w:p>
        </w:tc>
        <w:tc>
          <w:tcPr>
            <w:tcW w:w="1694" w:type="dxa"/>
            <w:vAlign w:val="center"/>
          </w:tcPr>
          <w:p w14:paraId="2A46BAD0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abcam</w:t>
            </w:r>
            <w:proofErr w:type="spellEnd"/>
          </w:p>
        </w:tc>
        <w:tc>
          <w:tcPr>
            <w:tcW w:w="1695" w:type="dxa"/>
            <w:vAlign w:val="center"/>
          </w:tcPr>
          <w:p w14:paraId="7679972C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ab17057</w:t>
            </w:r>
          </w:p>
        </w:tc>
      </w:tr>
      <w:tr w:rsidR="00250424" w14:paraId="31599DFE" w14:textId="77777777">
        <w:trPr>
          <w:trHeight w:val="358"/>
        </w:trPr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E193A26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Primary antibodies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8D897E0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Dilution in IHC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8473E92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Source species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384AD9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Company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A9C1835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Catalog No.</w:t>
            </w:r>
          </w:p>
        </w:tc>
      </w:tr>
      <w:tr w:rsidR="00250424" w14:paraId="0DA5CD0B" w14:textId="77777777">
        <w:trPr>
          <w:trHeight w:val="358"/>
        </w:trPr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560EF2F6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PSMC2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168BB178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1:100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vAlign w:val="center"/>
          </w:tcPr>
          <w:p w14:paraId="082403DE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Mouse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68B502C2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 xml:space="preserve">Santa </w:t>
            </w:r>
            <w:proofErr w:type="spellStart"/>
            <w:r>
              <w:rPr>
                <w:rFonts w:ascii="Times New Roman" w:eastAsia="微软雅黑" w:hAnsi="Times New Roman" w:cs="Times New Roman"/>
                <w:bCs/>
                <w:sz w:val="24"/>
              </w:rPr>
              <w:t>cruz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</w:tcBorders>
            <w:vAlign w:val="center"/>
          </w:tcPr>
          <w:p w14:paraId="0337C5A4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SC-166972</w:t>
            </w:r>
          </w:p>
        </w:tc>
      </w:tr>
      <w:tr w:rsidR="00250424" w14:paraId="6DCE7130" w14:textId="77777777">
        <w:trPr>
          <w:trHeight w:val="358"/>
        </w:trPr>
        <w:tc>
          <w:tcPr>
            <w:tcW w:w="1694" w:type="dxa"/>
            <w:vAlign w:val="center"/>
          </w:tcPr>
          <w:p w14:paraId="2CB7D5C6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Ki67</w:t>
            </w:r>
          </w:p>
        </w:tc>
        <w:tc>
          <w:tcPr>
            <w:tcW w:w="1694" w:type="dxa"/>
            <w:vAlign w:val="center"/>
          </w:tcPr>
          <w:p w14:paraId="2390CEF2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1:200</w:t>
            </w:r>
          </w:p>
        </w:tc>
        <w:tc>
          <w:tcPr>
            <w:tcW w:w="1695" w:type="dxa"/>
            <w:vAlign w:val="center"/>
          </w:tcPr>
          <w:p w14:paraId="055FCE5E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477CA552" w14:textId="77777777" w:rsidR="00250424" w:rsidRDefault="00363CF9">
            <w:pPr>
              <w:spacing w:line="12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abcam</w:t>
            </w:r>
            <w:proofErr w:type="spellEnd"/>
          </w:p>
        </w:tc>
        <w:tc>
          <w:tcPr>
            <w:tcW w:w="1695" w:type="dxa"/>
            <w:vAlign w:val="center"/>
          </w:tcPr>
          <w:p w14:paraId="13DF04F9" w14:textId="77777777" w:rsidR="00250424" w:rsidRDefault="00363CF9">
            <w:pPr>
              <w:spacing w:line="12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ab16667</w:t>
            </w:r>
          </w:p>
        </w:tc>
      </w:tr>
      <w:tr w:rsidR="00250424" w14:paraId="244E60B0" w14:textId="77777777">
        <w:trPr>
          <w:trHeight w:val="358"/>
        </w:trPr>
        <w:tc>
          <w:tcPr>
            <w:tcW w:w="1694" w:type="dxa"/>
            <w:vAlign w:val="center"/>
          </w:tcPr>
          <w:p w14:paraId="23D92923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E2F1</w:t>
            </w:r>
          </w:p>
        </w:tc>
        <w:tc>
          <w:tcPr>
            <w:tcW w:w="1694" w:type="dxa"/>
            <w:vAlign w:val="center"/>
          </w:tcPr>
          <w:p w14:paraId="5D0BF05D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1:100</w:t>
            </w:r>
          </w:p>
        </w:tc>
        <w:tc>
          <w:tcPr>
            <w:tcW w:w="1695" w:type="dxa"/>
            <w:vAlign w:val="center"/>
          </w:tcPr>
          <w:p w14:paraId="2E111905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Rabbit</w:t>
            </w:r>
          </w:p>
        </w:tc>
        <w:tc>
          <w:tcPr>
            <w:tcW w:w="1694" w:type="dxa"/>
            <w:vAlign w:val="center"/>
          </w:tcPr>
          <w:p w14:paraId="60F9AA9C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Abcam</w:t>
            </w:r>
          </w:p>
        </w:tc>
        <w:tc>
          <w:tcPr>
            <w:tcW w:w="1695" w:type="dxa"/>
            <w:vAlign w:val="center"/>
          </w:tcPr>
          <w:p w14:paraId="6512FBAF" w14:textId="77777777" w:rsidR="00250424" w:rsidRDefault="00363C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sz w:val="24"/>
              </w:rPr>
              <w:t>ab179445</w:t>
            </w:r>
          </w:p>
        </w:tc>
      </w:tr>
      <w:tr w:rsidR="00250424" w14:paraId="068B3334" w14:textId="77777777">
        <w:trPr>
          <w:trHeight w:val="315"/>
        </w:trPr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DFF9EE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Secondary antibody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840FEE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Dilution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63E9AA" w14:textId="77777777" w:rsidR="00250424" w:rsidRDefault="002504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907EE2F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Company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49493B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Catalog No.</w:t>
            </w:r>
          </w:p>
        </w:tc>
      </w:tr>
      <w:tr w:rsidR="00250424" w14:paraId="1DD5D8A4" w14:textId="77777777">
        <w:trPr>
          <w:trHeight w:val="330"/>
        </w:trPr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81268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HRP Goat Anti-Rabbit IgG (WB)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6E251" w14:textId="77777777" w:rsidR="00250424" w:rsidRDefault="00363CF9">
            <w:pPr>
              <w:jc w:val="center"/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</w:pPr>
            <w:r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  <w:t>1:3000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522A8" w14:textId="77777777" w:rsidR="00250424" w:rsidRDefault="00250424">
            <w:pPr>
              <w:jc w:val="center"/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F49CA" w14:textId="77777777" w:rsidR="00250424" w:rsidRDefault="00363CF9">
            <w:pPr>
              <w:jc w:val="center"/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</w:pPr>
            <w:proofErr w:type="spellStart"/>
            <w:r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  <w:t>Beyotime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EC484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  <w:t>A0208</w:t>
            </w:r>
          </w:p>
        </w:tc>
      </w:tr>
      <w:tr w:rsidR="00250424" w14:paraId="4B8232B8" w14:textId="77777777">
        <w:trPr>
          <w:trHeight w:val="330"/>
        </w:trPr>
        <w:tc>
          <w:tcPr>
            <w:tcW w:w="16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FE4D981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HRP </w:t>
            </w:r>
            <w:r>
              <w:rPr>
                <w:rFonts w:ascii="Times New Roman" w:hAnsi="Times New Roman" w:cs="Times New Roman"/>
                <w:sz w:val="24"/>
              </w:rPr>
              <w:t>Goat Anti-Rabbit IgG (IHC)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979001A" w14:textId="77777777" w:rsidR="00250424" w:rsidRDefault="00363CF9">
            <w:pPr>
              <w:jc w:val="center"/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</w:pPr>
            <w:r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  <w:t>1:200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205E845" w14:textId="77777777" w:rsidR="00250424" w:rsidRDefault="00250424">
            <w:pPr>
              <w:jc w:val="center"/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7AC7E9A" w14:textId="77777777" w:rsidR="00250424" w:rsidRDefault="00363CF9">
            <w:pPr>
              <w:jc w:val="center"/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</w:pPr>
            <w:r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  <w:t>Abcam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F81A420" w14:textId="77777777" w:rsidR="00250424" w:rsidRDefault="00363C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微软雅黑" w:hAnsi="Times New Roman" w:cs="Times New Roman"/>
                <w:bCs/>
                <w:color w:val="000000"/>
                <w:sz w:val="22"/>
              </w:rPr>
              <w:t>Ab111909</w:t>
            </w:r>
          </w:p>
        </w:tc>
      </w:tr>
    </w:tbl>
    <w:p w14:paraId="5CE0A78A" w14:textId="77777777" w:rsidR="00250424" w:rsidRDefault="00250424">
      <w:pPr>
        <w:spacing w:line="360" w:lineRule="auto"/>
        <w:rPr>
          <w:rFonts w:ascii="Times New Roman" w:hAnsi="Times New Roman" w:cs="Times New Roman"/>
          <w:sz w:val="24"/>
        </w:rPr>
      </w:pPr>
    </w:p>
    <w:p w14:paraId="31884C26" w14:textId="77777777" w:rsidR="00250424" w:rsidRDefault="00250424">
      <w:pPr>
        <w:spacing w:line="36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689862A3" w14:textId="2D528B9F" w:rsidR="00250424" w:rsidRDefault="00363CF9" w:rsidP="00462FF5">
      <w:pPr>
        <w:spacing w:line="360" w:lineRule="auto"/>
        <w:jc w:val="center"/>
        <w:rPr>
          <w:rFonts w:ascii="Times New Roman" w:eastAsiaTheme="maj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114300" distR="114300" wp14:anchorId="78FD8A5A" wp14:editId="31B1A831">
            <wp:extent cx="5039995" cy="2127885"/>
            <wp:effectExtent l="0" t="0" r="8255" b="571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0698" w14:textId="77777777" w:rsidR="00250424" w:rsidRDefault="00363CF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b/>
          <w:sz w:val="24"/>
          <w:szCs w:val="24"/>
        </w:rPr>
        <w:t>F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igure S1.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The transfection efficiencies of 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PSMC2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shCtrl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in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U87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and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U251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cells were evaluated through observing the fluorescence of GFP on lentivirus vector (scale bar =100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). </w:t>
      </w:r>
    </w:p>
    <w:p w14:paraId="2257D217" w14:textId="77777777" w:rsidR="00250424" w:rsidRDefault="00250424">
      <w:pPr>
        <w:spacing w:line="360" w:lineRule="auto"/>
        <w:rPr>
          <w:rFonts w:ascii="Times New Roman" w:eastAsiaTheme="majorEastAsia" w:hAnsi="Times New Roman" w:cs="Times New Roman" w:hint="eastAsia"/>
          <w:sz w:val="24"/>
          <w:szCs w:val="24"/>
        </w:rPr>
      </w:pPr>
    </w:p>
    <w:p w14:paraId="1E238676" w14:textId="77777777" w:rsidR="00250424" w:rsidRDefault="00363CF9">
      <w:pPr>
        <w:spacing w:line="360" w:lineRule="auto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noProof/>
          <w:sz w:val="24"/>
          <w:szCs w:val="24"/>
        </w:rPr>
        <w:drawing>
          <wp:inline distT="0" distB="0" distL="114300" distR="114300" wp14:anchorId="078E1F45" wp14:editId="725247C5">
            <wp:extent cx="5039995" cy="2880360"/>
            <wp:effectExtent l="0" t="0" r="8255" b="1524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28FE" w14:textId="77777777" w:rsidR="00250424" w:rsidRDefault="00363CF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b/>
          <w:sz w:val="24"/>
          <w:szCs w:val="24"/>
        </w:rPr>
        <w:t>F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igure S</w:t>
      </w:r>
      <w:r>
        <w:rPr>
          <w:rFonts w:ascii="Times New Roman" w:eastAsiaTheme="majorEastAsia" w:hAnsi="Times New Roman" w:cs="Times New Roman" w:hint="eastAsia"/>
          <w:b/>
          <w:sz w:val="24"/>
          <w:szCs w:val="24"/>
        </w:rPr>
        <w:t>2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(A) The scatter plot of gene expression profiling in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U251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cells with or without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PSMC2 </w:t>
      </w:r>
      <w:r>
        <w:rPr>
          <w:rFonts w:ascii="Times New Roman" w:eastAsiaTheme="majorEastAsia" w:hAnsi="Times New Roman" w:cs="Times New Roman"/>
          <w:sz w:val="24"/>
          <w:szCs w:val="24"/>
        </w:rPr>
        <w:t>knockdown. Red dots represented significantly up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regulated DEGs. Blue dots represented significantly downregulated DEGs. (B) The volcano plot of gene expression profiling in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U251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cells with or without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PSMC2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knockdown. (C) The enrichment of the DEGs in canonical signaling pathways was analyzed by IPA. (D)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The enrichment of the DEGs in IPA disease and function was analyzed by IPA.</w:t>
      </w:r>
    </w:p>
    <w:p w14:paraId="28D26FFF" w14:textId="52C3190B" w:rsidR="00250424" w:rsidRDefault="00363CF9" w:rsidP="00462FF5">
      <w:pPr>
        <w:spacing w:line="360" w:lineRule="auto"/>
        <w:jc w:val="center"/>
        <w:rPr>
          <w:rFonts w:ascii="Times New Roman" w:eastAsiaTheme="maj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noProof/>
          <w:sz w:val="24"/>
          <w:szCs w:val="24"/>
        </w:rPr>
        <w:lastRenderedPageBreak/>
        <w:drawing>
          <wp:inline distT="0" distB="0" distL="114300" distR="114300" wp14:anchorId="59984920" wp14:editId="423A3481">
            <wp:extent cx="5039995" cy="4341495"/>
            <wp:effectExtent l="0" t="0" r="8255" b="190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6008" w14:textId="77777777" w:rsidR="00250424" w:rsidRDefault="00363CF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sz w:val="24"/>
          <w:szCs w:val="24"/>
        </w:rPr>
        <w:t>3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A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The knockdown efficiencies of 3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shRNAs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 designed for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E2F1 </w:t>
      </w:r>
      <w:r>
        <w:rPr>
          <w:rFonts w:ascii="Times New Roman" w:eastAsiaTheme="majorEastAsia" w:hAnsi="Times New Roman" w:cs="Times New Roman"/>
          <w:sz w:val="24"/>
          <w:szCs w:val="24"/>
        </w:rPr>
        <w:t>knockdown were evaluated by qPCR. Data was shown as mean ± SD. ***</w:t>
      </w:r>
      <w:r>
        <w:rPr>
          <w:rFonts w:ascii="Times New Roman" w:eastAsiaTheme="majorEastAsia" w:hAnsi="Times New Roman" w:cs="Times New Roman"/>
          <w:i/>
          <w:sz w:val="24"/>
          <w:szCs w:val="24"/>
        </w:rPr>
        <w:t>P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&lt; 0.001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Theme="majorEastAsia" w:hAnsi="Times New Roman" w:cs="Times New Roman"/>
          <w:sz w:val="24"/>
          <w:szCs w:val="24"/>
        </w:rPr>
        <w:t>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B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The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transfection efficiencies of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shCtrl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, 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E2F1</w:t>
      </w:r>
      <w:r>
        <w:rPr>
          <w:rFonts w:ascii="Times New Roman" w:eastAsiaTheme="majorEastAsia" w:hAnsi="Times New Roman" w:cs="Times New Roman"/>
          <w:sz w:val="24"/>
          <w:szCs w:val="24"/>
        </w:rPr>
        <w:t>, 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PSMC2</w:t>
      </w:r>
      <w:r>
        <w:rPr>
          <w:rFonts w:ascii="Times New Roman" w:eastAsiaTheme="majorEastAsia" w:hAnsi="Times New Roman" w:cs="Times New Roman"/>
          <w:sz w:val="24"/>
          <w:szCs w:val="24"/>
        </w:rPr>
        <w:t>+sh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E2F1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in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U251 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cells were evaluated through observing the fluorescence of GFP on lentivirus vector (scale bar =100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 xml:space="preserve">). (C, D) The knockdown efficiencies of </w:t>
      </w:r>
      <w:proofErr w:type="spellStart"/>
      <w:r>
        <w:rPr>
          <w:rFonts w:ascii="Times New Roman" w:eastAsiaTheme="majorEastAsia" w:hAnsi="Times New Roman" w:cs="Times New Roman"/>
          <w:sz w:val="24"/>
          <w:szCs w:val="24"/>
        </w:rPr>
        <w:t>shCtrl</w:t>
      </w:r>
      <w:proofErr w:type="spellEnd"/>
      <w:r>
        <w:rPr>
          <w:rFonts w:ascii="Times New Roman" w:eastAsiaTheme="majorEastAsia" w:hAnsi="Times New Roman" w:cs="Times New Roman"/>
          <w:sz w:val="24"/>
          <w:szCs w:val="24"/>
        </w:rPr>
        <w:t>, 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E2F1</w:t>
      </w:r>
      <w:r>
        <w:rPr>
          <w:rFonts w:ascii="Times New Roman" w:eastAsiaTheme="majorEastAsia" w:hAnsi="Times New Roman" w:cs="Times New Roman"/>
          <w:sz w:val="24"/>
          <w:szCs w:val="24"/>
        </w:rPr>
        <w:t>, 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PSMC2</w:t>
      </w:r>
      <w:r>
        <w:rPr>
          <w:rFonts w:ascii="Times New Roman" w:eastAsiaTheme="majorEastAsia" w:hAnsi="Times New Roman" w:cs="Times New Roman"/>
          <w:sz w:val="24"/>
          <w:szCs w:val="24"/>
        </w:rPr>
        <w:t>+sh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E2F1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in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U251 </w:t>
      </w:r>
      <w:r>
        <w:rPr>
          <w:rFonts w:ascii="Times New Roman" w:eastAsiaTheme="majorEastAsia" w:hAnsi="Times New Roman" w:cs="Times New Roman"/>
          <w:sz w:val="24"/>
          <w:szCs w:val="24"/>
        </w:rPr>
        <w:t>cells w</w:t>
      </w:r>
      <w:r>
        <w:rPr>
          <w:rFonts w:ascii="Times New Roman" w:eastAsiaTheme="majorEastAsia" w:hAnsi="Times New Roman" w:cs="Times New Roman"/>
          <w:sz w:val="24"/>
          <w:szCs w:val="24"/>
        </w:rPr>
        <w:t>ere accessed by PCR (C) and (D) WB analysis.</w:t>
      </w:r>
    </w:p>
    <w:p w14:paraId="4AB3D6F1" w14:textId="77777777" w:rsidR="00250424" w:rsidRDefault="00363CF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Data was shown as mean ± SD. *</w:t>
      </w:r>
      <w:r>
        <w:rPr>
          <w:rFonts w:ascii="Times New Roman" w:eastAsiaTheme="majorEastAsia" w:hAnsi="Times New Roman" w:cs="Times New Roman"/>
          <w:i/>
          <w:sz w:val="24"/>
          <w:szCs w:val="24"/>
        </w:rPr>
        <w:t>P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&lt; 0.05, **</w:t>
      </w:r>
      <w:r>
        <w:rPr>
          <w:rFonts w:ascii="Times New Roman" w:eastAsiaTheme="majorEastAsia" w:hAnsi="Times New Roman" w:cs="Times New Roman"/>
          <w:i/>
          <w:sz w:val="24"/>
          <w:szCs w:val="24"/>
        </w:rPr>
        <w:t>P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&lt; 0.01</w:t>
      </w:r>
    </w:p>
    <w:p w14:paraId="7049B2B1" w14:textId="77777777" w:rsidR="00250424" w:rsidRDefault="0025042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565913A8" w14:textId="77777777" w:rsidR="00250424" w:rsidRDefault="0025042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3253E87A" w14:textId="77777777" w:rsidR="00250424" w:rsidRDefault="0025042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580A5EFE" w14:textId="77777777" w:rsidR="00250424" w:rsidRDefault="0025042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20EB2BD7" w14:textId="77777777" w:rsidR="00250424" w:rsidRDefault="0025042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sectPr w:rsidR="00250424">
      <w:pgSz w:w="11906" w:h="16838"/>
      <w:pgMar w:top="158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7CBAB" w14:textId="77777777" w:rsidR="00363CF9" w:rsidRDefault="00363CF9" w:rsidP="00462FF5">
      <w:r>
        <w:separator/>
      </w:r>
    </w:p>
  </w:endnote>
  <w:endnote w:type="continuationSeparator" w:id="0">
    <w:p w14:paraId="0B9AC0C4" w14:textId="77777777" w:rsidR="00363CF9" w:rsidRDefault="00363CF9" w:rsidP="00462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B0F1C" w14:textId="77777777" w:rsidR="00363CF9" w:rsidRDefault="00363CF9" w:rsidP="00462FF5">
      <w:r>
        <w:separator/>
      </w:r>
    </w:p>
  </w:footnote>
  <w:footnote w:type="continuationSeparator" w:id="0">
    <w:p w14:paraId="12ED13CB" w14:textId="77777777" w:rsidR="00363CF9" w:rsidRDefault="00363CF9" w:rsidP="00462F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NE.Ref{5FF354C8-CDF6-4DCF-820D-95263DB707AE}" w:val=" ADDIN NE.Ref.{5FF354C8-CDF6-4DCF-820D-95263DB707AE}&lt;Citation&gt;&lt;Group&gt;&lt;References&gt;&lt;Item&gt;&lt;ID&gt;4280&lt;/ID&gt;&lt;UID&gt;{F80764EC-E596-4B66-8F48-59D32FC0C053}&lt;/UID&gt;&lt;Title&gt;Combination of necroptosis and apoptosis inhibition enhances cardioprotection against myocardial ischemia–reperfusion injury&lt;/Title&gt;&lt;Template&gt;Journal Article&lt;/Template&gt;&lt;Star&gt;1&lt;/Star&gt;&lt;Tag&gt;0&lt;/Tag&gt;&lt;Author&gt;Koshinuma, Shizuka; Miyamae, Masami; Kaneda, Kazuhiro; Kotani, Junichiro; Figueredo, Vincent M&lt;/Author&gt;&lt;Year&gt;2013&lt;/Year&gt;&lt;Details&gt;&lt;_date_display&gt;2013&lt;/_date_display&gt;&lt;_date&gt;2013-01-01&lt;/_date&gt;&lt;_issue&gt;2&lt;/_issue&gt;&lt;_journal&gt;Journal of Anesthesia&lt;/_journal&gt;&lt;_pages&gt;235-241&lt;/_pages&gt;&lt;_volume&gt;28&lt;/_volume&gt;&lt;_created&gt;62820581&lt;/_created&gt;&lt;_modified&gt;62820581&lt;/_modified&gt;&lt;_impact_factor&gt;   1.454&lt;/_impact_factor&gt;&lt;_collection_scope&gt;SCIE&lt;/_collection_scope&gt;&lt;/Details&gt;&lt;Extra&gt;&lt;DBUID&gt;{FC0B0B99-27A3-4EF6-B8D3-8EDA779DB63A}&lt;/DBUID&gt;&lt;/Extra&gt;&lt;/Item&gt;&lt;/References&gt;&lt;/Group&gt;&lt;/Citation&gt;_x000a_"/>
    <w:docVar w:name="NE.Ref{9D157367-A3B8-4B2E-8D91-9EAD9251450F}" w:val=" ADDIN NE.Ref.{9D157367-A3B8-4B2E-8D91-9EAD9251450F}&lt;Citation&gt;&lt;Group&gt;&lt;References&gt;&lt;Item&gt;&lt;ID&gt;4279&lt;/ID&gt;&lt;UID&gt;{1CE25CA4-6054-4326-BA0A-C2B062AC8459}&lt;/UID&gt;&lt;Title&gt;Endoplasmic reticulum stress-induced apoptosis: A possible role in myocardial ischemia-reperfusion injury&lt;/Title&gt;&lt;Template&gt;Journal Article&lt;/Template&gt;&lt;Star&gt;1&lt;/Star&gt;&lt;Tag&gt;0&lt;/Tag&gt;&lt;Author&gt;Wu, H; Ye, M; Yang, J; Ding, J&lt;/Author&gt;&lt;Year&gt;2016&lt;/Year&gt;&lt;Details&gt;&lt;_date_display&gt;2016&lt;/_date_display&gt;&lt;_date&gt;2016-01-01&lt;/_date&gt;&lt;_journal&gt;International Journal of Cardiology&lt;/_journal&gt;&lt;_pages&gt;65-66&lt;/_pages&gt;&lt;_volume&gt;208&lt;/_volume&gt;&lt;_created&gt;62820580&lt;/_created&gt;&lt;_modified&gt;62820580&lt;/_modified&gt;&lt;_impact_factor&gt;   4.034&lt;/_impact_factor&gt;&lt;_collection_scope&gt;SCI;SCIE&lt;/_collection_scope&gt;&lt;/Details&gt;&lt;Extra&gt;&lt;DBUID&gt;{FC0B0B99-27A3-4EF6-B8D3-8EDA779DB63A}&lt;/DBUID&gt;&lt;/Extra&gt;&lt;/Item&gt;&lt;/References&gt;&lt;/Group&gt;&lt;/Citation&gt;_x000a_"/>
    <w:docVar w:name="NE.Ref{BE9E6518-7763-4411-9BD6-3593CACF6DAE}" w:val=" ADDIN NE.Ref.{BE9E6518-7763-4411-9BD6-3593CACF6DAE}&lt;Citation&gt;&lt;Group&gt;&lt;References&gt;&lt;Item&gt;&lt;ID&gt;4277&lt;/ID&gt;&lt;UID&gt;{9E2DAE0D-EA7B-4EF9-ADFD-4B99E0BD4218}&lt;/UID&gt;&lt;Title&gt;Apigenin suppresses the apoptosis of H9C2 rat cardiomyocytes subjected to myocardial ischemia鈥憆eperfusion injury via upregulation of the PI3K/Akt pathway&lt;/Title&gt;&lt;Template&gt;Journal Article&lt;/Template&gt;&lt;Star&gt;1&lt;/Star&gt;&lt;Tag&gt;0&lt;/Tag&gt;&lt;Author&gt;Zhou, Zhengwen; Zhang, Yue; Lin, Luning; Zhou, Jianmei&lt;/Author&gt;&lt;Year&gt;2018&lt;/Year&gt;&lt;Details&gt;&lt;_alternate_title&gt;Molecular medicine reports&lt;/_alternate_title&gt;&lt;_author_adr&gt;Department of Electrocardiogram Diagnosis, Zhejiang Hospital, Hangzhou, Zhejiang 310013, P.R. China.&lt;/_author_adr&gt;&lt;_date_display&gt;2018&lt;/_date_display&gt;&lt;_date&gt;2018-01-01&lt;/_date&gt;&lt;_doi&gt;10.3892/mmr.2018.9115&lt;/_doi&gt;&lt;_isbn&gt;1791-2997&lt;/_isbn&gt;&lt;_issue&gt;2&lt;/_issue&gt;&lt;_journal&gt;Molecular medicine reports&lt;/_journal&gt;&lt;_pages&gt;1560-1570&lt;/_pages&gt;&lt;_url&gt;http://europepmc.org/abstract/MED/29901074_x000d__x000a_http://europepmc.org/articles/PMC6072196?pdf=render_x000d__x000a_http://europepmc.org/articles/PMC6072196_x000d__x000a_https://doi.org/10.3892/mmr.2018.9115&lt;/_url&gt;&lt;_volume&gt;18&lt;/_volume&gt;&lt;_created&gt;62820574&lt;/_created&gt;&lt;_modified&gt;62820574&lt;/_modified&gt;&lt;_impact_factor&gt;   1.922&lt;/_impact_factor&gt;&lt;_collection_scope&gt;SCIE&lt;/_collection_scope&gt;&lt;/Details&gt;&lt;Extra&gt;&lt;DBUID&gt;{FC0B0B99-27A3-4EF6-B8D3-8EDA779DB63A}&lt;/DBUID&gt;&lt;/Extra&gt;&lt;/Item&gt;&lt;/References&gt;&lt;/Group&gt;&lt;/Citation&gt;_x000a_"/>
    <w:docVar w:name="NE.Ref{F63CB262-ACF0-4FD4-B936-2F1BE8668AB6}" w:val=" ADDIN NE.Ref.{F63CB262-ACF0-4FD4-B936-2F1BE8668AB6}&lt;Citation&gt;&lt;Group&gt;&lt;References&gt;&lt;Item&gt;&lt;ID&gt;4278&lt;/ID&gt;&lt;UID&gt;{A4635524-8DC4-4C33-BEE7-66353B8C3DC6}&lt;/UID&gt;&lt;Title&gt;Osthole attenuates myocardial ischemia/reperfusion injury in rats by inhibiting apoptosis and inflammation&lt;/Title&gt;&lt;Template&gt;Journal Article&lt;/Template&gt;&lt;Star&gt;1&lt;/Star&gt;&lt;Tag&gt;0&lt;/Tag&gt;&lt;Author&gt;Wu, Jingguo; Yang, Yang; Xun, Nan; Zeng, Lijin; Li, Zhenyu; Yang, Wen; Liang, Yanbing; Ma, Zhongfu; Tang, Hao&lt;/Author&gt;&lt;Year&gt;2018&lt;/Year&gt;&lt;Details&gt;&lt;_author_adr&gt;Department of General Internal Medicine, The First Affiliated Hospital of Sun Yat-sen University Guangzhou 510080, People&amp;apos;s Republic of China.&lt;/_author_adr&gt;&lt;_date_display&gt;2018&lt;/_date_display&gt;&lt;_date&gt;2018-01-01&lt;/_date&gt;&lt;_isbn&gt;1943-8141&lt;/_isbn&gt;&lt;_issue&gt;4&lt;/_issue&gt;&lt;_journal&gt;American Journal of Translational Research&lt;/_journal&gt;&lt;_pages&gt;1109-1116&lt;/_pages&gt;&lt;_secondary_title&gt;American journal of translational research&lt;/_secondary_title&gt;&lt;_url&gt;http://europepmc.org/abstract/MED/29736204_x000d__x000a_http://europepmc.org/articles/PMC5934570?pdf=render_x000d__x000a_http://europepmc.org/articles/PMC5934570&lt;/_url&gt;&lt;_volume&gt;10&lt;/_volume&gt;&lt;_created&gt;62820576&lt;/_created&gt;&lt;_modified&gt;62820577&lt;/_modified&gt;&lt;_accessed&gt;62820576&lt;/_accessed&gt;&lt;_impact_factor&gt;   3.061&lt;/_impact_factor&gt;&lt;_collection_scope&gt;SCIE&lt;/_collection_scope&gt;&lt;/Details&gt;&lt;Extra&gt;&lt;DBUID&gt;{FC0B0B99-27A3-4EF6-B8D3-8EDA779DB63A}&lt;/DBUID&gt;&lt;/Extra&gt;&lt;/Item&gt;&lt;/References&gt;&lt;/Group&gt;&lt;/Citation&gt;_x000a_"/>
    <w:docVar w:name="ne_docsoft" w:val="MSWord"/>
    <w:docVar w:name="ne_docversion" w:val="NoteExpress 2.0"/>
    <w:docVar w:name="ne_stylename" w:val="CA Cancer J Clin all author"/>
  </w:docVars>
  <w:rsids>
    <w:rsidRoot w:val="00086447"/>
    <w:rsid w:val="00037440"/>
    <w:rsid w:val="000802A2"/>
    <w:rsid w:val="00086447"/>
    <w:rsid w:val="000E046B"/>
    <w:rsid w:val="000F082B"/>
    <w:rsid w:val="001212AD"/>
    <w:rsid w:val="00182E6F"/>
    <w:rsid w:val="00197DD9"/>
    <w:rsid w:val="00233E52"/>
    <w:rsid w:val="00250424"/>
    <w:rsid w:val="002D4332"/>
    <w:rsid w:val="002E44DE"/>
    <w:rsid w:val="00330F7C"/>
    <w:rsid w:val="00363CF9"/>
    <w:rsid w:val="003A1854"/>
    <w:rsid w:val="003A7635"/>
    <w:rsid w:val="003E1263"/>
    <w:rsid w:val="00462FF5"/>
    <w:rsid w:val="00465714"/>
    <w:rsid w:val="00497BFE"/>
    <w:rsid w:val="00520925"/>
    <w:rsid w:val="005B4F99"/>
    <w:rsid w:val="005E642D"/>
    <w:rsid w:val="00682EC1"/>
    <w:rsid w:val="006C30E4"/>
    <w:rsid w:val="00706A4A"/>
    <w:rsid w:val="00754A3D"/>
    <w:rsid w:val="00776FF2"/>
    <w:rsid w:val="007A63B6"/>
    <w:rsid w:val="007B0E72"/>
    <w:rsid w:val="007C1CE3"/>
    <w:rsid w:val="0085354A"/>
    <w:rsid w:val="008E5425"/>
    <w:rsid w:val="00927AB9"/>
    <w:rsid w:val="00960D1D"/>
    <w:rsid w:val="00993419"/>
    <w:rsid w:val="00995D9E"/>
    <w:rsid w:val="009F0AFA"/>
    <w:rsid w:val="00A2270F"/>
    <w:rsid w:val="00A630DC"/>
    <w:rsid w:val="00A83093"/>
    <w:rsid w:val="00AA3EDC"/>
    <w:rsid w:val="00AB0798"/>
    <w:rsid w:val="00AB4C1C"/>
    <w:rsid w:val="00B75F4D"/>
    <w:rsid w:val="00BC6F3A"/>
    <w:rsid w:val="00BD0008"/>
    <w:rsid w:val="00BE0A7E"/>
    <w:rsid w:val="00C8446E"/>
    <w:rsid w:val="00C9331F"/>
    <w:rsid w:val="00CD125A"/>
    <w:rsid w:val="00CD2FC5"/>
    <w:rsid w:val="00D2696B"/>
    <w:rsid w:val="00D503B2"/>
    <w:rsid w:val="00E247A0"/>
    <w:rsid w:val="00E4581B"/>
    <w:rsid w:val="00E7496E"/>
    <w:rsid w:val="00EE557D"/>
    <w:rsid w:val="00F2723E"/>
    <w:rsid w:val="00F42CCE"/>
    <w:rsid w:val="54C73354"/>
    <w:rsid w:val="78B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8143B2"/>
  <w15:docId w15:val="{CE26DA22-9C6F-4C26-864B-4F27D58E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Pr>
      <w:rFonts w:ascii="Calibri" w:hAnsi="Calibri" w:cs="Calibri"/>
      <w:sz w:val="20"/>
      <w:szCs w:val="24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hAnsi="Calibri" w:cs="Calibri"/>
      <w:sz w:val="20"/>
      <w:szCs w:val="2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468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dc:description>NE.Ref</dc:description>
  <cp:lastModifiedBy>袁洁</cp:lastModifiedBy>
  <cp:revision>39</cp:revision>
  <dcterms:created xsi:type="dcterms:W3CDTF">2010-10-10T08:47:00Z</dcterms:created>
  <dcterms:modified xsi:type="dcterms:W3CDTF">2020-12-29T00:55:00Z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