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C2C49" w14:textId="77777777" w:rsidR="001768C0" w:rsidRDefault="001768C0" w:rsidP="001768C0">
      <w:pPr>
        <w:rPr>
          <w:b/>
          <w:bCs/>
          <w:sz w:val="24"/>
        </w:rPr>
      </w:pPr>
      <w:r>
        <w:rPr>
          <w:b/>
          <w:bCs/>
          <w:sz w:val="24"/>
        </w:rPr>
        <w:t xml:space="preserve">Extended Data Fig. 1 | high-quality genomes of </w:t>
      </w:r>
      <w:r>
        <w:rPr>
          <w:b/>
          <w:bCs/>
          <w:i/>
          <w:iCs/>
          <w:sz w:val="24"/>
        </w:rPr>
        <w:t>I. verum</w:t>
      </w:r>
      <w:r>
        <w:rPr>
          <w:b/>
          <w:bCs/>
          <w:sz w:val="24"/>
        </w:rPr>
        <w:t xml:space="preserve"> and </w:t>
      </w:r>
      <w:r>
        <w:rPr>
          <w:b/>
          <w:bCs/>
          <w:i/>
          <w:iCs/>
          <w:sz w:val="24"/>
        </w:rPr>
        <w:t>A. gramineus</w:t>
      </w:r>
      <w:r>
        <w:rPr>
          <w:b/>
          <w:bCs/>
          <w:sz w:val="24"/>
        </w:rPr>
        <w:t>.</w:t>
      </w:r>
    </w:p>
    <w:p w14:paraId="2C8BBCB2" w14:textId="77777777" w:rsidR="001768C0" w:rsidRDefault="001768C0" w:rsidP="001768C0">
      <w:pPr>
        <w:rPr>
          <w:color w:val="222222"/>
          <w:shd w:val="clear" w:color="auto" w:fill="FFFFFF"/>
        </w:rPr>
      </w:pPr>
      <w:r>
        <w:rPr>
          <w:b/>
          <w:bCs/>
          <w:sz w:val="24"/>
        </w:rPr>
        <w:t>a</w:t>
      </w:r>
      <w:r>
        <w:rPr>
          <w:sz w:val="24"/>
        </w:rPr>
        <w:t>,</w:t>
      </w:r>
      <w:r>
        <w:rPr>
          <w:b/>
          <w:bCs/>
          <w:sz w:val="24"/>
        </w:rPr>
        <w:t xml:space="preserve"> </w:t>
      </w:r>
      <w:r>
        <w:rPr>
          <w:color w:val="222222"/>
          <w:shd w:val="clear" w:color="auto" w:fill="FFFFFF"/>
        </w:rPr>
        <w:t xml:space="preserve">Chromosome-level assembly of the </w:t>
      </w:r>
      <w:r>
        <w:rPr>
          <w:i/>
          <w:iCs/>
          <w:color w:val="222222"/>
          <w:shd w:val="clear" w:color="auto" w:fill="FFFFFF"/>
        </w:rPr>
        <w:t>I. verum</w:t>
      </w:r>
      <w:r>
        <w:rPr>
          <w:color w:val="222222"/>
          <w:shd w:val="clear" w:color="auto" w:fill="FFFFFF"/>
        </w:rPr>
        <w:t xml:space="preserve"> genome using Hi-C technology. </w:t>
      </w:r>
      <w:r>
        <w:rPr>
          <w:b/>
          <w:bCs/>
          <w:sz w:val="24"/>
        </w:rPr>
        <w:t>b</w:t>
      </w:r>
      <w:r>
        <w:rPr>
          <w:sz w:val="24"/>
        </w:rPr>
        <w:t>,</w:t>
      </w:r>
      <w:r>
        <w:rPr>
          <w:b/>
          <w:bCs/>
          <w:sz w:val="24"/>
        </w:rPr>
        <w:t xml:space="preserve"> c</w:t>
      </w:r>
      <w:r>
        <w:rPr>
          <w:sz w:val="24"/>
        </w:rPr>
        <w:t>,</w:t>
      </w:r>
      <w:r>
        <w:rPr>
          <w:color w:val="222222"/>
          <w:shd w:val="clear" w:color="auto" w:fill="FFFFFF"/>
        </w:rPr>
        <w:t xml:space="preserve"> Chromosome-level assembly of the </w:t>
      </w:r>
      <w:r>
        <w:rPr>
          <w:i/>
          <w:iCs/>
          <w:color w:val="222222"/>
          <w:shd w:val="clear" w:color="auto" w:fill="FFFFFF"/>
        </w:rPr>
        <w:t>A. gramineus</w:t>
      </w:r>
      <w:r>
        <w:rPr>
          <w:color w:val="222222"/>
          <w:shd w:val="clear" w:color="auto" w:fill="FFFFFF"/>
        </w:rPr>
        <w:t xml:space="preserve"> genome using Hi-C technology.</w:t>
      </w:r>
      <w:r>
        <w:rPr>
          <w:sz w:val="24"/>
        </w:rPr>
        <w:t xml:space="preserve"> </w:t>
      </w:r>
      <w:r>
        <w:rPr>
          <w:b/>
          <w:bCs/>
          <w:sz w:val="24"/>
        </w:rPr>
        <w:t>d</w:t>
      </w:r>
      <w:r>
        <w:rPr>
          <w:sz w:val="24"/>
        </w:rPr>
        <w:t>,</w:t>
      </w:r>
      <w:r>
        <w:rPr>
          <w:color w:val="222222"/>
          <w:shd w:val="clear" w:color="auto" w:fill="FFFFFF"/>
        </w:rPr>
        <w:t xml:space="preserve"> Morphological characteristics of </w:t>
      </w:r>
      <w:r>
        <w:rPr>
          <w:i/>
          <w:iCs/>
          <w:color w:val="222222"/>
          <w:shd w:val="clear" w:color="auto" w:fill="FFFFFF"/>
        </w:rPr>
        <w:t>A. gramineus</w:t>
      </w:r>
      <w:r>
        <w:rPr>
          <w:color w:val="222222"/>
          <w:shd w:val="clear" w:color="auto" w:fill="FFFFFF"/>
        </w:rPr>
        <w:t>: schematic representations of (a) aerial parts; (b) cross section of spadix; spadices; (d) spadices with pseudo-spathe; (e) leaves.</w:t>
      </w:r>
    </w:p>
    <w:p w14:paraId="07D2B9C8" w14:textId="77777777" w:rsidR="001768C0" w:rsidRDefault="001768C0" w:rsidP="001768C0">
      <w:pPr>
        <w:jc w:val="center"/>
        <w:rPr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0D4D1C3E" wp14:editId="624138D5">
            <wp:extent cx="5274310" cy="4625340"/>
            <wp:effectExtent l="0" t="0" r="2540" b="3810"/>
            <wp:docPr id="3" name="图片 3" descr="图表, 旭日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旭日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DDB37" w14:textId="77777777" w:rsidR="001768C0" w:rsidRDefault="001768C0" w:rsidP="001768C0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0C3F913E" w14:textId="77777777" w:rsidR="001768C0" w:rsidRDefault="001768C0" w:rsidP="001768C0">
      <w:pPr>
        <w:rPr>
          <w:b/>
          <w:bCs/>
          <w:sz w:val="24"/>
        </w:rPr>
      </w:pPr>
      <w:bookmarkStart w:id="0" w:name="_Hlk95420820"/>
      <w:r>
        <w:rPr>
          <w:b/>
          <w:bCs/>
          <w:sz w:val="24"/>
        </w:rPr>
        <w:lastRenderedPageBreak/>
        <w:t>Extended Data Fig. 2</w:t>
      </w:r>
      <w:bookmarkEnd w:id="0"/>
      <w:r>
        <w:rPr>
          <w:b/>
          <w:bCs/>
          <w:sz w:val="24"/>
        </w:rPr>
        <w:t xml:space="preserve"> | WGD in </w:t>
      </w:r>
      <w:r>
        <w:rPr>
          <w:b/>
          <w:bCs/>
          <w:i/>
          <w:iCs/>
          <w:sz w:val="24"/>
        </w:rPr>
        <w:t>I. verum</w:t>
      </w:r>
      <w:r>
        <w:rPr>
          <w:b/>
          <w:bCs/>
          <w:sz w:val="24"/>
        </w:rPr>
        <w:t xml:space="preserve"> and </w:t>
      </w:r>
      <w:r>
        <w:rPr>
          <w:b/>
          <w:bCs/>
          <w:i/>
          <w:iCs/>
          <w:sz w:val="24"/>
        </w:rPr>
        <w:t>A. gramineus</w:t>
      </w:r>
      <w:r>
        <w:rPr>
          <w:b/>
          <w:bCs/>
          <w:sz w:val="24"/>
        </w:rPr>
        <w:t>.</w:t>
      </w:r>
    </w:p>
    <w:p w14:paraId="7DB3BD34" w14:textId="77777777" w:rsidR="001768C0" w:rsidRDefault="001768C0" w:rsidP="001768C0">
      <w:pPr>
        <w:rPr>
          <w:color w:val="222222"/>
          <w:shd w:val="clear" w:color="auto" w:fill="FFFFFF"/>
        </w:rPr>
      </w:pPr>
      <w:r>
        <w:rPr>
          <w:b/>
          <w:bCs/>
          <w:sz w:val="24"/>
        </w:rPr>
        <w:t>a</w:t>
      </w:r>
      <w:r>
        <w:rPr>
          <w:sz w:val="24"/>
        </w:rPr>
        <w:t>,</w:t>
      </w:r>
      <w:r>
        <w:rPr>
          <w:b/>
          <w:bCs/>
          <w:sz w:val="24"/>
        </w:rPr>
        <w:t xml:space="preserve"> </w:t>
      </w:r>
      <w:r>
        <w:rPr>
          <w:color w:val="222222"/>
          <w:shd w:val="clear" w:color="auto" w:fill="FFFFFF"/>
        </w:rPr>
        <w:t>Synteny blocks of the</w:t>
      </w:r>
      <w:r>
        <w:rPr>
          <w:i/>
          <w:iCs/>
          <w:color w:val="222222"/>
          <w:shd w:val="clear" w:color="auto" w:fill="FFFFFF"/>
        </w:rPr>
        <w:t xml:space="preserve"> I. verum</w:t>
      </w:r>
      <w:r>
        <w:rPr>
          <w:color w:val="222222"/>
          <w:shd w:val="clear" w:color="auto" w:fill="FFFFFF"/>
        </w:rPr>
        <w:t xml:space="preserve"> genome. </w:t>
      </w:r>
      <w:r>
        <w:rPr>
          <w:b/>
          <w:bCs/>
          <w:sz w:val="24"/>
        </w:rPr>
        <w:t>b</w:t>
      </w:r>
      <w:r>
        <w:rPr>
          <w:sz w:val="24"/>
        </w:rPr>
        <w:t>,</w:t>
      </w:r>
      <w:r>
        <w:rPr>
          <w:b/>
          <w:bCs/>
          <w:sz w:val="24"/>
        </w:rPr>
        <w:t xml:space="preserve"> </w:t>
      </w:r>
      <w:r>
        <w:rPr>
          <w:color w:val="222222"/>
          <w:shd w:val="clear" w:color="auto" w:fill="FFFFFF"/>
        </w:rPr>
        <w:t>Synteny blocks of the</w:t>
      </w:r>
      <w:r>
        <w:rPr>
          <w:i/>
          <w:iCs/>
          <w:color w:val="222222"/>
          <w:shd w:val="clear" w:color="auto" w:fill="FFFFFF"/>
        </w:rPr>
        <w:t xml:space="preserve"> A. gramineus</w:t>
      </w:r>
      <w:r>
        <w:rPr>
          <w:color w:val="222222"/>
          <w:shd w:val="clear" w:color="auto" w:fill="FFFFFF"/>
        </w:rPr>
        <w:t xml:space="preserve"> genome. </w:t>
      </w:r>
      <w:r>
        <w:rPr>
          <w:b/>
          <w:bCs/>
          <w:sz w:val="24"/>
        </w:rPr>
        <w:t>c</w:t>
      </w:r>
      <w:r>
        <w:rPr>
          <w:sz w:val="24"/>
        </w:rPr>
        <w:t>,</w:t>
      </w:r>
      <w:bookmarkStart w:id="1" w:name="_Hlk95420243"/>
      <w:r>
        <w:rPr>
          <w:rFonts w:hint="eastAsia"/>
          <w:sz w:val="24"/>
        </w:rPr>
        <w:t xml:space="preserve"> </w:t>
      </w:r>
      <w:r>
        <w:rPr>
          <w:color w:val="222222"/>
          <w:shd w:val="clear" w:color="auto" w:fill="FFFFFF"/>
        </w:rPr>
        <w:t>The Ks distributions of intragenomic synteny blocks</w:t>
      </w:r>
      <w:r>
        <w:rPr>
          <w:sz w:val="24"/>
        </w:rPr>
        <w:t>.</w:t>
      </w:r>
      <w:bookmarkEnd w:id="1"/>
      <w:r>
        <w:rPr>
          <w:sz w:val="24"/>
        </w:rPr>
        <w:t xml:space="preserve"> </w:t>
      </w:r>
      <w:r>
        <w:rPr>
          <w:b/>
          <w:bCs/>
          <w:sz w:val="24"/>
        </w:rPr>
        <w:t>d</w:t>
      </w:r>
      <w:r>
        <w:rPr>
          <w:sz w:val="24"/>
        </w:rPr>
        <w:t>,</w:t>
      </w:r>
      <w:r>
        <w:rPr>
          <w:rFonts w:hint="eastAsia"/>
          <w:sz w:val="24"/>
        </w:rPr>
        <w:t xml:space="preserve"> </w:t>
      </w:r>
      <w:r>
        <w:rPr>
          <w:color w:val="222222"/>
          <w:shd w:val="clear" w:color="auto" w:fill="FFFFFF"/>
        </w:rPr>
        <w:t xml:space="preserve">Synteny patterns between genomic regions from </w:t>
      </w:r>
      <w:r>
        <w:rPr>
          <w:i/>
          <w:iCs/>
          <w:color w:val="222222"/>
          <w:shd w:val="clear" w:color="auto" w:fill="FFFFFF"/>
        </w:rPr>
        <w:t>I. verum</w:t>
      </w:r>
      <w:r>
        <w:rPr>
          <w:color w:val="222222"/>
          <w:shd w:val="clear" w:color="auto" w:fill="FFFFFF"/>
        </w:rPr>
        <w:t xml:space="preserve">, </w:t>
      </w:r>
      <w:r>
        <w:rPr>
          <w:i/>
          <w:iCs/>
          <w:color w:val="222222"/>
          <w:shd w:val="clear" w:color="auto" w:fill="FFFFFF"/>
        </w:rPr>
        <w:t>A</w:t>
      </w:r>
      <w:r>
        <w:rPr>
          <w:rFonts w:hint="eastAsia"/>
          <w:i/>
          <w:iCs/>
          <w:color w:val="222222"/>
          <w:shd w:val="clear" w:color="auto" w:fill="FFFFFF"/>
        </w:rPr>
        <w:t>m</w:t>
      </w:r>
      <w:r>
        <w:rPr>
          <w:i/>
          <w:iCs/>
          <w:color w:val="222222"/>
          <w:shd w:val="clear" w:color="auto" w:fill="FFFFFF"/>
        </w:rPr>
        <w:t>. trichopoda</w:t>
      </w:r>
      <w:r>
        <w:rPr>
          <w:color w:val="222222"/>
          <w:shd w:val="clear" w:color="auto" w:fill="FFFFFF"/>
        </w:rPr>
        <w:t xml:space="preserve">, and </w:t>
      </w:r>
      <w:r>
        <w:rPr>
          <w:i/>
          <w:iCs/>
          <w:color w:val="222222"/>
          <w:shd w:val="clear" w:color="auto" w:fill="FFFFFF"/>
        </w:rPr>
        <w:t>A. gramineus</w:t>
      </w:r>
      <w:r>
        <w:rPr>
          <w:color w:val="222222"/>
          <w:shd w:val="clear" w:color="auto" w:fill="FFFFFF"/>
        </w:rPr>
        <w:t>.</w:t>
      </w:r>
    </w:p>
    <w:p w14:paraId="736E713E" w14:textId="77777777" w:rsidR="001768C0" w:rsidRDefault="001768C0" w:rsidP="001768C0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7B2E3A10" wp14:editId="37766D3A">
            <wp:extent cx="5274310" cy="3963670"/>
            <wp:effectExtent l="0" t="0" r="2540" b="0"/>
            <wp:docPr id="25" name="图片 2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5361" w14:textId="77777777" w:rsidR="001768C0" w:rsidRDefault="001768C0" w:rsidP="001768C0">
      <w:pPr>
        <w:rPr>
          <w:b/>
          <w:bCs/>
          <w:sz w:val="24"/>
        </w:rPr>
      </w:pPr>
      <w:r>
        <w:rPr>
          <w:sz w:val="24"/>
        </w:rPr>
        <w:br w:type="page"/>
      </w:r>
    </w:p>
    <w:p w14:paraId="3ABA93D2" w14:textId="77777777" w:rsidR="001768C0" w:rsidRDefault="001768C0" w:rsidP="001768C0">
      <w:pPr>
        <w:ind w:left="241" w:hangingChars="100" w:hanging="241"/>
        <w:rPr>
          <w:sz w:val="24"/>
        </w:rPr>
      </w:pPr>
      <w:r>
        <w:rPr>
          <w:b/>
          <w:bCs/>
          <w:sz w:val="24"/>
        </w:rPr>
        <w:lastRenderedPageBreak/>
        <w:t xml:space="preserve">Extended Data Fig. 3 | </w:t>
      </w:r>
      <w:r>
        <w:rPr>
          <w:rFonts w:hint="eastAsia"/>
          <w:b/>
          <w:bCs/>
          <w:sz w:val="24"/>
        </w:rPr>
        <w:t>The identified a</w:t>
      </w:r>
      <w:r>
        <w:rPr>
          <w:b/>
          <w:bCs/>
          <w:sz w:val="24"/>
        </w:rPr>
        <w:t>ncestral angiosperm kary</w:t>
      </w:r>
      <w:r>
        <w:rPr>
          <w:rFonts w:hint="eastAsia"/>
          <w:b/>
          <w:bCs/>
          <w:sz w:val="24"/>
        </w:rPr>
        <w:t xml:space="preserve">otype (AAK) comprising 16 protochromosomes, each of which was retained as the chromosome-like </w:t>
      </w:r>
      <w:r>
        <w:rPr>
          <w:b/>
          <w:bCs/>
          <w:sz w:val="24"/>
        </w:rPr>
        <w:t>‘</w:t>
      </w:r>
      <w:r>
        <w:rPr>
          <w:rFonts w:hint="eastAsia"/>
          <w:b/>
          <w:bCs/>
          <w:sz w:val="24"/>
        </w:rPr>
        <w:t>synteny blocks</w:t>
      </w:r>
      <w:r>
        <w:rPr>
          <w:b/>
          <w:bCs/>
          <w:sz w:val="24"/>
        </w:rPr>
        <w:t>’</w:t>
      </w:r>
      <w:r>
        <w:rPr>
          <w:rFonts w:hint="eastAsia"/>
          <w:b/>
          <w:bCs/>
          <w:sz w:val="24"/>
        </w:rPr>
        <w:t xml:space="preserve"> or chromosomes cross multiple species (shaded orange)</w:t>
      </w:r>
    </w:p>
    <w:p w14:paraId="22C5A234" w14:textId="77777777" w:rsidR="001768C0" w:rsidRDefault="001768C0" w:rsidP="001768C0">
      <w:pPr>
        <w:jc w:val="center"/>
      </w:pPr>
    </w:p>
    <w:p w14:paraId="12EC603D" w14:textId="77777777" w:rsidR="001768C0" w:rsidRDefault="001768C0" w:rsidP="001768C0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554915D2" wp14:editId="6FD70BA1">
            <wp:extent cx="5274310" cy="3905885"/>
            <wp:effectExtent l="0" t="0" r="13970" b="10795"/>
            <wp:docPr id="11" name="图片 11" descr="图表, 树状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表, 树状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4B23F" w14:textId="77777777" w:rsidR="001768C0" w:rsidRDefault="001768C0" w:rsidP="001768C0">
      <w:pPr>
        <w:rPr>
          <w:sz w:val="24"/>
        </w:rPr>
      </w:pPr>
      <w:r>
        <w:rPr>
          <w:sz w:val="24"/>
        </w:rPr>
        <w:br w:type="page"/>
      </w:r>
    </w:p>
    <w:p w14:paraId="2DA6C333" w14:textId="77777777" w:rsidR="001768C0" w:rsidRDefault="001768C0" w:rsidP="001768C0">
      <w:pPr>
        <w:rPr>
          <w:b/>
          <w:bCs/>
          <w:sz w:val="24"/>
        </w:rPr>
      </w:pPr>
      <w:r>
        <w:rPr>
          <w:b/>
          <w:bCs/>
          <w:sz w:val="24"/>
        </w:rPr>
        <w:lastRenderedPageBreak/>
        <w:t xml:space="preserve">Extended Data Fig. 4 | </w:t>
      </w:r>
      <w:r>
        <w:rPr>
          <w:rFonts w:hint="eastAsia"/>
          <w:b/>
          <w:bCs/>
          <w:sz w:val="24"/>
        </w:rPr>
        <w:t>A single</w:t>
      </w:r>
      <w:r>
        <w:rPr>
          <w:b/>
          <w:bCs/>
          <w:sz w:val="24"/>
        </w:rPr>
        <w:t xml:space="preserve"> shared fusion </w:t>
      </w:r>
      <w:r>
        <w:rPr>
          <w:rFonts w:hint="eastAsia"/>
          <w:b/>
          <w:bCs/>
          <w:sz w:val="24"/>
        </w:rPr>
        <w:t>between</w:t>
      </w:r>
      <w:r>
        <w:rPr>
          <w:b/>
          <w:bCs/>
          <w:sz w:val="24"/>
        </w:rPr>
        <w:t xml:space="preserve"> Amborellales and Nymphaeales.</w:t>
      </w:r>
    </w:p>
    <w:p w14:paraId="719B4AB9" w14:textId="77777777" w:rsidR="001768C0" w:rsidRDefault="001768C0" w:rsidP="001768C0">
      <w:pPr>
        <w:rPr>
          <w:sz w:val="24"/>
        </w:rPr>
      </w:pPr>
      <w:r>
        <w:rPr>
          <w:b/>
          <w:bCs/>
          <w:sz w:val="24"/>
        </w:rPr>
        <w:t>a</w:t>
      </w:r>
      <w:r>
        <w:rPr>
          <w:sz w:val="24"/>
        </w:rPr>
        <w:t>, The evolutionary trajectory of this shared fusion and a</w:t>
      </w:r>
      <w:r>
        <w:rPr>
          <w:rFonts w:hint="eastAsia"/>
          <w:sz w:val="24"/>
        </w:rPr>
        <w:t xml:space="preserve"> further</w:t>
      </w:r>
      <w:r>
        <w:rPr>
          <w:sz w:val="24"/>
        </w:rPr>
        <w:t xml:space="preserve"> inversion event</w:t>
      </w:r>
      <w:r>
        <w:rPr>
          <w:rFonts w:hint="eastAsia"/>
          <w:sz w:val="24"/>
        </w:rPr>
        <w:t xml:space="preserve"> in Amborellales</w:t>
      </w:r>
      <w:r>
        <w:rPr>
          <w:sz w:val="24"/>
        </w:rPr>
        <w:t xml:space="preserve">. </w:t>
      </w:r>
      <w:r>
        <w:rPr>
          <w:b/>
          <w:bCs/>
          <w:sz w:val="24"/>
        </w:rPr>
        <w:t>b</w:t>
      </w:r>
      <w:r>
        <w:rPr>
          <w:sz w:val="24"/>
        </w:rPr>
        <w:t xml:space="preserve">, The local syntenic blocks related to AAK1 and AAK2 with </w:t>
      </w:r>
      <w:r>
        <w:rPr>
          <w:i/>
          <w:iCs/>
          <w:sz w:val="24"/>
        </w:rPr>
        <w:t>A</w:t>
      </w:r>
      <w:r>
        <w:rPr>
          <w:rFonts w:hint="eastAsia"/>
          <w:i/>
          <w:iCs/>
          <w:sz w:val="24"/>
        </w:rPr>
        <w:t>m</w:t>
      </w:r>
      <w:r>
        <w:rPr>
          <w:i/>
          <w:iCs/>
          <w:sz w:val="24"/>
        </w:rPr>
        <w:t>. trichopoda</w:t>
      </w:r>
      <w:r>
        <w:rPr>
          <w:sz w:val="24"/>
        </w:rPr>
        <w:t xml:space="preserve"> as a reference.</w:t>
      </w:r>
    </w:p>
    <w:p w14:paraId="6D8E9B2F" w14:textId="77777777" w:rsidR="001768C0" w:rsidRDefault="001768C0" w:rsidP="001768C0">
      <w:pPr>
        <w:rPr>
          <w:sz w:val="24"/>
        </w:rPr>
      </w:pP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drawing>
          <wp:inline distT="0" distB="0" distL="0" distR="0" wp14:anchorId="27E6005F" wp14:editId="3DA9111B">
            <wp:extent cx="5151755" cy="7288530"/>
            <wp:effectExtent l="0" t="0" r="0" b="7620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537" cy="72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3D35" w14:textId="77777777" w:rsidR="001768C0" w:rsidRDefault="001768C0" w:rsidP="001768C0">
      <w:pPr>
        <w:rPr>
          <w:sz w:val="24"/>
        </w:rPr>
      </w:pPr>
      <w:r>
        <w:rPr>
          <w:sz w:val="24"/>
        </w:rPr>
        <w:br w:type="page"/>
      </w:r>
    </w:p>
    <w:p w14:paraId="590CD9B8" w14:textId="77777777" w:rsidR="001768C0" w:rsidRDefault="001768C0" w:rsidP="001768C0">
      <w:pPr>
        <w:rPr>
          <w:sz w:val="24"/>
        </w:rPr>
      </w:pPr>
      <w:r>
        <w:rPr>
          <w:b/>
          <w:bCs/>
          <w:sz w:val="24"/>
        </w:rPr>
        <w:lastRenderedPageBreak/>
        <w:t xml:space="preserve">Extended Data Fig. 5 | </w:t>
      </w:r>
      <w:r>
        <w:rPr>
          <w:rFonts w:hint="eastAsia"/>
          <w:b/>
          <w:bCs/>
          <w:sz w:val="24"/>
        </w:rPr>
        <w:t>A single</w:t>
      </w:r>
      <w:r>
        <w:rPr>
          <w:b/>
          <w:bCs/>
          <w:sz w:val="24"/>
        </w:rPr>
        <w:t xml:space="preserve"> shared fusion between Austrobaileyales and Mesangiospermae.</w:t>
      </w:r>
    </w:p>
    <w:p w14:paraId="5D093BE9" w14:textId="77777777" w:rsidR="001768C0" w:rsidRDefault="001768C0" w:rsidP="001768C0">
      <w:pPr>
        <w:rPr>
          <w:sz w:val="24"/>
        </w:rPr>
      </w:pPr>
      <w:r>
        <w:rPr>
          <w:b/>
          <w:bCs/>
          <w:sz w:val="24"/>
        </w:rPr>
        <w:t>a</w:t>
      </w:r>
      <w:r>
        <w:rPr>
          <w:sz w:val="24"/>
        </w:rPr>
        <w:t>, The evolutionary trajectory of th</w:t>
      </w:r>
      <w:r>
        <w:rPr>
          <w:rFonts w:hint="eastAsia"/>
          <w:sz w:val="24"/>
        </w:rPr>
        <w:t>e</w:t>
      </w:r>
      <w:r>
        <w:rPr>
          <w:sz w:val="24"/>
        </w:rPr>
        <w:t xml:space="preserve"> shared fusion. </w:t>
      </w:r>
      <w:r>
        <w:rPr>
          <w:b/>
          <w:bCs/>
          <w:sz w:val="24"/>
        </w:rPr>
        <w:t>b</w:t>
      </w:r>
      <w:r>
        <w:rPr>
          <w:sz w:val="24"/>
        </w:rPr>
        <w:t xml:space="preserve">, An inversion event of the fused chromosome in Mesangiospermae. </w:t>
      </w:r>
      <w:r>
        <w:rPr>
          <w:b/>
          <w:bCs/>
          <w:sz w:val="24"/>
        </w:rPr>
        <w:t>c</w:t>
      </w:r>
      <w:r>
        <w:rPr>
          <w:sz w:val="24"/>
        </w:rPr>
        <w:t xml:space="preserve">, The local syntenic blocks related to AAK16 and AAK7 with </w:t>
      </w:r>
      <w:r>
        <w:rPr>
          <w:i/>
          <w:iCs/>
          <w:sz w:val="24"/>
        </w:rPr>
        <w:t>I. verum</w:t>
      </w:r>
      <w:r>
        <w:rPr>
          <w:sz w:val="24"/>
        </w:rPr>
        <w:t xml:space="preserve"> as a reference.</w:t>
      </w:r>
    </w:p>
    <w:p w14:paraId="464C5234" w14:textId="77777777" w:rsidR="001768C0" w:rsidRDefault="001768C0" w:rsidP="001768C0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A02156C" wp14:editId="5CFC9731">
            <wp:extent cx="5274310" cy="7407275"/>
            <wp:effectExtent l="0" t="0" r="13970" b="14605"/>
            <wp:docPr id="17" name="图片 1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78B1" w14:textId="77777777" w:rsidR="001768C0" w:rsidRDefault="001768C0" w:rsidP="001768C0">
      <w:pPr>
        <w:rPr>
          <w:sz w:val="24"/>
        </w:rPr>
      </w:pPr>
      <w:r>
        <w:rPr>
          <w:sz w:val="24"/>
        </w:rPr>
        <w:br w:type="page"/>
      </w:r>
    </w:p>
    <w:p w14:paraId="3BF51C68" w14:textId="77777777" w:rsidR="001768C0" w:rsidRDefault="001768C0" w:rsidP="001768C0">
      <w:pPr>
        <w:rPr>
          <w:b/>
          <w:bCs/>
          <w:sz w:val="24"/>
        </w:rPr>
      </w:pPr>
      <w:r>
        <w:rPr>
          <w:b/>
          <w:bCs/>
          <w:sz w:val="24"/>
        </w:rPr>
        <w:lastRenderedPageBreak/>
        <w:t xml:space="preserve">Extended Data Fig. 6 | Evolutionary differences </w:t>
      </w:r>
      <w:r>
        <w:rPr>
          <w:rFonts w:hint="eastAsia"/>
          <w:b/>
          <w:bCs/>
          <w:sz w:val="24"/>
        </w:rPr>
        <w:t>between</w:t>
      </w:r>
      <w:r>
        <w:rPr>
          <w:b/>
          <w:bCs/>
          <w:sz w:val="24"/>
        </w:rPr>
        <w:t xml:space="preserve"> ancestral monocot karyotype and the other four clades of Mesangiospermae.</w:t>
      </w:r>
    </w:p>
    <w:p w14:paraId="454F903B" w14:textId="77777777" w:rsidR="001768C0" w:rsidRDefault="001768C0" w:rsidP="001768C0">
      <w:pPr>
        <w:rPr>
          <w:sz w:val="24"/>
        </w:rPr>
      </w:pPr>
      <w:r>
        <w:rPr>
          <w:rFonts w:hint="eastAsia"/>
          <w:b/>
          <w:bCs/>
          <w:sz w:val="24"/>
        </w:rPr>
        <w:t>a</w:t>
      </w:r>
      <w:r>
        <w:rPr>
          <w:sz w:val="24"/>
        </w:rPr>
        <w:t>, Representative species of five Mesangiospermae clades (</w:t>
      </w:r>
      <w:r>
        <w:rPr>
          <w:i/>
          <w:iCs/>
          <w:sz w:val="24"/>
        </w:rPr>
        <w:t>A. gramineus</w:t>
      </w:r>
      <w:r>
        <w:rPr>
          <w:sz w:val="24"/>
        </w:rPr>
        <w:t xml:space="preserve">, monocots; </w:t>
      </w:r>
      <w:r>
        <w:rPr>
          <w:i/>
          <w:iCs/>
          <w:sz w:val="24"/>
        </w:rPr>
        <w:t>L. chinense</w:t>
      </w:r>
      <w:r>
        <w:rPr>
          <w:sz w:val="24"/>
        </w:rPr>
        <w:t xml:space="preserve">, magnoliids; </w:t>
      </w:r>
      <w:r>
        <w:rPr>
          <w:i/>
          <w:iCs/>
          <w:sz w:val="24"/>
        </w:rPr>
        <w:t>C. sessilifolius</w:t>
      </w:r>
      <w:r>
        <w:rPr>
          <w:sz w:val="24"/>
        </w:rPr>
        <w:t xml:space="preserve">, Chloranthus; </w:t>
      </w:r>
      <w:r>
        <w:rPr>
          <w:i/>
          <w:iCs/>
          <w:sz w:val="24"/>
        </w:rPr>
        <w:t>C. demersum</w:t>
      </w:r>
      <w:r>
        <w:rPr>
          <w:sz w:val="24"/>
        </w:rPr>
        <w:t xml:space="preserve">, Ceratophyllum; </w:t>
      </w:r>
      <w:r>
        <w:rPr>
          <w:i/>
          <w:iCs/>
          <w:sz w:val="24"/>
        </w:rPr>
        <w:t>V. vinifera</w:t>
      </w:r>
      <w:r>
        <w:rPr>
          <w:sz w:val="24"/>
        </w:rPr>
        <w:t>, eudicots) and</w:t>
      </w:r>
      <w:r>
        <w:rPr>
          <w:rFonts w:hint="eastAsia"/>
          <w:sz w:val="24"/>
        </w:rPr>
        <w:t xml:space="preserve"> </w:t>
      </w:r>
      <w:r>
        <w:rPr>
          <w:sz w:val="24"/>
        </w:rPr>
        <w:t>out group (</w:t>
      </w:r>
      <w:r>
        <w:rPr>
          <w:i/>
          <w:iCs/>
          <w:sz w:val="24"/>
        </w:rPr>
        <w:t>A</w:t>
      </w:r>
      <w:r>
        <w:rPr>
          <w:rFonts w:hint="eastAsia"/>
          <w:i/>
          <w:iCs/>
          <w:sz w:val="24"/>
        </w:rPr>
        <w:t>m</w:t>
      </w:r>
      <w:r>
        <w:rPr>
          <w:i/>
          <w:iCs/>
          <w:sz w:val="24"/>
        </w:rPr>
        <w:t>. trichopoda</w:t>
      </w:r>
      <w:r>
        <w:rPr>
          <w:sz w:val="24"/>
        </w:rPr>
        <w:t xml:space="preserve">, Amborella). The ancestral chromosomes are distinguished by different colors, and the chromosomes produced by the fusion </w:t>
      </w:r>
      <w:r>
        <w:rPr>
          <w:rFonts w:hint="eastAsia"/>
          <w:sz w:val="24"/>
        </w:rPr>
        <w:t>include</w:t>
      </w:r>
      <w:r>
        <w:rPr>
          <w:sz w:val="24"/>
        </w:rPr>
        <w:t xml:space="preserve"> different colors. </w:t>
      </w:r>
      <w:r>
        <w:rPr>
          <w:b/>
          <w:bCs/>
          <w:sz w:val="24"/>
        </w:rPr>
        <w:t>b</w:t>
      </w:r>
      <w:r>
        <w:rPr>
          <w:sz w:val="24"/>
        </w:rPr>
        <w:t xml:space="preserve">, The local syntenic blocks related to AAK16 and AAK7. </w:t>
      </w:r>
      <w:r>
        <w:rPr>
          <w:b/>
          <w:bCs/>
          <w:sz w:val="24"/>
        </w:rPr>
        <w:t>c</w:t>
      </w:r>
      <w:r>
        <w:rPr>
          <w:sz w:val="24"/>
        </w:rPr>
        <w:t>, The local syntenic blocks related to AAK1 and AAK9.</w:t>
      </w:r>
    </w:p>
    <w:p w14:paraId="185D0818" w14:textId="77777777" w:rsidR="001768C0" w:rsidRDefault="001768C0" w:rsidP="001768C0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61410D2A" wp14:editId="17A2E059">
            <wp:extent cx="4817745" cy="6813550"/>
            <wp:effectExtent l="0" t="0" r="13335" b="13970"/>
            <wp:docPr id="19" name="图片 19" descr="图形用户界面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122" cy="682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14:paraId="440C4055" w14:textId="77777777" w:rsidR="001768C0" w:rsidRDefault="001768C0" w:rsidP="001768C0">
      <w:pPr>
        <w:rPr>
          <w:b/>
          <w:bCs/>
          <w:sz w:val="24"/>
        </w:rPr>
      </w:pPr>
      <w:r>
        <w:rPr>
          <w:b/>
          <w:bCs/>
          <w:sz w:val="24"/>
        </w:rPr>
        <w:lastRenderedPageBreak/>
        <w:t>Extended Data Fig. 7 | Inconsistent structural variation for monocots and magnolias</w:t>
      </w:r>
      <w:r>
        <w:t xml:space="preserve"> </w:t>
      </w:r>
      <w:r>
        <w:rPr>
          <w:b/>
          <w:bCs/>
          <w:sz w:val="24"/>
        </w:rPr>
        <w:t xml:space="preserve">with </w:t>
      </w:r>
      <w:r>
        <w:rPr>
          <w:b/>
          <w:bCs/>
          <w:i/>
          <w:iCs/>
          <w:sz w:val="24"/>
        </w:rPr>
        <w:t>Aristolochia</w:t>
      </w:r>
      <w:r>
        <w:rPr>
          <w:b/>
          <w:bCs/>
          <w:sz w:val="24"/>
        </w:rPr>
        <w:t xml:space="preserve"> as a reference.</w:t>
      </w:r>
    </w:p>
    <w:p w14:paraId="250CDEE3" w14:textId="77777777" w:rsidR="001768C0" w:rsidRDefault="001768C0" w:rsidP="001768C0">
      <w:pPr>
        <w:rPr>
          <w:sz w:val="24"/>
        </w:rPr>
      </w:pPr>
      <w:r>
        <w:rPr>
          <w:rFonts w:hint="eastAsia"/>
          <w:b/>
          <w:bCs/>
          <w:sz w:val="24"/>
        </w:rPr>
        <w:t>a</w:t>
      </w:r>
      <w:r>
        <w:rPr>
          <w:sz w:val="24"/>
        </w:rPr>
        <w:t xml:space="preserve">, The evolutionary trajectory of evolutionary events related to AAK7, AAK16 and AAK14. </w:t>
      </w:r>
      <w:r>
        <w:rPr>
          <w:rFonts w:hint="eastAsia"/>
          <w:sz w:val="24"/>
        </w:rPr>
        <w:t>The</w:t>
      </w:r>
      <w:r>
        <w:rPr>
          <w:sz w:val="24"/>
        </w:rPr>
        <w:t xml:space="preserve"> primitive AMAK13 was still retained in </w:t>
      </w:r>
      <w:r>
        <w:rPr>
          <w:i/>
          <w:iCs/>
          <w:sz w:val="24"/>
        </w:rPr>
        <w:t>A. gramineus</w:t>
      </w:r>
      <w:r>
        <w:rPr>
          <w:sz w:val="24"/>
        </w:rPr>
        <w:t xml:space="preserve">, but </w:t>
      </w:r>
      <w:r>
        <w:rPr>
          <w:rFonts w:hint="eastAsia"/>
          <w:sz w:val="24"/>
        </w:rPr>
        <w:t>in</w:t>
      </w:r>
      <w:r>
        <w:rPr>
          <w:sz w:val="24"/>
        </w:rPr>
        <w:t xml:space="preserve"> the common ancestor of the other monocots, it further fused with AAK14 to produce the protochromosome 5. AMAK 13 was obviously fragmented into two parts in magnolias and a part of AAK 16 in this primitive chromosome was connected again with a part of AAK 14 in one chromosome of </w:t>
      </w:r>
      <w:r>
        <w:rPr>
          <w:i/>
          <w:iCs/>
          <w:sz w:val="24"/>
        </w:rPr>
        <w:t>A</w:t>
      </w:r>
      <w:r>
        <w:rPr>
          <w:rFonts w:hint="eastAsia"/>
          <w:i/>
          <w:iCs/>
          <w:sz w:val="24"/>
        </w:rPr>
        <w:t>r</w:t>
      </w:r>
      <w:r>
        <w:rPr>
          <w:i/>
          <w:iCs/>
          <w:sz w:val="24"/>
        </w:rPr>
        <w:t>. fimbriata</w:t>
      </w:r>
      <w:r>
        <w:rPr>
          <w:sz w:val="24"/>
        </w:rPr>
        <w:t xml:space="preserve">. Moreover, the structural variation of Piperales is not consistent in Magnoliales and Laurales and is not representative of magnoliids. </w:t>
      </w:r>
      <w:r>
        <w:rPr>
          <w:b/>
          <w:bCs/>
          <w:sz w:val="24"/>
        </w:rPr>
        <w:t>b</w:t>
      </w:r>
      <w:r>
        <w:rPr>
          <w:sz w:val="24"/>
        </w:rPr>
        <w:t xml:space="preserve">, The local syntenic blocks related to AAK3 with </w:t>
      </w:r>
      <w:r>
        <w:rPr>
          <w:i/>
          <w:iCs/>
          <w:sz w:val="24"/>
        </w:rPr>
        <w:t>A</w:t>
      </w:r>
      <w:r>
        <w:rPr>
          <w:rFonts w:hint="eastAsia"/>
          <w:i/>
          <w:iCs/>
          <w:sz w:val="24"/>
        </w:rPr>
        <w:t>m</w:t>
      </w:r>
      <w:r>
        <w:rPr>
          <w:i/>
          <w:iCs/>
          <w:sz w:val="24"/>
        </w:rPr>
        <w:t xml:space="preserve">. trichopoda </w:t>
      </w:r>
      <w:r>
        <w:rPr>
          <w:sz w:val="24"/>
        </w:rPr>
        <w:t>as a reference.</w:t>
      </w:r>
    </w:p>
    <w:p w14:paraId="79CF746A" w14:textId="77777777" w:rsidR="001768C0" w:rsidRDefault="001768C0" w:rsidP="001768C0">
      <w:pPr>
        <w:jc w:val="center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5E8572DF" wp14:editId="4094CC39">
            <wp:extent cx="4250055" cy="5969635"/>
            <wp:effectExtent l="0" t="0" r="1905" b="4445"/>
            <wp:docPr id="21" name="图片 21" descr="文本, 日历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文本, 日历, 白板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256" cy="59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116D" w14:textId="77777777" w:rsidR="001768C0" w:rsidRDefault="001768C0" w:rsidP="001768C0">
      <w:pPr>
        <w:rPr>
          <w:sz w:val="24"/>
        </w:rPr>
      </w:pPr>
      <w:r>
        <w:rPr>
          <w:sz w:val="24"/>
        </w:rPr>
        <w:br w:type="page"/>
      </w:r>
    </w:p>
    <w:p w14:paraId="18535373" w14:textId="77777777" w:rsidR="001768C0" w:rsidRDefault="001768C0" w:rsidP="001768C0">
      <w:pPr>
        <w:rPr>
          <w:b/>
          <w:bCs/>
          <w:sz w:val="24"/>
        </w:rPr>
      </w:pPr>
      <w:r>
        <w:rPr>
          <w:b/>
          <w:bCs/>
          <w:sz w:val="24"/>
        </w:rPr>
        <w:lastRenderedPageBreak/>
        <w:t>Extended Data Fig. 8 | Inconsistent structural variation for monocots and magnolias with Aristolochia as a reference.</w:t>
      </w:r>
    </w:p>
    <w:p w14:paraId="4FB515E1" w14:textId="77777777" w:rsidR="001768C0" w:rsidRDefault="001768C0" w:rsidP="001768C0">
      <w:pPr>
        <w:rPr>
          <w:sz w:val="24"/>
        </w:rPr>
      </w:pPr>
      <w:r>
        <w:rPr>
          <w:rFonts w:hint="eastAsia"/>
          <w:b/>
          <w:bCs/>
          <w:sz w:val="24"/>
        </w:rPr>
        <w:t>a</w:t>
      </w:r>
      <w:r>
        <w:rPr>
          <w:sz w:val="24"/>
        </w:rPr>
        <w:t>, The evolutionary trajectory of evolutionary events related to A</w:t>
      </w:r>
      <w:r>
        <w:rPr>
          <w:rFonts w:hint="eastAsia"/>
          <w:sz w:val="24"/>
        </w:rPr>
        <w:t>AK</w:t>
      </w:r>
      <w:r>
        <w:rPr>
          <w:sz w:val="24"/>
        </w:rPr>
        <w:t>3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(Chromosome 10 of </w:t>
      </w:r>
      <w:r>
        <w:rPr>
          <w:i/>
          <w:iCs/>
          <w:sz w:val="24"/>
        </w:rPr>
        <w:t>A</w:t>
      </w:r>
      <w:r>
        <w:rPr>
          <w:rFonts w:hint="eastAsia"/>
          <w:i/>
          <w:iCs/>
          <w:sz w:val="24"/>
        </w:rPr>
        <w:t>m</w:t>
      </w:r>
      <w:r>
        <w:rPr>
          <w:i/>
          <w:iCs/>
          <w:sz w:val="24"/>
        </w:rPr>
        <w:t>. trichopoda</w:t>
      </w:r>
      <w:r>
        <w:rPr>
          <w:sz w:val="24"/>
        </w:rPr>
        <w:t xml:space="preserve">). </w:t>
      </w:r>
      <w:r>
        <w:rPr>
          <w:rFonts w:hint="eastAsia"/>
          <w:sz w:val="24"/>
        </w:rPr>
        <w:t>The</w:t>
      </w:r>
      <w:r>
        <w:rPr>
          <w:sz w:val="24"/>
        </w:rPr>
        <w:t xml:space="preserve"> primitive AMK3 was still retained in </w:t>
      </w:r>
      <w:r>
        <w:rPr>
          <w:i/>
          <w:iCs/>
          <w:sz w:val="24"/>
        </w:rPr>
        <w:t>A. gramineus</w:t>
      </w:r>
      <w:r>
        <w:rPr>
          <w:sz w:val="24"/>
        </w:rPr>
        <w:t>, but these fission positions in other monocots and magnoliids are inconsistent, indicat</w:t>
      </w:r>
      <w:r>
        <w:rPr>
          <w:rFonts w:hint="eastAsia"/>
          <w:sz w:val="24"/>
        </w:rPr>
        <w:t>ing</w:t>
      </w:r>
      <w:r>
        <w:rPr>
          <w:sz w:val="24"/>
        </w:rPr>
        <w:t xml:space="preserve"> that these structural variations in monocots and magnolias are independent. </w:t>
      </w:r>
      <w:r>
        <w:rPr>
          <w:b/>
          <w:bCs/>
          <w:sz w:val="24"/>
        </w:rPr>
        <w:t>b</w:t>
      </w:r>
      <w:r>
        <w:rPr>
          <w:sz w:val="24"/>
        </w:rPr>
        <w:t xml:space="preserve">, The local syntenic blocks related to AAK3 with </w:t>
      </w:r>
      <w:r>
        <w:rPr>
          <w:i/>
          <w:iCs/>
          <w:sz w:val="24"/>
        </w:rPr>
        <w:t>A</w:t>
      </w:r>
      <w:r>
        <w:rPr>
          <w:rFonts w:hint="eastAsia"/>
          <w:i/>
          <w:iCs/>
          <w:sz w:val="24"/>
        </w:rPr>
        <w:t>m</w:t>
      </w:r>
      <w:r>
        <w:rPr>
          <w:i/>
          <w:iCs/>
          <w:sz w:val="24"/>
        </w:rPr>
        <w:t xml:space="preserve">. trichopoda </w:t>
      </w:r>
      <w:r>
        <w:rPr>
          <w:sz w:val="24"/>
        </w:rPr>
        <w:t>as a reference.</w:t>
      </w:r>
    </w:p>
    <w:p w14:paraId="71152DEE" w14:textId="77777777" w:rsidR="001768C0" w:rsidRDefault="001768C0" w:rsidP="001768C0">
      <w:pPr>
        <w:rPr>
          <w:sz w:val="24"/>
        </w:rPr>
      </w:pPr>
      <w:r>
        <w:rPr>
          <w:noProof/>
        </w:rPr>
        <w:drawing>
          <wp:inline distT="0" distB="0" distL="0" distR="0" wp14:anchorId="276B802C" wp14:editId="6220ED2D">
            <wp:extent cx="4792980" cy="6708140"/>
            <wp:effectExtent l="0" t="0" r="7620" b="12700"/>
            <wp:docPr id="22" name="图片 22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042" cy="670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14:paraId="548FF174" w14:textId="77777777" w:rsidR="001768C0" w:rsidRDefault="001768C0" w:rsidP="001768C0">
      <w:pPr>
        <w:rPr>
          <w:b/>
          <w:bCs/>
          <w:sz w:val="24"/>
        </w:rPr>
      </w:pPr>
      <w:r>
        <w:rPr>
          <w:b/>
          <w:bCs/>
          <w:sz w:val="24"/>
        </w:rPr>
        <w:lastRenderedPageBreak/>
        <w:t>Extended Data Fig. 9 | the τ event and the following two shared fusion</w:t>
      </w:r>
      <w:r>
        <w:rPr>
          <w:rFonts w:hint="eastAsia"/>
          <w:b/>
          <w:bCs/>
          <w:sz w:val="24"/>
        </w:rPr>
        <w:t xml:space="preserve"> events</w:t>
      </w:r>
      <w:r>
        <w:rPr>
          <w:b/>
          <w:bCs/>
          <w:sz w:val="24"/>
        </w:rPr>
        <w:t>.</w:t>
      </w:r>
    </w:p>
    <w:p w14:paraId="312EE1DB" w14:textId="77777777" w:rsidR="001768C0" w:rsidRDefault="001768C0" w:rsidP="001768C0">
      <w:pPr>
        <w:rPr>
          <w:sz w:val="24"/>
        </w:rPr>
      </w:pPr>
      <w:r>
        <w:rPr>
          <w:rFonts w:hint="eastAsia"/>
          <w:b/>
          <w:bCs/>
          <w:sz w:val="24"/>
        </w:rPr>
        <w:t>a</w:t>
      </w:r>
      <w:r>
        <w:rPr>
          <w:sz w:val="24"/>
        </w:rPr>
        <w:t xml:space="preserve">, The evolutionary relationship </w:t>
      </w:r>
      <w:r>
        <w:rPr>
          <w:rFonts w:hint="eastAsia"/>
          <w:sz w:val="24"/>
        </w:rPr>
        <w:t>between</w:t>
      </w:r>
      <w:r>
        <w:rPr>
          <w:sz w:val="24"/>
        </w:rPr>
        <w:t xml:space="preserve"> major clades of </w:t>
      </w:r>
      <w:r>
        <w:rPr>
          <w:rFonts w:hint="eastAsia"/>
          <w:sz w:val="24"/>
        </w:rPr>
        <w:t>monocots</w:t>
      </w:r>
      <w:r>
        <w:rPr>
          <w:sz w:val="24"/>
        </w:rPr>
        <w:t xml:space="preserve"> </w:t>
      </w:r>
      <w:r>
        <w:rPr>
          <w:rFonts w:hint="eastAsia"/>
          <w:sz w:val="24"/>
        </w:rPr>
        <w:t>with</w:t>
      </w:r>
      <w:r>
        <w:rPr>
          <w:sz w:val="24"/>
        </w:rPr>
        <w:t xml:space="preserve"> </w:t>
      </w:r>
      <w:r>
        <w:rPr>
          <w:i/>
          <w:iCs/>
          <w:sz w:val="24"/>
        </w:rPr>
        <w:t xml:space="preserve">A. gramineus </w:t>
      </w:r>
      <w:r>
        <w:rPr>
          <w:sz w:val="24"/>
        </w:rPr>
        <w:t xml:space="preserve">as a reference. </w:t>
      </w:r>
      <w:r>
        <w:rPr>
          <w:b/>
          <w:bCs/>
          <w:sz w:val="24"/>
        </w:rPr>
        <w:t>b</w:t>
      </w:r>
      <w:r>
        <w:rPr>
          <w:sz w:val="24"/>
        </w:rPr>
        <w:t xml:space="preserve">, the two shared fusions after the σ event. </w:t>
      </w:r>
      <w:r>
        <w:rPr>
          <w:b/>
          <w:bCs/>
          <w:sz w:val="24"/>
        </w:rPr>
        <w:t>c</w:t>
      </w:r>
      <w:r>
        <w:rPr>
          <w:sz w:val="24"/>
        </w:rPr>
        <w:t>, The local syntenic blocks related to AMKA1, AMKA6 and AMKA8.</w:t>
      </w:r>
    </w:p>
    <w:p w14:paraId="6E9B6BEB" w14:textId="77777777" w:rsidR="001768C0" w:rsidRDefault="001768C0" w:rsidP="001768C0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2437C558" wp14:editId="0A9A8D53">
            <wp:extent cx="5274310" cy="6793230"/>
            <wp:effectExtent l="0" t="0" r="13970" b="3810"/>
            <wp:docPr id="23" name="图片 2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FCA6" w14:textId="77777777" w:rsidR="001768C0" w:rsidRDefault="001768C0" w:rsidP="001768C0">
      <w:pPr>
        <w:rPr>
          <w:sz w:val="24"/>
        </w:rPr>
      </w:pPr>
      <w:r>
        <w:rPr>
          <w:sz w:val="24"/>
        </w:rPr>
        <w:br w:type="page"/>
      </w:r>
    </w:p>
    <w:p w14:paraId="0AF443E6" w14:textId="77777777" w:rsidR="001768C0" w:rsidRDefault="001768C0" w:rsidP="001768C0">
      <w:pPr>
        <w:rPr>
          <w:b/>
          <w:bCs/>
          <w:sz w:val="24"/>
        </w:rPr>
      </w:pPr>
      <w:r>
        <w:rPr>
          <w:b/>
          <w:bCs/>
          <w:sz w:val="24"/>
        </w:rPr>
        <w:lastRenderedPageBreak/>
        <w:t xml:space="preserve">Extended Data Fig. 10 | </w:t>
      </w:r>
      <w:r>
        <w:rPr>
          <w:rFonts w:hint="eastAsia"/>
          <w:b/>
          <w:bCs/>
          <w:sz w:val="24"/>
        </w:rPr>
        <w:t>The a</w:t>
      </w:r>
      <w:r>
        <w:rPr>
          <w:b/>
          <w:bCs/>
          <w:sz w:val="24"/>
        </w:rPr>
        <w:t>ncestral chromosome karyotype accurately identified the polyploidy levels and corrected the assembly.</w:t>
      </w:r>
    </w:p>
    <w:p w14:paraId="57DD8EFE" w14:textId="77777777" w:rsidR="001768C0" w:rsidRDefault="001768C0" w:rsidP="001768C0">
      <w:pPr>
        <w:rPr>
          <w:sz w:val="24"/>
        </w:rPr>
      </w:pPr>
      <w:r>
        <w:rPr>
          <w:rFonts w:hint="eastAsia"/>
          <w:b/>
          <w:bCs/>
          <w:sz w:val="24"/>
        </w:rPr>
        <w:t>a</w:t>
      </w:r>
      <w:r>
        <w:rPr>
          <w:sz w:val="24"/>
        </w:rPr>
        <w:t xml:space="preserve">, The </w:t>
      </w:r>
      <w:r>
        <w:rPr>
          <w:rFonts w:hint="eastAsia"/>
          <w:sz w:val="24"/>
        </w:rPr>
        <w:t xml:space="preserve">marked </w:t>
      </w:r>
      <w:r>
        <w:rPr>
          <w:sz w:val="24"/>
        </w:rPr>
        <w:t>question</w:t>
      </w:r>
      <w:r>
        <w:rPr>
          <w:rFonts w:hint="eastAsia"/>
          <w:sz w:val="24"/>
        </w:rPr>
        <w:t>s</w:t>
      </w:r>
      <w:r>
        <w:rPr>
          <w:sz w:val="24"/>
        </w:rPr>
        <w:t xml:space="preserve"> indicate that the current branch's polyploidy levels are in dispute</w:t>
      </w:r>
      <w:r>
        <w:rPr>
          <w:rFonts w:hint="eastAsia"/>
          <w:sz w:val="24"/>
        </w:rPr>
        <w:t>s</w:t>
      </w:r>
      <w:r>
        <w:rPr>
          <w:sz w:val="24"/>
        </w:rPr>
        <w:t xml:space="preserve">. </w:t>
      </w:r>
      <w:r>
        <w:rPr>
          <w:b/>
          <w:bCs/>
          <w:sz w:val="24"/>
        </w:rPr>
        <w:t>b</w:t>
      </w:r>
      <w:r>
        <w:rPr>
          <w:sz w:val="24"/>
        </w:rPr>
        <w:t xml:space="preserve">, The syntenic depth ratio of AMKA2 and AMKA6 identified </w:t>
      </w:r>
      <w:r>
        <w:rPr>
          <w:rFonts w:hint="eastAsia"/>
          <w:sz w:val="24"/>
        </w:rPr>
        <w:t xml:space="preserve">to be </w:t>
      </w:r>
      <w:r>
        <w:rPr>
          <w:sz w:val="24"/>
        </w:rPr>
        <w:t xml:space="preserve">8 in </w:t>
      </w:r>
      <w:r>
        <w:rPr>
          <w:i/>
          <w:iCs/>
          <w:sz w:val="24"/>
        </w:rPr>
        <w:t>Dendrobium chrysotoxum</w:t>
      </w:r>
      <w:r>
        <w:rPr>
          <w:sz w:val="24"/>
        </w:rPr>
        <w:t xml:space="preserve">, which indicates three </w:t>
      </w:r>
      <w:r>
        <w:rPr>
          <w:rFonts w:hint="eastAsia"/>
          <w:sz w:val="24"/>
        </w:rPr>
        <w:t>WGD</w:t>
      </w:r>
      <w:r>
        <w:rPr>
          <w:sz w:val="24"/>
        </w:rPr>
        <w:t xml:space="preserve">s. </w:t>
      </w:r>
      <w:r>
        <w:rPr>
          <w:b/>
          <w:bCs/>
          <w:sz w:val="24"/>
        </w:rPr>
        <w:t>c</w:t>
      </w:r>
      <w:r>
        <w:rPr>
          <w:sz w:val="24"/>
        </w:rPr>
        <w:t xml:space="preserve">, Using chromosomes 4, 11, 12, and 16 of </w:t>
      </w:r>
      <w:r>
        <w:rPr>
          <w:i/>
          <w:iCs/>
          <w:sz w:val="24"/>
        </w:rPr>
        <w:t>Elaeis guineensis</w:t>
      </w:r>
      <w:r>
        <w:rPr>
          <w:sz w:val="24"/>
        </w:rPr>
        <w:t xml:space="preserve"> as a reference, which </w:t>
      </w:r>
      <w:r>
        <w:rPr>
          <w:rFonts w:hint="eastAsia"/>
          <w:sz w:val="24"/>
        </w:rPr>
        <w:t>were</w:t>
      </w:r>
      <w:r>
        <w:rPr>
          <w:sz w:val="24"/>
        </w:rPr>
        <w:t xml:space="preserve"> produced by AMKA5 after two WGDs, the syntenic depth ratio identified </w:t>
      </w:r>
      <w:r>
        <w:rPr>
          <w:rFonts w:hint="eastAsia"/>
          <w:sz w:val="24"/>
        </w:rPr>
        <w:t xml:space="preserve">to be </w:t>
      </w:r>
      <w:r>
        <w:rPr>
          <w:sz w:val="24"/>
        </w:rPr>
        <w:t xml:space="preserve">31 in </w:t>
      </w:r>
      <w:r>
        <w:rPr>
          <w:i/>
          <w:iCs/>
          <w:sz w:val="24"/>
        </w:rPr>
        <w:t>Musa acuminata</w:t>
      </w:r>
      <w:r>
        <w:rPr>
          <w:sz w:val="24"/>
        </w:rPr>
        <w:t>, which indicat</w:t>
      </w:r>
      <w:r>
        <w:rPr>
          <w:rFonts w:hint="eastAsia"/>
          <w:sz w:val="24"/>
        </w:rPr>
        <w:t>e</w:t>
      </w:r>
      <w:r>
        <w:rPr>
          <w:sz w:val="24"/>
        </w:rPr>
        <w:t xml:space="preserve">s </w:t>
      </w:r>
      <w:r>
        <w:rPr>
          <w:rFonts w:hint="eastAsia"/>
          <w:sz w:val="24"/>
        </w:rPr>
        <w:t>five</w:t>
      </w:r>
      <w:r>
        <w:rPr>
          <w:sz w:val="24"/>
        </w:rPr>
        <w:t xml:space="preserve"> WGDs. </w:t>
      </w:r>
      <w:r>
        <w:rPr>
          <w:rFonts w:hint="eastAsia"/>
          <w:b/>
          <w:bCs/>
          <w:sz w:val="24"/>
        </w:rPr>
        <w:t>d</w:t>
      </w:r>
      <w:r>
        <w:rPr>
          <w:sz w:val="24"/>
        </w:rPr>
        <w:t xml:space="preserve">, the two shared fusions in </w:t>
      </w:r>
      <w:r>
        <w:rPr>
          <w:i/>
          <w:iCs/>
          <w:sz w:val="24"/>
        </w:rPr>
        <w:t>Oryza sativa</w:t>
      </w:r>
      <w:r>
        <w:rPr>
          <w:sz w:val="24"/>
        </w:rPr>
        <w:t xml:space="preserve"> and </w:t>
      </w:r>
      <w:r>
        <w:rPr>
          <w:i/>
          <w:iCs/>
          <w:sz w:val="24"/>
        </w:rPr>
        <w:t>A. comosus</w:t>
      </w:r>
      <w:r>
        <w:rPr>
          <w:sz w:val="24"/>
        </w:rPr>
        <w:t xml:space="preserve"> indicate that the σ event in Poales </w:t>
      </w:r>
      <w:r>
        <w:rPr>
          <w:rFonts w:hint="eastAsia"/>
          <w:sz w:val="24"/>
        </w:rPr>
        <w:t>was</w:t>
      </w:r>
      <w:r>
        <w:rPr>
          <w:sz w:val="24"/>
        </w:rPr>
        <w:t xml:space="preserve"> a hexaploidization event. </w:t>
      </w:r>
      <w:r>
        <w:rPr>
          <w:rFonts w:hint="eastAsia"/>
          <w:b/>
          <w:bCs/>
          <w:sz w:val="24"/>
        </w:rPr>
        <w:t>e</w:t>
      </w:r>
      <w:r>
        <w:rPr>
          <w:sz w:val="24"/>
        </w:rPr>
        <w:t xml:space="preserve">, Chromosome 8 of </w:t>
      </w:r>
      <w:r>
        <w:rPr>
          <w:i/>
          <w:iCs/>
          <w:sz w:val="24"/>
        </w:rPr>
        <w:t>S. polyrhiza</w:t>
      </w:r>
      <w:r>
        <w:rPr>
          <w:sz w:val="24"/>
        </w:rPr>
        <w:t xml:space="preserve"> has a fragment of AMKA6, while this structural variation did not occur in </w:t>
      </w:r>
      <w:r>
        <w:rPr>
          <w:i/>
          <w:iCs/>
          <w:sz w:val="24"/>
        </w:rPr>
        <w:t>Spirodela intermedia</w:t>
      </w:r>
      <w:r>
        <w:rPr>
          <w:sz w:val="24"/>
        </w:rPr>
        <w:t xml:space="preserve">. Similarly, chromosomes 24 and 25 of </w:t>
      </w:r>
      <w:r>
        <w:rPr>
          <w:i/>
          <w:iCs/>
          <w:sz w:val="24"/>
        </w:rPr>
        <w:t>A. comosus</w:t>
      </w:r>
      <w:r>
        <w:rPr>
          <w:sz w:val="24"/>
        </w:rPr>
        <w:t xml:space="preserve"> may be broken from the AMKA5, and they are the complete AMKA5 in </w:t>
      </w:r>
      <w:r>
        <w:rPr>
          <w:i/>
          <w:iCs/>
          <w:sz w:val="24"/>
        </w:rPr>
        <w:t>Ananas bracteatus</w:t>
      </w:r>
      <w:r>
        <w:rPr>
          <w:sz w:val="24"/>
        </w:rPr>
        <w:t>.</w:t>
      </w:r>
    </w:p>
    <w:p w14:paraId="69C38834" w14:textId="77777777" w:rsidR="001768C0" w:rsidRDefault="001768C0" w:rsidP="001768C0">
      <w:pPr>
        <w:spacing w:after="100" w:afterAutospacing="1" w:line="360" w:lineRule="auto"/>
        <w:jc w:val="center"/>
        <w:rPr>
          <w:rFonts w:eastAsiaTheme="minorEastAsi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62C6026" wp14:editId="4F717815">
            <wp:extent cx="5274310" cy="7412355"/>
            <wp:effectExtent l="0" t="0" r="2540" b="0"/>
            <wp:docPr id="5" name="图片 5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5D9B9" w14:textId="77777777" w:rsidR="001768C0" w:rsidRDefault="001768C0">
      <w:bookmarkStart w:id="2" w:name="_GoBack"/>
      <w:bookmarkEnd w:id="2"/>
    </w:p>
    <w:sectPr w:rsidR="001768C0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8C0"/>
    <w:rsid w:val="001768C0"/>
    <w:rsid w:val="003F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C3C97"/>
  <w15:chartTrackingRefBased/>
  <w15:docId w15:val="{BDC12426-23B4-5545-B211-A0C6F9024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68C0"/>
    <w:pPr>
      <w:widowControl w:val="0"/>
      <w:jc w:val="both"/>
    </w:pPr>
    <w:rPr>
      <w:rFonts w:ascii="Times New Roman" w:eastAsia="SimSun" w:hAnsi="Times New Roman" w:cs="Times New Roman"/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176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698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Yeh</dc:creator>
  <cp:keywords/>
  <dc:description/>
  <cp:lastModifiedBy>Jennifer Yeh</cp:lastModifiedBy>
  <cp:revision>1</cp:revision>
  <dcterms:created xsi:type="dcterms:W3CDTF">2022-03-16T17:17:00Z</dcterms:created>
  <dcterms:modified xsi:type="dcterms:W3CDTF">2022-03-16T17:17:00Z</dcterms:modified>
</cp:coreProperties>
</file>