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017" w:rsidRPr="00250017" w:rsidRDefault="00250017" w:rsidP="00250017">
      <w:pPr>
        <w:pStyle w:val="Intro"/>
        <w:spacing w:line="480" w:lineRule="auto"/>
        <w:rPr>
          <w:rFonts w:ascii="Times New Roman" w:hAnsi="Times New Roman"/>
          <w:sz w:val="28"/>
          <w:szCs w:val="28"/>
          <w:lang w:val="en-US" w:eastAsia="en-US"/>
        </w:rPr>
      </w:pPr>
      <w:r w:rsidRPr="00250017">
        <w:rPr>
          <w:rFonts w:ascii="Times New Roman" w:hAnsi="Times New Roman"/>
          <w:sz w:val="28"/>
          <w:szCs w:val="28"/>
          <w:lang w:val="en-US" w:eastAsia="en-US"/>
        </w:rPr>
        <w:t>Supporting Information</w:t>
      </w:r>
    </w:p>
    <w:p w:rsidR="00250017" w:rsidRPr="00250017" w:rsidRDefault="009C54AE" w:rsidP="00250017">
      <w:pPr>
        <w:pStyle w:val="Authors"/>
        <w:spacing w:line="480" w:lineRule="auto"/>
        <w:jc w:val="center"/>
        <w:rPr>
          <w:rFonts w:ascii="Times New Roman" w:hAnsi="Times New Roman"/>
          <w:sz w:val="24"/>
          <w:lang w:val="de-DE"/>
        </w:rPr>
      </w:pPr>
      <w:r>
        <w:rPr>
          <w:rFonts w:ascii="Times New Roman" w:hAnsi="Times New Roman"/>
          <w:b/>
          <w:sz w:val="32"/>
          <w:lang w:val="de-DE"/>
        </w:rPr>
        <w:t xml:space="preserve">Understanding </w:t>
      </w:r>
      <w:r w:rsidRPr="00500D06">
        <w:rPr>
          <w:rFonts w:ascii="Times New Roman" w:hAnsi="Times New Roman"/>
          <w:b/>
          <w:sz w:val="32"/>
          <w:lang w:val="de-DE"/>
        </w:rPr>
        <w:t>Potential-</w:t>
      </w:r>
      <w:r>
        <w:rPr>
          <w:rFonts w:ascii="Times New Roman" w:hAnsi="Times New Roman"/>
          <w:b/>
          <w:sz w:val="32"/>
          <w:lang w:val="de-DE"/>
        </w:rPr>
        <w:t>d</w:t>
      </w:r>
      <w:r w:rsidRPr="00500D06">
        <w:rPr>
          <w:rFonts w:ascii="Times New Roman" w:hAnsi="Times New Roman"/>
          <w:b/>
          <w:sz w:val="32"/>
          <w:lang w:val="de-DE"/>
        </w:rPr>
        <w:t xml:space="preserve">ependent </w:t>
      </w:r>
      <w:r>
        <w:rPr>
          <w:rFonts w:ascii="Times New Roman" w:hAnsi="Times New Roman"/>
          <w:b/>
          <w:sz w:val="32"/>
          <w:lang w:val="de-DE"/>
        </w:rPr>
        <w:t>C</w:t>
      </w:r>
      <w:r w:rsidRPr="00500D06">
        <w:rPr>
          <w:rFonts w:ascii="Times New Roman" w:hAnsi="Times New Roman"/>
          <w:b/>
          <w:sz w:val="32"/>
          <w:lang w:val="de-DE"/>
        </w:rPr>
        <w:t xml:space="preserve">ompetition </w:t>
      </w:r>
      <w:r>
        <w:rPr>
          <w:rFonts w:ascii="Times New Roman" w:hAnsi="Times New Roman"/>
          <w:b/>
          <w:sz w:val="32"/>
          <w:lang w:val="de-DE"/>
        </w:rPr>
        <w:t>B</w:t>
      </w:r>
      <w:r w:rsidRPr="00500D06">
        <w:rPr>
          <w:rFonts w:ascii="Times New Roman" w:hAnsi="Times New Roman"/>
          <w:b/>
          <w:sz w:val="32"/>
          <w:lang w:val="de-DE"/>
        </w:rPr>
        <w:t>etween</w:t>
      </w:r>
      <w:r>
        <w:rPr>
          <w:rFonts w:ascii="Times New Roman" w:hAnsi="Times New Roman"/>
          <w:b/>
          <w:sz w:val="32"/>
          <w:lang w:val="de-DE"/>
        </w:rPr>
        <w:t xml:space="preserve"> E</w:t>
      </w:r>
      <w:r w:rsidRPr="00500D06">
        <w:rPr>
          <w:rFonts w:ascii="Times New Roman" w:hAnsi="Times New Roman"/>
          <w:b/>
          <w:sz w:val="32"/>
          <w:lang w:val="de-DE"/>
        </w:rPr>
        <w:t>lectr</w:t>
      </w:r>
      <w:r>
        <w:rPr>
          <w:rFonts w:ascii="Times New Roman" w:hAnsi="Times New Roman"/>
          <w:b/>
          <w:sz w:val="32"/>
          <w:lang w:val="de-DE"/>
        </w:rPr>
        <w:t>ocatalytic</w:t>
      </w:r>
      <w:r w:rsidRPr="00500D06">
        <w:rPr>
          <w:rFonts w:ascii="Times New Roman" w:hAnsi="Times New Roman"/>
          <w:b/>
          <w:sz w:val="32"/>
          <w:lang w:val="de-DE"/>
        </w:rPr>
        <w:t xml:space="preserve"> </w:t>
      </w:r>
      <w:r>
        <w:rPr>
          <w:rFonts w:ascii="Times New Roman" w:hAnsi="Times New Roman"/>
          <w:b/>
          <w:sz w:val="32"/>
          <w:lang w:val="de-DE"/>
        </w:rPr>
        <w:t>Dinitrogen</w:t>
      </w:r>
      <w:r w:rsidRPr="00500D06">
        <w:rPr>
          <w:rFonts w:ascii="Times New Roman" w:hAnsi="Times New Roman"/>
          <w:b/>
          <w:sz w:val="32"/>
          <w:lang w:val="de-DE"/>
        </w:rPr>
        <w:t xml:space="preserve"> </w:t>
      </w:r>
      <w:r>
        <w:rPr>
          <w:rFonts w:ascii="Times New Roman" w:hAnsi="Times New Roman"/>
          <w:b/>
          <w:sz w:val="32"/>
          <w:lang w:val="de-DE"/>
        </w:rPr>
        <w:t>and Proton R</w:t>
      </w:r>
      <w:r w:rsidRPr="00500D06">
        <w:rPr>
          <w:rFonts w:ascii="Times New Roman" w:hAnsi="Times New Roman"/>
          <w:b/>
          <w:sz w:val="32"/>
          <w:lang w:val="de-DE"/>
        </w:rPr>
        <w:t xml:space="preserve">eduction </w:t>
      </w:r>
      <w:r>
        <w:rPr>
          <w:rFonts w:ascii="Times New Roman" w:hAnsi="Times New Roman"/>
          <w:b/>
          <w:sz w:val="32"/>
          <w:lang w:val="de-DE"/>
        </w:rPr>
        <w:t>R</w:t>
      </w:r>
      <w:r w:rsidRPr="00500D06">
        <w:rPr>
          <w:rFonts w:ascii="Times New Roman" w:hAnsi="Times New Roman"/>
          <w:b/>
          <w:sz w:val="32"/>
          <w:lang w:val="de-DE"/>
        </w:rPr>
        <w:t>eaction</w:t>
      </w:r>
      <w:r>
        <w:rPr>
          <w:rFonts w:ascii="Times New Roman" w:hAnsi="Times New Roman"/>
          <w:b/>
          <w:sz w:val="32"/>
          <w:lang w:val="de-DE"/>
        </w:rPr>
        <w:t>s</w:t>
      </w:r>
    </w:p>
    <w:p w:rsidR="000B20EB" w:rsidRPr="00AC2209" w:rsidRDefault="000B20EB" w:rsidP="000B20EB">
      <w:pPr>
        <w:spacing w:line="480" w:lineRule="auto"/>
      </w:pPr>
      <w:r w:rsidRPr="00AC2209">
        <w:t>Changhyeok Choi</w:t>
      </w:r>
      <w:r w:rsidRPr="00025CDC">
        <w:rPr>
          <w:vertAlign w:val="superscript"/>
        </w:rPr>
        <w:t>1</w:t>
      </w:r>
      <w:r w:rsidRPr="00500D06">
        <w:rPr>
          <w:vertAlign w:val="superscript"/>
        </w:rPr>
        <w:t>‡</w:t>
      </w:r>
      <w:r w:rsidRPr="00025CDC">
        <w:t>,</w:t>
      </w:r>
      <w:r w:rsidRPr="00AC2209">
        <w:t xml:space="preserve"> Geun Ho Gu</w:t>
      </w:r>
      <w:r w:rsidRPr="00025CDC">
        <w:rPr>
          <w:vertAlign w:val="superscript"/>
        </w:rPr>
        <w:t>1</w:t>
      </w:r>
      <w:r w:rsidRPr="00500D06">
        <w:rPr>
          <w:vertAlign w:val="superscript"/>
        </w:rPr>
        <w:t>‡</w:t>
      </w:r>
      <w:r w:rsidRPr="00AC2209">
        <w:t xml:space="preserve">, </w:t>
      </w:r>
      <w:r w:rsidR="00170A21" w:rsidRPr="00AC2209">
        <w:t>Juhwan Noh</w:t>
      </w:r>
      <w:r w:rsidR="00170A21" w:rsidRPr="00025CDC">
        <w:rPr>
          <w:vertAlign w:val="superscript"/>
        </w:rPr>
        <w:t>1</w:t>
      </w:r>
      <w:r w:rsidR="00170A21" w:rsidRPr="00AC2209">
        <w:t>,</w:t>
      </w:r>
      <w:r w:rsidR="00170A21">
        <w:t xml:space="preserve"> </w:t>
      </w:r>
      <w:r>
        <w:t>Hyun S. Park</w:t>
      </w:r>
      <w:r w:rsidRPr="00025CDC">
        <w:rPr>
          <w:vertAlign w:val="superscript"/>
        </w:rPr>
        <w:t>2</w:t>
      </w:r>
      <w:r>
        <w:t xml:space="preserve">, </w:t>
      </w:r>
      <w:r w:rsidRPr="00AC2209">
        <w:t>and Yousung Jung</w:t>
      </w:r>
      <w:r w:rsidRPr="00025CDC">
        <w:rPr>
          <w:vertAlign w:val="superscript"/>
        </w:rPr>
        <w:t>1</w:t>
      </w:r>
      <w:r w:rsidRPr="00AC2209">
        <w:t xml:space="preserve">* </w:t>
      </w:r>
    </w:p>
    <w:p w:rsidR="000B20EB" w:rsidRDefault="000B20EB" w:rsidP="000B20EB">
      <w:pPr>
        <w:spacing w:line="480" w:lineRule="auto"/>
        <w:rPr>
          <w:bCs/>
        </w:rPr>
      </w:pPr>
      <w:r w:rsidRPr="00025CDC">
        <w:rPr>
          <w:bCs/>
          <w:vertAlign w:val="superscript"/>
        </w:rPr>
        <w:t>1</w:t>
      </w:r>
      <w:r w:rsidRPr="00AC2209">
        <w:rPr>
          <w:bCs/>
        </w:rPr>
        <w:t>Department of Chemical and Biomolecular Engineering Korea Advanced Institute of Science and Technology (KAIST)</w:t>
      </w:r>
      <w:r w:rsidRPr="00980123">
        <w:rPr>
          <w:lang w:val="en-GB"/>
        </w:rPr>
        <w:t xml:space="preserve"> </w:t>
      </w:r>
      <w:r w:rsidRPr="00980123">
        <w:rPr>
          <w:bCs/>
        </w:rPr>
        <w:t>291 Daehak-ro, Yuseong-gu, Daejeon 34141, Republic of Korea</w:t>
      </w:r>
    </w:p>
    <w:p w:rsidR="000B20EB" w:rsidRDefault="000B20EB" w:rsidP="000B20EB">
      <w:pPr>
        <w:spacing w:line="480" w:lineRule="auto"/>
        <w:rPr>
          <w:bCs/>
        </w:rPr>
      </w:pPr>
      <w:r w:rsidRPr="00025CDC">
        <w:rPr>
          <w:bCs/>
          <w:vertAlign w:val="superscript"/>
        </w:rPr>
        <w:t>2</w:t>
      </w:r>
      <w:r w:rsidRPr="00893A99">
        <w:rPr>
          <w:bCs/>
        </w:rPr>
        <w:t>Center for Hydrogen and Fuel Cell Research,</w:t>
      </w:r>
      <w:r>
        <w:rPr>
          <w:bCs/>
        </w:rPr>
        <w:t xml:space="preserve"> </w:t>
      </w:r>
      <w:r w:rsidRPr="00893A99">
        <w:rPr>
          <w:bCs/>
        </w:rPr>
        <w:t>Korea Institute of Science and Technology</w:t>
      </w:r>
      <w:r>
        <w:rPr>
          <w:bCs/>
        </w:rPr>
        <w:t xml:space="preserve"> (KIST)</w:t>
      </w:r>
      <w:r w:rsidRPr="00893A99">
        <w:rPr>
          <w:bCs/>
        </w:rPr>
        <w:t>, Seoul 02792</w:t>
      </w:r>
      <w:r>
        <w:rPr>
          <w:bCs/>
        </w:rPr>
        <w:t xml:space="preserve">, </w:t>
      </w:r>
      <w:r w:rsidRPr="00980123">
        <w:rPr>
          <w:bCs/>
        </w:rPr>
        <w:t>Republic of Korea</w:t>
      </w:r>
    </w:p>
    <w:p w:rsidR="00250017" w:rsidRPr="00250017" w:rsidRDefault="00250017" w:rsidP="00250017">
      <w:pPr>
        <w:pStyle w:val="Authors"/>
        <w:spacing w:line="480" w:lineRule="auto"/>
        <w:jc w:val="center"/>
        <w:rPr>
          <w:rFonts w:ascii="Times New Roman" w:hAnsi="Times New Roman"/>
          <w:sz w:val="24"/>
          <w:lang w:val="de-DE"/>
        </w:rPr>
      </w:pPr>
    </w:p>
    <w:p w:rsidR="00250017" w:rsidRPr="00250017" w:rsidRDefault="00250017" w:rsidP="00250017">
      <w:pPr>
        <w:pStyle w:val="ManuscriptID"/>
        <w:spacing w:line="480" w:lineRule="auto"/>
        <w:rPr>
          <w:rFonts w:ascii="Times New Roman" w:hAnsi="Times New Roman"/>
          <w:sz w:val="24"/>
          <w:szCs w:val="24"/>
        </w:rPr>
      </w:pPr>
    </w:p>
    <w:p w:rsidR="00250017" w:rsidRPr="00250017" w:rsidRDefault="00250017" w:rsidP="00250017">
      <w:pPr>
        <w:pStyle w:val="ManuscriptID"/>
        <w:spacing w:line="480" w:lineRule="auto"/>
        <w:rPr>
          <w:rFonts w:ascii="Times New Roman" w:hAnsi="Times New Roman"/>
          <w:sz w:val="24"/>
          <w:szCs w:val="24"/>
        </w:rPr>
      </w:pPr>
    </w:p>
    <w:p w:rsidR="00250017" w:rsidRPr="00250017" w:rsidRDefault="00250017" w:rsidP="00250017">
      <w:pPr>
        <w:pStyle w:val="ManuscriptID"/>
        <w:spacing w:line="480" w:lineRule="auto"/>
        <w:rPr>
          <w:rFonts w:ascii="Times New Roman" w:hAnsi="Times New Roman"/>
          <w:sz w:val="24"/>
          <w:szCs w:val="24"/>
        </w:rPr>
      </w:pPr>
    </w:p>
    <w:p w:rsidR="00250017" w:rsidRPr="00250017" w:rsidRDefault="00250017" w:rsidP="00250017">
      <w:pPr>
        <w:pStyle w:val="ManuscriptID"/>
        <w:spacing w:line="480" w:lineRule="auto"/>
        <w:rPr>
          <w:rFonts w:ascii="Times New Roman" w:hAnsi="Times New Roman"/>
          <w:sz w:val="24"/>
          <w:szCs w:val="24"/>
        </w:rPr>
      </w:pPr>
    </w:p>
    <w:p w:rsidR="00250017" w:rsidRPr="00250017" w:rsidRDefault="00250017" w:rsidP="00250017">
      <w:pPr>
        <w:pStyle w:val="ManuscriptID"/>
        <w:spacing w:line="480" w:lineRule="auto"/>
        <w:rPr>
          <w:rFonts w:ascii="Times New Roman" w:hAnsi="Times New Roman"/>
          <w:sz w:val="24"/>
          <w:szCs w:val="24"/>
        </w:rPr>
      </w:pPr>
    </w:p>
    <w:p w:rsidR="00250017" w:rsidRPr="00250017" w:rsidRDefault="00250017" w:rsidP="00250017">
      <w:pPr>
        <w:pStyle w:val="ManuscriptID"/>
        <w:spacing w:line="480" w:lineRule="auto"/>
        <w:rPr>
          <w:rFonts w:ascii="Times New Roman" w:hAnsi="Times New Roman"/>
          <w:sz w:val="24"/>
          <w:szCs w:val="24"/>
        </w:rPr>
      </w:pPr>
    </w:p>
    <w:p w:rsidR="00250017" w:rsidRDefault="00250017" w:rsidP="00250017">
      <w:pPr>
        <w:pStyle w:val="ManuscriptID"/>
        <w:spacing w:line="480" w:lineRule="auto"/>
        <w:rPr>
          <w:rFonts w:ascii="Times New Roman" w:hAnsi="Times New Roman"/>
          <w:sz w:val="24"/>
          <w:szCs w:val="24"/>
        </w:rPr>
      </w:pPr>
    </w:p>
    <w:p w:rsidR="00EF5910" w:rsidRDefault="00EF5910" w:rsidP="00250017">
      <w:pPr>
        <w:pStyle w:val="ManuscriptID"/>
        <w:spacing w:line="480" w:lineRule="auto"/>
        <w:rPr>
          <w:rFonts w:ascii="Times New Roman" w:hAnsi="Times New Roman"/>
          <w:sz w:val="24"/>
          <w:szCs w:val="24"/>
        </w:rPr>
      </w:pPr>
    </w:p>
    <w:p w:rsidR="00EF5910" w:rsidRDefault="00EF5910" w:rsidP="00250017">
      <w:pPr>
        <w:pStyle w:val="ManuscriptID"/>
        <w:spacing w:line="480" w:lineRule="auto"/>
        <w:rPr>
          <w:rFonts w:ascii="Times New Roman" w:hAnsi="Times New Roman"/>
          <w:sz w:val="24"/>
          <w:szCs w:val="24"/>
        </w:rPr>
      </w:pPr>
    </w:p>
    <w:p w:rsidR="00EF5910" w:rsidRDefault="00EF5910" w:rsidP="00250017">
      <w:pPr>
        <w:pStyle w:val="ManuscriptID"/>
        <w:spacing w:line="480" w:lineRule="auto"/>
        <w:rPr>
          <w:rFonts w:ascii="Times New Roman" w:hAnsi="Times New Roman"/>
          <w:sz w:val="24"/>
          <w:szCs w:val="24"/>
        </w:rPr>
      </w:pPr>
    </w:p>
    <w:p w:rsidR="00EF5910" w:rsidRDefault="00EF5910" w:rsidP="00250017">
      <w:pPr>
        <w:pStyle w:val="ManuscriptID"/>
        <w:spacing w:line="480" w:lineRule="auto"/>
        <w:rPr>
          <w:rFonts w:ascii="Times New Roman" w:hAnsi="Times New Roman"/>
          <w:sz w:val="24"/>
          <w:szCs w:val="24"/>
        </w:rPr>
      </w:pPr>
    </w:p>
    <w:p w:rsidR="00EF5910" w:rsidRPr="000E0603" w:rsidRDefault="00EF5910" w:rsidP="00EF5910">
      <w:pPr>
        <w:pStyle w:val="10"/>
      </w:pPr>
      <w:r w:rsidRPr="00EF5910">
        <w:lastRenderedPageBreak/>
        <w:t xml:space="preserve">Supplementary Note 1. </w:t>
      </w:r>
      <w:r w:rsidRPr="000E0603">
        <w:t>General trend of the potential-dependent NH</w:t>
      </w:r>
      <w:r w:rsidRPr="000E0603">
        <w:rPr>
          <w:vertAlign w:val="subscript"/>
        </w:rPr>
        <w:t>3</w:t>
      </w:r>
      <w:r w:rsidRPr="000E0603">
        <w:t xml:space="preserve"> yield rate</w:t>
      </w:r>
    </w:p>
    <w:p w:rsidR="00EF5910" w:rsidRPr="00EF5910" w:rsidRDefault="00EF5910" w:rsidP="00EF5910">
      <w:pPr>
        <w:rPr>
          <w:lang w:val="en-US" w:eastAsia="ko-KR"/>
        </w:rPr>
      </w:pPr>
    </w:p>
    <w:p w:rsidR="00F215BB" w:rsidRPr="00F215BB" w:rsidRDefault="00F215BB" w:rsidP="00F215BB">
      <w:pPr>
        <w:pStyle w:val="a7"/>
        <w:keepNext/>
        <w:spacing w:line="480" w:lineRule="auto"/>
        <w:rPr>
          <w:rFonts w:ascii="Times New Roman" w:hAnsi="Times New Roman"/>
          <w:b w:val="0"/>
          <w:sz w:val="24"/>
          <w:szCs w:val="24"/>
        </w:rPr>
      </w:pPr>
      <w:r w:rsidRPr="00F215BB">
        <w:rPr>
          <w:rFonts w:ascii="Times New Roman" w:hAnsi="Times New Roman"/>
          <w:sz w:val="24"/>
          <w:szCs w:val="24"/>
        </w:rPr>
        <w:t xml:space="preserve">Supplementary Table </w:t>
      </w:r>
      <w:r w:rsidRPr="00F215BB">
        <w:rPr>
          <w:rFonts w:ascii="Times New Roman" w:hAnsi="Times New Roman"/>
          <w:sz w:val="24"/>
          <w:szCs w:val="24"/>
        </w:rPr>
        <w:fldChar w:fldCharType="begin"/>
      </w:r>
      <w:r w:rsidRPr="00F215BB">
        <w:rPr>
          <w:rFonts w:ascii="Times New Roman" w:hAnsi="Times New Roman"/>
          <w:sz w:val="24"/>
          <w:szCs w:val="24"/>
        </w:rPr>
        <w:instrText xml:space="preserve"> SEQ Supplementary_Table \* ARABIC </w:instrText>
      </w:r>
      <w:r w:rsidRPr="00F215BB">
        <w:rPr>
          <w:rFonts w:ascii="Times New Roman" w:hAnsi="Times New Roman"/>
          <w:sz w:val="24"/>
          <w:szCs w:val="24"/>
        </w:rPr>
        <w:fldChar w:fldCharType="separate"/>
      </w:r>
      <w:r>
        <w:rPr>
          <w:rFonts w:ascii="Times New Roman" w:hAnsi="Times New Roman"/>
          <w:noProof/>
          <w:sz w:val="24"/>
          <w:szCs w:val="24"/>
        </w:rPr>
        <w:t>1</w:t>
      </w:r>
      <w:r w:rsidRPr="00F215BB">
        <w:rPr>
          <w:rFonts w:ascii="Times New Roman" w:hAnsi="Times New Roman"/>
          <w:sz w:val="24"/>
          <w:szCs w:val="24"/>
        </w:rPr>
        <w:fldChar w:fldCharType="end"/>
      </w:r>
      <w:r w:rsidRPr="00F215BB">
        <w:rPr>
          <w:rFonts w:ascii="Times New Roman" w:hAnsi="Times New Roman"/>
          <w:sz w:val="24"/>
          <w:szCs w:val="24"/>
        </w:rPr>
        <w:t xml:space="preserve"> | Summary of the reported catalysts for NRR at low temperature.</w:t>
      </w:r>
      <w:r w:rsidRPr="00F215BB">
        <w:rPr>
          <w:rFonts w:ascii="Times New Roman" w:hAnsi="Times New Roman"/>
          <w:b w:val="0"/>
          <w:sz w:val="24"/>
          <w:szCs w:val="24"/>
        </w:rPr>
        <w:t xml:space="preserve"> The maximum yield rate, maximum faradaic efficiency (FE) and the electrode potential (</w:t>
      </w:r>
      <w:r w:rsidRPr="00F215BB">
        <w:rPr>
          <w:rFonts w:ascii="Times New Roman" w:hAnsi="Times New Roman"/>
          <w:b w:val="0"/>
          <w:i/>
          <w:sz w:val="24"/>
          <w:szCs w:val="24"/>
        </w:rPr>
        <w:t>U</w:t>
      </w:r>
      <w:r w:rsidRPr="00F215BB">
        <w:rPr>
          <w:rFonts w:ascii="Times New Roman" w:hAnsi="Times New Roman"/>
          <w:b w:val="0"/>
          <w:sz w:val="24"/>
          <w:szCs w:val="24"/>
        </w:rPr>
        <w:t>) at the maximum yield rate are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701"/>
        <w:gridCol w:w="2693"/>
        <w:gridCol w:w="756"/>
        <w:gridCol w:w="1423"/>
      </w:tblGrid>
      <w:tr w:rsidR="00250017" w:rsidRPr="00250017" w:rsidTr="00F215BB">
        <w:trPr>
          <w:trHeight w:val="470"/>
        </w:trPr>
        <w:tc>
          <w:tcPr>
            <w:tcW w:w="2552" w:type="dxa"/>
            <w:tcBorders>
              <w:left w:val="nil"/>
              <w:bottom w:val="single" w:sz="4" w:space="0" w:color="auto"/>
              <w:right w:val="nil"/>
            </w:tcBorders>
            <w:shd w:val="clear" w:color="auto" w:fill="auto"/>
            <w:vAlign w:val="center"/>
          </w:tcPr>
          <w:p w:rsidR="00250017" w:rsidRPr="00250017" w:rsidRDefault="00250017" w:rsidP="00250017">
            <w:pPr>
              <w:jc w:val="center"/>
              <w:rPr>
                <w:rFonts w:eastAsia="맑은 고딕"/>
                <w:b/>
                <w:kern w:val="2"/>
              </w:rPr>
            </w:pPr>
            <w:r w:rsidRPr="00250017">
              <w:rPr>
                <w:rFonts w:eastAsia="맑은 고딕"/>
                <w:b/>
                <w:kern w:val="2"/>
              </w:rPr>
              <w:t>Catalyst</w:t>
            </w:r>
          </w:p>
        </w:tc>
        <w:tc>
          <w:tcPr>
            <w:tcW w:w="1701" w:type="dxa"/>
            <w:tcBorders>
              <w:left w:val="nil"/>
              <w:bottom w:val="single" w:sz="4" w:space="0" w:color="auto"/>
              <w:right w:val="nil"/>
            </w:tcBorders>
            <w:shd w:val="clear" w:color="auto" w:fill="auto"/>
            <w:vAlign w:val="center"/>
          </w:tcPr>
          <w:p w:rsidR="00250017" w:rsidRPr="00250017" w:rsidRDefault="00250017" w:rsidP="00250017">
            <w:pPr>
              <w:jc w:val="center"/>
              <w:rPr>
                <w:rFonts w:eastAsia="맑은 고딕"/>
                <w:b/>
                <w:kern w:val="2"/>
              </w:rPr>
            </w:pPr>
            <w:r w:rsidRPr="00250017">
              <w:rPr>
                <w:rFonts w:eastAsia="맑은 고딕"/>
                <w:b/>
                <w:kern w:val="2"/>
              </w:rPr>
              <w:t>Electrolyte</w:t>
            </w:r>
          </w:p>
        </w:tc>
        <w:tc>
          <w:tcPr>
            <w:tcW w:w="2693" w:type="dxa"/>
            <w:tcBorders>
              <w:left w:val="nil"/>
              <w:bottom w:val="single" w:sz="4" w:space="0" w:color="auto"/>
              <w:right w:val="nil"/>
            </w:tcBorders>
            <w:shd w:val="clear" w:color="auto" w:fill="auto"/>
            <w:vAlign w:val="center"/>
          </w:tcPr>
          <w:p w:rsidR="00250017" w:rsidRPr="00250017" w:rsidRDefault="00250017" w:rsidP="00250017">
            <w:pPr>
              <w:jc w:val="center"/>
              <w:rPr>
                <w:rFonts w:eastAsia="맑은 고딕"/>
                <w:b/>
                <w:kern w:val="2"/>
              </w:rPr>
            </w:pPr>
            <w:r w:rsidRPr="00250017">
              <w:rPr>
                <w:rFonts w:eastAsia="맑은 고딕"/>
                <w:b/>
                <w:kern w:val="2"/>
              </w:rPr>
              <w:t>NH</w:t>
            </w:r>
            <w:r w:rsidRPr="00250017">
              <w:rPr>
                <w:rFonts w:eastAsia="맑은 고딕"/>
                <w:b/>
                <w:kern w:val="2"/>
                <w:vertAlign w:val="subscript"/>
              </w:rPr>
              <w:t>3</w:t>
            </w:r>
            <w:r w:rsidRPr="00250017">
              <w:rPr>
                <w:rFonts w:eastAsia="맑은 고딕"/>
                <w:b/>
                <w:kern w:val="2"/>
              </w:rPr>
              <w:t xml:space="preserve"> yield</w:t>
            </w:r>
          </w:p>
        </w:tc>
        <w:tc>
          <w:tcPr>
            <w:tcW w:w="756" w:type="dxa"/>
            <w:tcBorders>
              <w:left w:val="nil"/>
              <w:bottom w:val="single" w:sz="4" w:space="0" w:color="auto"/>
              <w:right w:val="nil"/>
            </w:tcBorders>
            <w:shd w:val="clear" w:color="auto" w:fill="auto"/>
            <w:vAlign w:val="center"/>
          </w:tcPr>
          <w:p w:rsidR="00250017" w:rsidRPr="00250017" w:rsidRDefault="00250017" w:rsidP="00250017">
            <w:pPr>
              <w:jc w:val="center"/>
              <w:rPr>
                <w:rFonts w:eastAsia="맑은 고딕"/>
                <w:b/>
                <w:kern w:val="2"/>
              </w:rPr>
            </w:pPr>
            <w:r w:rsidRPr="00250017">
              <w:rPr>
                <w:rFonts w:eastAsia="맑은 고딕"/>
                <w:b/>
                <w:kern w:val="2"/>
              </w:rPr>
              <w:t>FE (%)</w:t>
            </w:r>
          </w:p>
        </w:tc>
        <w:tc>
          <w:tcPr>
            <w:tcW w:w="1423" w:type="dxa"/>
            <w:tcBorders>
              <w:left w:val="nil"/>
              <w:bottom w:val="single" w:sz="4" w:space="0" w:color="auto"/>
              <w:right w:val="nil"/>
            </w:tcBorders>
            <w:shd w:val="clear" w:color="auto" w:fill="auto"/>
            <w:vAlign w:val="center"/>
          </w:tcPr>
          <w:p w:rsidR="00F06566" w:rsidRDefault="00250017" w:rsidP="00250017">
            <w:pPr>
              <w:jc w:val="center"/>
              <w:rPr>
                <w:rFonts w:eastAsia="맑은 고딕"/>
                <w:b/>
                <w:kern w:val="2"/>
              </w:rPr>
            </w:pPr>
            <w:r w:rsidRPr="00250017">
              <w:rPr>
                <w:rFonts w:eastAsia="맑은 고딕"/>
                <w:b/>
                <w:i/>
                <w:kern w:val="2"/>
              </w:rPr>
              <w:t>U</w:t>
            </w:r>
            <w:r w:rsidRPr="00250017">
              <w:rPr>
                <w:rFonts w:eastAsia="맑은 고딕"/>
                <w:b/>
                <w:kern w:val="2"/>
              </w:rPr>
              <w:t xml:space="preserve"> vs. RHE </w:t>
            </w:r>
          </w:p>
          <w:p w:rsidR="00250017" w:rsidRPr="00250017" w:rsidRDefault="00250017" w:rsidP="00250017">
            <w:pPr>
              <w:jc w:val="center"/>
              <w:rPr>
                <w:rFonts w:eastAsia="맑은 고딕"/>
                <w:b/>
                <w:kern w:val="2"/>
              </w:rPr>
            </w:pPr>
            <w:r w:rsidRPr="00250017">
              <w:rPr>
                <w:rFonts w:eastAsia="맑은 고딕"/>
                <w:b/>
                <w:kern w:val="2"/>
              </w:rPr>
              <w:t>(V)</w:t>
            </w:r>
          </w:p>
        </w:tc>
      </w:tr>
      <w:tr w:rsidR="00250017" w:rsidRPr="00250017" w:rsidTr="00F215BB">
        <w:trPr>
          <w:trHeight w:val="470"/>
        </w:trPr>
        <w:tc>
          <w:tcPr>
            <w:tcW w:w="2552" w:type="dxa"/>
            <w:tcBorders>
              <w:top w:val="single" w:sz="4" w:space="0" w:color="auto"/>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Rh nanosheet</w:t>
            </w:r>
            <w:r w:rsidRPr="00250017">
              <w:rPr>
                <w:rFonts w:eastAsia="맑은 고딕"/>
                <w:kern w:val="2"/>
              </w:rPr>
              <w:fldChar w:fldCharType="begin"/>
            </w:r>
            <w:r w:rsidR="00EF0312">
              <w:rPr>
                <w:rFonts w:eastAsia="맑은 고딕"/>
                <w:kern w:val="2"/>
              </w:rPr>
              <w:instrText xml:space="preserve"> ADDIN EN.CITE &lt;EndNote&gt;&lt;Cite&gt;&lt;Author&gt;Liu&lt;/Author&gt;&lt;Year&gt;2018&lt;/Year&gt;&lt;RecNum&gt;12&lt;/RecNum&gt;&lt;DisplayText&gt;&lt;style face="superscript"&gt;1&lt;/style&gt;&lt;/DisplayText&gt;&lt;record&gt;&lt;rec-number&gt;12&lt;/rec-number&gt;&lt;foreign-keys&gt;&lt;key app="EN" db-id="v9r55epa49ezwrerfv05rxzoafxrafzdw059" timestamp="1585034180"&gt;12&lt;/key&gt;&lt;/foreign-keys&gt;&lt;ref-type name="Journal Article"&gt;17&lt;/ref-type&gt;&lt;contributors&gt;&lt;authors&gt;&lt;author&gt;Liu, Hui-Min&lt;/author&gt;&lt;author&gt;Han, Shu-He&lt;/author&gt;&lt;author&gt;Zhao, Yue&lt;/author&gt;&lt;author&gt;Zhu, Ying-Ying&lt;/author&gt;&lt;author&gt;Tian, Xin-Long&lt;/author&gt;&lt;author&gt;Zeng, Jing-Hui&lt;/author&gt;&lt;author&gt;Jiang, Jia-Xing&lt;/author&gt;&lt;author&gt;Xia, Bao Yu&lt;/author&gt;&lt;author&gt;Chen, Yu&lt;/author&gt;&lt;/authors&gt;&lt;/contributors&gt;&lt;titles&gt;&lt;title&gt;Surfactant-free atomically ultrathin rhodium nanosheet nanoassemblies for efficient nitrogen electroreduction&lt;/title&gt;&lt;secondary-title&gt;Journal of Materials Chemistry A&lt;/secondary-title&gt;&lt;/titles&gt;&lt;periodical&gt;&lt;full-title&gt;Journal of Materials Chemistry A&lt;/full-title&gt;&lt;abbr-1&gt;J. Mater. Chem. A&lt;/abbr-1&gt;&lt;/periodical&gt;&lt;pages&gt;3211-3217&lt;/pages&gt;&lt;volume&gt;6&lt;/volume&gt;&lt;number&gt;7&lt;/number&gt;&lt;dates&gt;&lt;year&gt;2018&lt;/year&gt;&lt;/dates&gt;&lt;urls&gt;&lt;/urls&gt;&lt;/record&gt;&lt;/Cite&gt;&lt;/EndNote&gt;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w:t>
            </w:r>
            <w:r w:rsidRPr="00250017">
              <w:rPr>
                <w:rFonts w:eastAsia="맑은 고딕"/>
                <w:kern w:val="2"/>
              </w:rPr>
              <w:fldChar w:fldCharType="end"/>
            </w:r>
          </w:p>
        </w:tc>
        <w:tc>
          <w:tcPr>
            <w:tcW w:w="1701" w:type="dxa"/>
            <w:tcBorders>
              <w:top w:val="single" w:sz="4" w:space="0" w:color="auto"/>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single" w:sz="4" w:space="0" w:color="auto"/>
              <w:left w:val="nil"/>
              <w:bottom w:val="nil"/>
              <w:right w:val="nil"/>
            </w:tcBorders>
            <w:shd w:val="clear" w:color="auto" w:fill="auto"/>
            <w:vAlign w:val="center"/>
          </w:tcPr>
          <w:p w:rsidR="00250017" w:rsidRPr="00250017" w:rsidRDefault="00250017" w:rsidP="00250017">
            <w:pPr>
              <w:adjustRightInd w:val="0"/>
              <w:jc w:val="center"/>
              <w:rPr>
                <w:rFonts w:eastAsia="맑은 고딕"/>
              </w:rPr>
            </w:pPr>
            <w:r w:rsidRPr="00250017">
              <w:rPr>
                <w:rFonts w:eastAsia="맑은 고딕"/>
              </w:rPr>
              <w:t>23.88 μg h</w:t>
            </w:r>
            <w:r w:rsidRPr="00250017">
              <w:rPr>
                <w:rFonts w:eastAsia="AdvP4C4E74"/>
                <w:vertAlign w:val="superscript"/>
              </w:rPr>
              <w:t>-1</w:t>
            </w:r>
            <w:r w:rsidRPr="00250017">
              <w:rPr>
                <w:rFonts w:eastAsia="맑은 고딕"/>
              </w:rPr>
              <w:t>mg</w:t>
            </w:r>
            <w:r w:rsidRPr="00250017">
              <w:rPr>
                <w:rFonts w:eastAsia="맑은 고딕"/>
                <w:vertAlign w:val="subscript"/>
              </w:rPr>
              <w:t>cat</w:t>
            </w:r>
            <w:r w:rsidRPr="00250017">
              <w:rPr>
                <w:rFonts w:eastAsia="맑은 고딕"/>
                <w:vertAlign w:val="superscript"/>
              </w:rPr>
              <w:t>-1</w:t>
            </w:r>
          </w:p>
        </w:tc>
        <w:tc>
          <w:tcPr>
            <w:tcW w:w="756" w:type="dxa"/>
            <w:tcBorders>
              <w:top w:val="single" w:sz="4" w:space="0" w:color="auto"/>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0.217</w:t>
            </w:r>
          </w:p>
        </w:tc>
        <w:tc>
          <w:tcPr>
            <w:tcW w:w="1423" w:type="dxa"/>
            <w:tcBorders>
              <w:top w:val="single" w:sz="4" w:space="0" w:color="auto"/>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(110)-oriented Mo</w:t>
            </w:r>
            <w:r w:rsidRPr="00250017">
              <w:rPr>
                <w:rFonts w:eastAsia="맑은 고딕"/>
                <w:kern w:val="2"/>
              </w:rPr>
              <w:fldChar w:fldCharType="begin"/>
            </w:r>
            <w:r w:rsidR="00EF0312">
              <w:rPr>
                <w:rFonts w:eastAsia="맑은 고딕"/>
                <w:kern w:val="2"/>
              </w:rPr>
              <w:instrText xml:space="preserve"> ADDIN EN.CITE &lt;EndNote&gt;&lt;Cite&gt;&lt;Author&gt;Yang&lt;/Author&gt;&lt;Year&gt;2017&lt;/Year&gt;&lt;RecNum&gt;55&lt;/RecNum&gt;&lt;DisplayText&gt;&lt;style face="superscript"&gt;2&lt;/style&gt;&lt;/DisplayText&gt;&lt;record&gt;&lt;rec-number&gt;55&lt;/rec-number&gt;&lt;foreign-keys&gt;&lt;key app="EN" db-id="v9r55epa49ezwrerfv05rxzoafxrafzdw059" timestamp="1585066597"&gt;55&lt;/key&gt;&lt;/foreign-keys&gt;&lt;ref-type name="Journal Article"&gt;17&lt;/ref-type&gt;&lt;contributors&gt;&lt;authors&gt;&lt;author&gt;Yang, Dashuai&lt;/author&gt;&lt;author&gt;Chen, Ting&lt;/author&gt;&lt;author&gt;Wang, Zhijiang&lt;/author&gt;&lt;/authors&gt;&lt;/contributors&gt;&lt;titles&gt;&lt;title&gt;&lt;style face="normal" font="default" size="100%"&gt;Electrochemical reduction of aqueous nitrogen (N&lt;/style&gt;&lt;style face="subscript" font="default" size="100%"&gt;2&lt;/style&gt;&lt;style face="normal" font="default" size="100%"&gt;) at a low overpotential on (110)-oriented Mo nanofilm&lt;/style&gt;&lt;/title&gt;&lt;secondary-title&gt;Journal of Materials Chemistry A&lt;/secondary-title&gt;&lt;/titles&gt;&lt;periodical&gt;&lt;full-title&gt;Journal of Materials Chemistry A&lt;/full-title&gt;&lt;abbr-1&gt;J. Mater. Chem. A&lt;/abbr-1&gt;&lt;/periodical&gt;&lt;pages&gt;18967-18971&lt;/pages&gt;&lt;volume&gt;5&lt;/volume&gt;&lt;number&gt;36&lt;/number&gt;&lt;dates&gt;&lt;year&gt;2017&lt;/year&gt;&lt;/dates&gt;&lt;urls&gt;&lt;/urls&gt;&lt;/record&gt;&lt;/Cite&gt;&lt;/EndNote&gt;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2</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0.5 M H</w:t>
            </w:r>
            <w:r w:rsidRPr="00250017">
              <w:rPr>
                <w:rFonts w:eastAsia="맑은 고딕"/>
                <w:kern w:val="2"/>
                <w:vertAlign w:val="subscript"/>
              </w:rPr>
              <w:t>2</w:t>
            </w:r>
            <w:r w:rsidRPr="00250017">
              <w:rPr>
                <w:rFonts w:eastAsia="맑은 고딕"/>
                <w:kern w:val="2"/>
              </w:rPr>
              <w:t>SO</w:t>
            </w:r>
            <w:r w:rsidRPr="00250017">
              <w:rPr>
                <w:rFonts w:eastAsia="맑은 고딕"/>
                <w:kern w:val="2"/>
                <w:vertAlign w:val="subscript"/>
              </w:rPr>
              <w:t>4</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3.09 × 10</w:t>
            </w:r>
            <w:r w:rsidRPr="00250017">
              <w:rPr>
                <w:rFonts w:eastAsia="바탕"/>
                <w:kern w:val="2"/>
                <w:vertAlign w:val="superscript"/>
              </w:rPr>
              <w:t>−</w:t>
            </w:r>
            <w:r w:rsidRPr="00250017">
              <w:rPr>
                <w:rFonts w:eastAsia="맑은 고딕"/>
                <w:kern w:val="2"/>
                <w:vertAlign w:val="superscript"/>
              </w:rPr>
              <w:t>11</w:t>
            </w:r>
            <w:r w:rsidRPr="00250017">
              <w:rPr>
                <w:rFonts w:eastAsia="맑은 고딕"/>
                <w:kern w:val="2"/>
              </w:rPr>
              <w:t xml:space="preserve"> mol s</w:t>
            </w:r>
            <w:r w:rsidRPr="00250017">
              <w:rPr>
                <w:rFonts w:eastAsia="맑은 고딕"/>
                <w:kern w:val="2"/>
                <w:vertAlign w:val="superscript"/>
              </w:rPr>
              <w:t>-1</w:t>
            </w:r>
            <w:r w:rsidRPr="00250017">
              <w:rPr>
                <w:rFonts w:eastAsia="맑은 고딕"/>
                <w:kern w:val="2"/>
              </w:rPr>
              <w:t xml:space="preserve"> cm</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0.72</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-0.49</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Fe/Fe</w:t>
            </w:r>
            <w:r w:rsidRPr="00250017">
              <w:rPr>
                <w:rFonts w:eastAsia="맑은 고딕"/>
                <w:kern w:val="2"/>
                <w:vertAlign w:val="subscript"/>
              </w:rPr>
              <w:t>3</w:t>
            </w:r>
            <w:r w:rsidRPr="00250017">
              <w:rPr>
                <w:rFonts w:eastAsia="맑은 고딕"/>
                <w:kern w:val="2"/>
              </w:rPr>
              <w:t>O</w:t>
            </w:r>
            <w:r w:rsidRPr="00250017">
              <w:rPr>
                <w:rFonts w:eastAsia="맑은 고딕"/>
                <w:kern w:val="2"/>
                <w:vertAlign w:val="subscript"/>
              </w:rPr>
              <w:t>4</w:t>
            </w:r>
            <w:r w:rsidRPr="00250017">
              <w:rPr>
                <w:rFonts w:eastAsia="맑은 고딕"/>
                <w:kern w:val="2"/>
              </w:rPr>
              <w:fldChar w:fldCharType="begin"/>
            </w:r>
            <w:r w:rsidR="00EF0312">
              <w:rPr>
                <w:rFonts w:eastAsia="맑은 고딕"/>
                <w:kern w:val="2"/>
              </w:rPr>
              <w:instrText xml:space="preserve"> ADDIN EN.CITE &lt;EndNote&gt;&lt;Cite&gt;&lt;Author&gt;Hu&lt;/Author&gt;&lt;Year&gt;2018&lt;/Year&gt;&lt;RecNum&gt;13&lt;/RecNum&gt;&lt;DisplayText&gt;&lt;style face="superscript"&gt;3&lt;/style&gt;&lt;/DisplayText&gt;&lt;record&gt;&lt;rec-number&gt;13&lt;/rec-number&gt;&lt;foreign-keys&gt;&lt;key app="EN" db-id="v9r55epa49ezwrerfv05rxzoafxrafzdw059" timestamp="1585034203"&gt;13&lt;/key&gt;&lt;/foreign-keys&gt;&lt;ref-type name="Journal Article"&gt;17&lt;/ref-type&gt;&lt;contributors&gt;&lt;authors&gt;&lt;author&gt;Hu, Lin&lt;/author&gt;&lt;author&gt;Khaniya, Asim&lt;/author&gt;&lt;author&gt;Wang, Jun&lt;/author&gt;&lt;author&gt;Chen, Gang&lt;/author&gt;&lt;author&gt;Kaden, William E&lt;/author&gt;&lt;author&gt;Feng, Xiaofeng&lt;/author&gt;&lt;/authors&gt;&lt;/contributors&gt;&lt;titles&gt;&lt;title&gt;Ambient electrochemical ammonia synthesis with high selectivity on Fe/Fe oxide catalyst&lt;/title&gt;&lt;secondary-title&gt;ACS Catalysis&lt;/secondary-title&gt;&lt;/titles&gt;&lt;periodical&gt;&lt;full-title&gt;ACS Catalysis&lt;/full-title&gt;&lt;abbr-1&gt;ACS Catal.&lt;/abbr-1&gt;&lt;/periodical&gt;&lt;pages&gt;9312-9319&lt;/pages&gt;&lt;volume&gt;8&lt;/volume&gt;&lt;number&gt;10&lt;/number&gt;&lt;dates&gt;&lt;year&gt;2018&lt;/year&gt;&lt;/dates&gt;&lt;isbn&gt;2155-5435&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3</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rPr>
              <w:t>0.1 M PBS</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rPr>
              <w:t xml:space="preserve">0.19 </w:t>
            </w:r>
            <w:r w:rsidRPr="00250017">
              <w:rPr>
                <w:rFonts w:eastAsia="AdvOTdd3b7348.I+03"/>
              </w:rPr>
              <w:t>μ</w:t>
            </w:r>
            <w:r w:rsidRPr="00250017">
              <w:rPr>
                <w:rFonts w:eastAsia="맑은 고딕"/>
              </w:rPr>
              <w:t>g cm</w:t>
            </w:r>
            <w:r w:rsidRPr="00250017">
              <w:rPr>
                <w:rFonts w:eastAsia="바탕"/>
                <w:vertAlign w:val="superscript"/>
              </w:rPr>
              <w:t>−</w:t>
            </w:r>
            <w:r w:rsidRPr="00250017">
              <w:rPr>
                <w:rFonts w:eastAsia="맑은 고딕"/>
                <w:vertAlign w:val="superscript"/>
              </w:rPr>
              <w:t>2</w:t>
            </w:r>
            <w:r w:rsidRPr="00250017">
              <w:rPr>
                <w:rFonts w:eastAsia="맑은 고딕"/>
              </w:rPr>
              <w:t xml:space="preserve"> h</w:t>
            </w:r>
            <w:r w:rsidRPr="00250017">
              <w:rPr>
                <w:rFonts w:eastAsia="바탕"/>
                <w:vertAlign w:val="superscript"/>
              </w:rPr>
              <w:t>−</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8.29</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-0.3</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Ru NP</w:t>
            </w:r>
            <w:r w:rsidRPr="00250017">
              <w:rPr>
                <w:rFonts w:eastAsia="맑은 고딕"/>
                <w:kern w:val="2"/>
              </w:rPr>
              <w:fldChar w:fldCharType="begin"/>
            </w:r>
            <w:r w:rsidR="00EF0312">
              <w:rPr>
                <w:rFonts w:eastAsia="맑은 고딕"/>
                <w:kern w:val="2"/>
              </w:rPr>
              <w:instrText xml:space="preserve"> ADDIN EN.CITE &lt;EndNote&gt;&lt;Cite&gt;&lt;Author&gt;Wang&lt;/Author&gt;&lt;Year&gt;2018&lt;/Year&gt;&lt;RecNum&gt;18&lt;/RecNum&gt;&lt;DisplayText&gt;&lt;style face="superscript"&gt;4&lt;/style&gt;&lt;/DisplayText&gt;&lt;record&gt;&lt;rec-number&gt;18&lt;/rec-number&gt;&lt;foreign-keys&gt;&lt;key app="EN" db-id="v9r55epa49ezwrerfv05rxzoafxrafzdw059" timestamp="1585036618"&gt;18&lt;/key&gt;&lt;/foreign-keys&gt;&lt;ref-type name="Journal Article"&gt;17&lt;/ref-type&gt;&lt;contributors&gt;&lt;authors&gt;&lt;author&gt;Wang, Dabin&lt;/author&gt;&lt;author&gt;Azofra, Luis Miguel&lt;/author&gt;&lt;author&gt;Harb, Moussab&lt;/author&gt;&lt;author&gt;Cavallo, Luigi&lt;/author&gt;&lt;author&gt;Zhang, Xinyi&lt;/author&gt;&lt;author&gt;Suryanto, Bryan HR&lt;/author&gt;&lt;author&gt;MacFarlane, Douglas R&lt;/author&gt;&lt;/authors&gt;&lt;/contributors&gt;&lt;titles&gt;&lt;title&gt;Energy‐Efficient Nitrogen Reduction to Ammonia at Low Overpotential in Aqueous Electrolyte under Ambient Conditions&lt;/title&gt;&lt;secondary-title&gt;ChemSusChem&lt;/secondary-title&gt;&lt;/titles&gt;&lt;periodical&gt;&lt;full-title&gt;ChemSusChem&lt;/full-title&gt;&lt;/periodical&gt;&lt;pages&gt;3416-3422&lt;/pages&gt;&lt;volume&gt;11&lt;/volume&gt;&lt;number&gt;19&lt;/number&gt;&lt;dates&gt;&lt;year&gt;2018&lt;/year&gt;&lt;/dates&gt;&lt;isbn&gt;1864-5631&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4</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0.01 M HCl</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5.5 mg h</w:t>
            </w:r>
            <w:r w:rsidRPr="00250017">
              <w:rPr>
                <w:rFonts w:eastAsia="맑은 고딕"/>
                <w:kern w:val="2"/>
                <w:vertAlign w:val="superscript"/>
              </w:rPr>
              <w:t>-1</w:t>
            </w:r>
            <w:r w:rsidRPr="00250017">
              <w:rPr>
                <w:rFonts w:eastAsia="맑은 고딕"/>
                <w:kern w:val="2"/>
              </w:rPr>
              <w:t xml:space="preserve"> m</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5.4</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THH Au nanorods</w:t>
            </w:r>
            <w:r w:rsidRPr="00250017">
              <w:rPr>
                <w:rFonts w:eastAsia="맑은 고딕"/>
                <w:kern w:val="2"/>
              </w:rPr>
              <w:fldChar w:fldCharType="begin"/>
            </w:r>
            <w:r w:rsidR="00EF0312">
              <w:rPr>
                <w:rFonts w:eastAsia="맑은 고딕"/>
                <w:kern w:val="2"/>
              </w:rPr>
              <w:instrText xml:space="preserve"> ADDIN EN.CITE &lt;EndNote&gt;&lt;Cite&gt;&lt;Author&gt;Bao&lt;/Author&gt;&lt;Year&gt;2017&lt;/Year&gt;&lt;RecNum&gt;54&lt;/RecNum&gt;&lt;DisplayText&gt;&lt;style face="superscript"&gt;5&lt;/style&gt;&lt;/DisplayText&gt;&lt;record&gt;&lt;rec-number&gt;54&lt;/rec-number&gt;&lt;foreign-keys&gt;&lt;key app="EN" db-id="v9r55epa49ezwrerfv05rxzoafxrafzdw059" timestamp="1585066245"&gt;54&lt;/key&gt;&lt;/foreign-keys&gt;&lt;ref-type name="Journal Article"&gt;17&lt;/ref-type&gt;&lt;contributors&gt;&lt;authors&gt;&lt;author&gt;Bao, Di&lt;/author&gt;&lt;author&gt;Zhang, Qi&lt;/author&gt;&lt;author&gt;Meng, Fan‐Lu&lt;/author&gt;&lt;author&gt;Zhong, Hai‐Xia&lt;/author&gt;&lt;author&gt;Shi, Miao‐Miao&lt;/author&gt;&lt;author&gt;Zhang, Yu&lt;/author&gt;&lt;author&gt;Yan, Jun‐Min&lt;/author&gt;&lt;author&gt;Jiang, Qing&lt;/author&gt;&lt;author&gt;Zhang, Xin‐Bo&lt;/author&gt;&lt;/authors&gt;&lt;/contributors&gt;&lt;titles&gt;&lt;title&gt;&lt;style face="normal" font="default" size="100%"&gt;Electrochemical reduction of N&lt;/style&gt;&lt;style face="subscript" font="default" size="100%"&gt;2&lt;/style&gt;&lt;style face="normal" font="default" size="100%"&gt; under ambient conditions for artificial N&lt;/style&gt;&lt;style face="subscript" font="default" size="100%"&gt;2&lt;/style&gt;&lt;style face="normal" font="default" size="100%"&gt; fixation and renewable energy storage using N&lt;/style&gt;&lt;style face="subscript" font="default" size="100%"&gt;2&lt;/style&gt;&lt;style face="normal" font="default" size="100%"&gt;/NH&lt;/style&gt;&lt;style face="subscript" font="default" size="100%"&gt;3&lt;/style&gt;&lt;style face="normal" font="default" size="100%"&gt; cycle&lt;/style&gt;&lt;/title&gt;&lt;secondary-title&gt;Advanced materials&lt;/secondary-title&gt;&lt;/titles&gt;&lt;periodical&gt;&lt;full-title&gt;Advanced Materials&lt;/full-title&gt;&lt;abbr-1&gt;Adv. Mater.&lt;/abbr-1&gt;&lt;abbr-2&gt;Adv Mater&lt;/abbr-2&gt;&lt;/periodical&gt;&lt;pages&gt;1604799&lt;/pages&gt;&lt;volume&gt;29&lt;/volume&gt;&lt;number&gt;3&lt;/number&gt;&lt;dates&gt;&lt;year&gt;2017&lt;/year&gt;&lt;/dates&gt;&lt;isbn&gt;0935-9648&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5</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1.648 µg h</w:t>
            </w:r>
            <w:r w:rsidRPr="00250017">
              <w:rPr>
                <w:rFonts w:eastAsia="바탕"/>
                <w:kern w:val="2"/>
                <w:vertAlign w:val="superscript"/>
              </w:rPr>
              <w:t>−</w:t>
            </w:r>
            <w:r w:rsidRPr="00250017">
              <w:rPr>
                <w:rFonts w:eastAsia="맑은 고딕"/>
                <w:kern w:val="2"/>
                <w:vertAlign w:val="superscript"/>
              </w:rPr>
              <w:t>1</w:t>
            </w:r>
            <w:r w:rsidRPr="00250017">
              <w:rPr>
                <w:rFonts w:eastAsia="맑은 고딕"/>
                <w:kern w:val="2"/>
              </w:rPr>
              <w:t xml:space="preserve"> cm</w:t>
            </w:r>
            <w:r w:rsidRPr="00250017">
              <w:rPr>
                <w:rFonts w:eastAsia="바탕"/>
                <w:kern w:val="2"/>
                <w:vertAlign w:val="superscript"/>
              </w:rPr>
              <w:t>−</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4.02</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Ru@NC</w:t>
            </w:r>
            <w:r w:rsidRPr="00250017">
              <w:rPr>
                <w:rFonts w:eastAsia="맑은 고딕"/>
                <w:kern w:val="2"/>
              </w:rPr>
              <w:fldChar w:fldCharType="begin"/>
            </w:r>
            <w:r w:rsidR="00EF0312">
              <w:rPr>
                <w:rFonts w:eastAsia="맑은 고딕"/>
                <w:kern w:val="2"/>
              </w:rPr>
              <w:instrText xml:space="preserve"> ADDIN EN.CITE &lt;EndNote&gt;&lt;Cite&gt;&lt;Author&gt;Tao&lt;/Author&gt;&lt;Year&gt;2019&lt;/Year&gt;&lt;RecNum&gt;14&lt;/RecNum&gt;&lt;DisplayText&gt;&lt;style face="superscript"&gt;6&lt;/style&gt;&lt;/DisplayText&gt;&lt;record&gt;&lt;rec-number&gt;14&lt;/rec-number&gt;&lt;foreign-keys&gt;&lt;key app="EN" db-id="v9r55epa49ezwrerfv05rxzoafxrafzdw059" timestamp="1585034223"&gt;14&lt;/key&gt;&lt;/foreign-keys&gt;&lt;ref-type name="Journal Article"&gt;17&lt;/ref-type&gt;&lt;contributors&gt;&lt;authors&gt;&lt;author&gt;Tao, Hengcong&lt;/author&gt;&lt;author&gt;Choi, Changhyeok&lt;/author&gt;&lt;author&gt;Ding, Liang-Xin&lt;/author&gt;&lt;author&gt;Jiang, Zheng&lt;/author&gt;&lt;author&gt;Han, Zishan&lt;/author&gt;&lt;author&gt;Jia, Mingwen&lt;/author&gt;&lt;author&gt;Fan, Qun&lt;/author&gt;&lt;author&gt;Gao, Yunnan&lt;/author&gt;&lt;author&gt;Wang, Haihui&lt;/author&gt;&lt;author&gt;Robertson, Alex W&lt;/author&gt;&lt;author&gt;Hong, Song&lt;/author&gt;&lt;author&gt;Jung, Yousung&lt;/author&gt;&lt;author&gt;Liu, Shizhen&lt;/author&gt;&lt;author&gt;Sun, Zhenyu&lt;/author&gt;&lt;/authors&gt;&lt;/contributors&gt;&lt;titles&gt;&lt;title&gt;Nitrogen fixation by Ru single-atom electrocatalytic reduction&lt;/title&gt;&lt;secondary-title&gt;Chem&lt;/secondary-title&gt;&lt;/titles&gt;&lt;periodical&gt;&lt;full-title&gt;Chem&lt;/full-title&gt;&lt;/periodical&gt;&lt;pages&gt;204-214&lt;/pages&gt;&lt;volume&gt;5&lt;/volume&gt;&lt;number&gt;1&lt;/number&gt;&lt;dates&gt;&lt;year&gt;2019&lt;/year&gt;&lt;/dates&gt;&lt;isbn&gt;2451-9294&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6</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3.665 mg h</w:t>
            </w:r>
            <w:r w:rsidRPr="00250017">
              <w:rPr>
                <w:rFonts w:eastAsia="맑은 고딕"/>
                <w:kern w:val="2"/>
                <w:vertAlign w:val="superscript"/>
              </w:rPr>
              <w:t>-1</w:t>
            </w:r>
            <w:r w:rsidRPr="00250017">
              <w:rPr>
                <w:rFonts w:eastAsia="맑은 고딕"/>
                <w:kern w:val="2"/>
              </w:rPr>
              <w:t>mg</w:t>
            </w:r>
            <w:r w:rsidRPr="00250017">
              <w:rPr>
                <w:rFonts w:eastAsia="맑은 고딕"/>
                <w:kern w:val="2"/>
                <w:vertAlign w:val="subscript"/>
              </w:rPr>
              <w:t>Ru</w:t>
            </w:r>
            <w:r w:rsidRPr="00250017">
              <w:rPr>
                <w:rFonts w:eastAsia="맑은 고딕"/>
                <w:kern w:val="2"/>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 9</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-0.21</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VN nanowire</w:t>
            </w:r>
            <w:r w:rsidRPr="00250017">
              <w:rPr>
                <w:rFonts w:eastAsia="맑은 고딕"/>
                <w:kern w:val="2"/>
              </w:rPr>
              <w:fldChar w:fldCharType="begin"/>
            </w:r>
            <w:r w:rsidR="00EF0312">
              <w:rPr>
                <w:rFonts w:eastAsia="맑은 고딕"/>
                <w:kern w:val="2"/>
              </w:rPr>
              <w:instrText xml:space="preserve"> ADDIN EN.CITE &lt;EndNote&gt;&lt;Cite&gt;&lt;Author&gt;Zhang&lt;/Author&gt;&lt;Year&gt;2018&lt;/Year&gt;&lt;RecNum&gt;49&lt;/RecNum&gt;&lt;DisplayText&gt;&lt;style face="superscript"&gt;7&lt;/style&gt;&lt;/DisplayText&gt;&lt;record&gt;&lt;rec-number&gt;49&lt;/rec-number&gt;&lt;foreign-keys&gt;&lt;key app="EN" db-id="v9r55epa49ezwrerfv05rxzoafxrafzdw059" timestamp="1585064676"&gt;49&lt;/key&gt;&lt;/foreign-keys&gt;&lt;ref-type name="Journal Article"&gt;17&lt;/ref-type&gt;&lt;contributors&gt;&lt;authors&gt;&lt;author&gt;Zhang, Xiaoping&lt;/author&gt;&lt;author&gt;Kong, Rong-Mei&lt;/author&gt;&lt;author&gt;Du, Huitong&lt;/author&gt;&lt;author&gt;Xia, Lian&lt;/author&gt;&lt;author&gt;Qu, Fengli&lt;/author&gt;&lt;/authors&gt;&lt;/contributors&gt;&lt;titles&gt;&lt;title&gt;Highly efficient electrochemical ammonia synthesis via nitrogen reduction reactions on a VN nanowire array under ambient conditions&lt;/title&gt;&lt;secondary-title&gt;Chemical communications&lt;/secondary-title&gt;&lt;/titles&gt;&lt;periodical&gt;&lt;full-title&gt;Chemical Communications&lt;/full-title&gt;&lt;abbr-1&gt;Chem. Commun.&lt;/abbr-1&gt;&lt;/periodical&gt;&lt;pages&gt;5323-5325&lt;/pages&gt;&lt;volume&gt;54&lt;/volume&gt;&lt;number&gt;42&lt;/number&gt;&lt;dates&gt;&lt;year&gt;2018&lt;/year&gt;&lt;/dates&gt;&lt;urls&gt;&lt;/urls&gt;&lt;/record&gt;&lt;/Cite&gt;&lt;/EndNote&gt;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7</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nil"/>
              <w:right w:val="nil"/>
            </w:tcBorders>
            <w:shd w:val="clear" w:color="auto" w:fill="auto"/>
            <w:vAlign w:val="center"/>
          </w:tcPr>
          <w:p w:rsidR="00250017" w:rsidRPr="00250017" w:rsidRDefault="00250017" w:rsidP="00250017">
            <w:pPr>
              <w:adjustRightInd w:val="0"/>
              <w:jc w:val="center"/>
              <w:rPr>
                <w:rFonts w:eastAsia="맑은 고딕"/>
              </w:rPr>
            </w:pPr>
            <w:r w:rsidRPr="00250017">
              <w:rPr>
                <w:rFonts w:eastAsia="맑은 고딕"/>
                <w:kern w:val="2"/>
              </w:rPr>
              <w:t>2.48 × 10</w:t>
            </w:r>
            <w:r w:rsidRPr="00250017">
              <w:rPr>
                <w:rFonts w:eastAsia="바탕"/>
                <w:kern w:val="2"/>
                <w:vertAlign w:val="superscript"/>
              </w:rPr>
              <w:t>−</w:t>
            </w:r>
            <w:r w:rsidRPr="00250017">
              <w:rPr>
                <w:rFonts w:eastAsia="맑은 고딕"/>
                <w:kern w:val="2"/>
                <w:vertAlign w:val="superscript"/>
              </w:rPr>
              <w:t>10</w:t>
            </w:r>
            <w:r w:rsidRPr="00250017">
              <w:rPr>
                <w:rFonts w:eastAsia="맑은 고딕"/>
                <w:kern w:val="2"/>
              </w:rPr>
              <w:t xml:space="preserve"> mol s</w:t>
            </w:r>
            <w:r w:rsidRPr="00250017">
              <w:rPr>
                <w:rFonts w:eastAsia="맑은 고딕"/>
                <w:kern w:val="2"/>
                <w:vertAlign w:val="superscript"/>
              </w:rPr>
              <w:t>-1</w:t>
            </w:r>
            <w:r w:rsidRPr="00250017">
              <w:rPr>
                <w:rFonts w:eastAsia="맑은 고딕"/>
                <w:kern w:val="2"/>
              </w:rPr>
              <w:t xml:space="preserve"> cm</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3.58</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-0.3</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VN</w:t>
            </w:r>
            <w:r w:rsidRPr="00250017">
              <w:rPr>
                <w:rFonts w:eastAsia="맑은 고딕"/>
                <w:kern w:val="2"/>
              </w:rPr>
              <w:fldChar w:fldCharType="begin"/>
            </w:r>
            <w:r w:rsidR="00EF0312">
              <w:rPr>
                <w:rFonts w:eastAsia="맑은 고딕"/>
                <w:kern w:val="2"/>
              </w:rPr>
              <w:instrText xml:space="preserve"> ADDIN EN.CITE &lt;EndNote&gt;&lt;Cite&gt;&lt;Author&gt;Yang&lt;/Author&gt;&lt;Year&gt;2018&lt;/Year&gt;&lt;RecNum&gt;50&lt;/RecNum&gt;&lt;DisplayText&gt;&lt;style face="superscript"&gt;8&lt;/style&gt;&lt;/DisplayText&gt;&lt;record&gt;&lt;rec-number&gt;50&lt;/rec-number&gt;&lt;foreign-keys&gt;&lt;key app="EN" db-id="v9r55epa49ezwrerfv05rxzoafxrafzdw059" timestamp="1585064824"&gt;50&lt;/key&gt;&lt;/foreign-keys&gt;&lt;ref-type name="Journal Article"&gt;17&lt;/ref-type&gt;&lt;contributors&gt;&lt;authors&gt;&lt;author&gt;Yang, Xuan&lt;/author&gt;&lt;author&gt;Nash, Jared&lt;/author&gt;&lt;author&gt;Anibal, Jacob&lt;/author&gt;&lt;author&gt;Dunwell, Marco&lt;/author&gt;&lt;author&gt;Kattel, Shyam&lt;/author&gt;&lt;author&gt;Stavitski, Eli&lt;/author&gt;&lt;author&gt;Attenkofer, Klaus&lt;/author&gt;&lt;author&gt;Chen, Jingguang G&lt;/author&gt;&lt;author&gt;Yan, Yushan&lt;/author&gt;&lt;author&gt;Xu, Bingjun&lt;/author&gt;&lt;/authors&gt;&lt;/contributors&gt;&lt;titles&gt;&lt;title&gt;Mechanistic insights into electrochemical nitrogen reduction reaction on vanadium nitride nanoparticles&lt;/title&gt;&lt;secondary-title&gt;Journal of the American Chemical Society&lt;/secondary-title&gt;&lt;/titles&gt;&lt;periodical&gt;&lt;full-title&gt;Journal of the American Chemical Society&lt;/full-title&gt;&lt;abbr-1&gt;J. Am. Chem. Soc.&lt;/abbr-1&gt;&lt;abbr-2&gt;J Am Chem Soc&lt;/abbr-2&gt;&lt;/periodical&gt;&lt;pages&gt;13387-13391&lt;/pages&gt;&lt;volume&gt;140&lt;/volume&gt;&lt;number&gt;41&lt;/number&gt;&lt;dates&gt;&lt;year&gt;2018&lt;/year&gt;&lt;/dates&gt;&lt;isbn&gt;0002-7863&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8</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0.05 M H</w:t>
            </w:r>
            <w:r w:rsidRPr="00250017">
              <w:rPr>
                <w:rFonts w:eastAsia="맑은 고딕"/>
                <w:kern w:val="2"/>
                <w:vertAlign w:val="subscript"/>
              </w:rPr>
              <w:t>2</w:t>
            </w:r>
            <w:r w:rsidRPr="00250017">
              <w:rPr>
                <w:rFonts w:eastAsia="맑은 고딕"/>
                <w:kern w:val="2"/>
              </w:rPr>
              <w:t>SO</w:t>
            </w:r>
            <w:r w:rsidRPr="00250017">
              <w:rPr>
                <w:rFonts w:eastAsia="맑은 고딕"/>
                <w:kern w:val="2"/>
                <w:vertAlign w:val="subscript"/>
              </w:rPr>
              <w:t>4</w:t>
            </w:r>
          </w:p>
        </w:tc>
        <w:tc>
          <w:tcPr>
            <w:tcW w:w="2693" w:type="dxa"/>
            <w:tcBorders>
              <w:top w:val="nil"/>
              <w:left w:val="nil"/>
              <w:bottom w:val="nil"/>
              <w:right w:val="nil"/>
            </w:tcBorders>
            <w:shd w:val="clear" w:color="auto" w:fill="auto"/>
            <w:vAlign w:val="center"/>
          </w:tcPr>
          <w:p w:rsidR="00250017" w:rsidRPr="00250017" w:rsidRDefault="00250017" w:rsidP="00250017">
            <w:pPr>
              <w:adjustRightInd w:val="0"/>
              <w:jc w:val="center"/>
              <w:rPr>
                <w:rFonts w:eastAsia="맑은 고딕"/>
              </w:rPr>
            </w:pPr>
            <w:r w:rsidRPr="00250017">
              <w:rPr>
                <w:rFonts w:eastAsia="맑은 고딕"/>
                <w:kern w:val="2"/>
              </w:rPr>
              <w:t>3.3 × 10</w:t>
            </w:r>
            <w:r w:rsidRPr="00250017">
              <w:rPr>
                <w:rFonts w:eastAsia="바탕"/>
                <w:kern w:val="2"/>
                <w:vertAlign w:val="superscript"/>
              </w:rPr>
              <w:t>−</w:t>
            </w:r>
            <w:r w:rsidRPr="00250017">
              <w:rPr>
                <w:rFonts w:eastAsia="맑은 고딕"/>
                <w:kern w:val="2"/>
                <w:vertAlign w:val="superscript"/>
              </w:rPr>
              <w:t>10</w:t>
            </w:r>
            <w:r w:rsidRPr="00250017">
              <w:rPr>
                <w:rFonts w:eastAsia="맑은 고딕"/>
                <w:kern w:val="2"/>
              </w:rPr>
              <w:t xml:space="preserve"> mol s</w:t>
            </w:r>
            <w:r w:rsidRPr="00250017">
              <w:rPr>
                <w:rFonts w:eastAsia="바탕"/>
                <w:kern w:val="2"/>
                <w:vertAlign w:val="superscript"/>
              </w:rPr>
              <w:t>−</w:t>
            </w:r>
            <w:r w:rsidRPr="00250017">
              <w:rPr>
                <w:rFonts w:eastAsia="맑은 고딕"/>
                <w:kern w:val="2"/>
                <w:vertAlign w:val="superscript"/>
              </w:rPr>
              <w:t>1</w:t>
            </w:r>
            <w:r w:rsidRPr="00250017">
              <w:rPr>
                <w:rFonts w:eastAsia="맑은 고딕"/>
                <w:kern w:val="2"/>
              </w:rPr>
              <w:t xml:space="preserve"> cm</w:t>
            </w:r>
            <w:r w:rsidRPr="00250017">
              <w:rPr>
                <w:rFonts w:eastAsia="바탕"/>
                <w:kern w:val="2"/>
                <w:vertAlign w:val="superscript"/>
              </w:rPr>
              <w:t>−</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6.0</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Mo</w:t>
            </w:r>
            <w:r w:rsidRPr="00250017">
              <w:rPr>
                <w:rFonts w:eastAsia="맑은 고딕"/>
                <w:kern w:val="2"/>
                <w:vertAlign w:val="subscript"/>
              </w:rPr>
              <w:t>2</w:t>
            </w:r>
            <w:r w:rsidRPr="00250017">
              <w:rPr>
                <w:rFonts w:eastAsia="맑은 고딕"/>
                <w:kern w:val="2"/>
              </w:rPr>
              <w:t>N</w:t>
            </w:r>
            <w:r w:rsidRPr="00250017">
              <w:rPr>
                <w:rFonts w:eastAsia="맑은 고딕"/>
                <w:kern w:val="2"/>
              </w:rPr>
              <w:fldChar w:fldCharType="begin"/>
            </w:r>
            <w:r w:rsidR="00EF0312">
              <w:rPr>
                <w:rFonts w:eastAsia="맑은 고딕"/>
                <w:kern w:val="2"/>
              </w:rPr>
              <w:instrText xml:space="preserve"> ADDIN EN.CITE &lt;EndNote&gt;&lt;Cite&gt;&lt;Author&gt;Ren&lt;/Author&gt;&lt;Year&gt;2018&lt;/Year&gt;&lt;RecNum&gt;51&lt;/RecNum&gt;&lt;DisplayText&gt;&lt;style face="superscript"&gt;9&lt;/style&gt;&lt;/DisplayText&gt;&lt;record&gt;&lt;rec-number&gt;51&lt;/rec-number&gt;&lt;foreign-keys&gt;&lt;key app="EN" db-id="v9r55epa49ezwrerfv05rxzoafxrafzdw059" timestamp="1585065560"&gt;51&lt;/key&gt;&lt;/foreign-keys&gt;&lt;ref-type name="Journal Article"&gt;17&lt;/ref-type&gt;&lt;contributors&gt;&lt;authors&gt;&lt;author&gt;Ren, Xiang&lt;/author&gt;&lt;author&gt;Cui, Guanwei&lt;/author&gt;&lt;author&gt;Chen, Liang&lt;/author&gt;&lt;author&gt;Xie, Fengyu&lt;/author&gt;&lt;author&gt;Wei, Qin&lt;/author&gt;&lt;author&gt;Tian, Ziqi&lt;/author&gt;&lt;author&gt;Sun, Xuping&lt;/author&gt;&lt;/authors&gt;&lt;/contributors&gt;&lt;titles&gt;&lt;title&gt;&lt;style face="normal" font="default" size="100%"&gt;Electrochemical N&lt;/style&gt;&lt;style face="subscript" font="default" size="100%"&gt;2&lt;/style&gt;&lt;style face="normal" font="default" size="100%"&gt; fixation to NH&lt;/style&gt;&lt;style face="subscript" font="default" size="100%"&gt;3&lt;/style&gt;&lt;style face="normal" font="default" size="100%"&gt; under ambient conditions: Mo&lt;/style&gt;&lt;style face="subscript" font="default" size="100%"&gt;2&lt;/style&gt;&lt;style face="normal" font="default" size="100%"&gt;N nanorod as a highly efficient and selective catalyst&lt;/style&gt;&lt;/title&gt;&lt;secondary-title&gt;Chemical communications&lt;/secondary-title&gt;&lt;/titles&gt;&lt;periodical&gt;&lt;full-title&gt;Chemical Communications&lt;/full-title&gt;&lt;abbr-1&gt;Chem. Commun.&lt;/abbr-1&gt;&lt;/periodical&gt;&lt;pages&gt;8474-8477&lt;/pages&gt;&lt;volume&gt;54&lt;/volume&gt;&lt;number&gt;61&lt;/number&gt;&lt;dates&gt;&lt;year&gt;2018&lt;/year&gt;&lt;/dates&gt;&lt;urls&gt;&lt;/urls&gt;&lt;/record&gt;&lt;/Cite&gt;&lt;/EndNote&gt;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9</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nil"/>
              <w:right w:val="nil"/>
            </w:tcBorders>
            <w:shd w:val="clear" w:color="auto" w:fill="auto"/>
            <w:vAlign w:val="center"/>
          </w:tcPr>
          <w:p w:rsidR="00250017" w:rsidRPr="00250017" w:rsidRDefault="00250017" w:rsidP="00250017">
            <w:pPr>
              <w:adjustRightInd w:val="0"/>
              <w:jc w:val="center"/>
              <w:rPr>
                <w:rFonts w:eastAsia="맑은 고딕"/>
              </w:rPr>
            </w:pPr>
            <w:r w:rsidRPr="00250017">
              <w:rPr>
                <w:rFonts w:eastAsia="맑은 고딕"/>
                <w:kern w:val="2"/>
              </w:rPr>
              <w:t xml:space="preserve">78.4 </w:t>
            </w:r>
            <w:r w:rsidRPr="00250017">
              <w:rPr>
                <w:rFonts w:eastAsia="맑은 고딕"/>
              </w:rPr>
              <w:t>μ</w:t>
            </w:r>
            <w:r w:rsidRPr="00250017">
              <w:rPr>
                <w:rFonts w:eastAsia="맑은 고딕"/>
                <w:kern w:val="2"/>
              </w:rPr>
              <w:t>g h</w:t>
            </w:r>
            <w:r w:rsidRPr="00250017">
              <w:rPr>
                <w:rFonts w:eastAsia="맑은 고딕"/>
                <w:kern w:val="2"/>
                <w:vertAlign w:val="superscript"/>
              </w:rPr>
              <w:t>-1</w:t>
            </w:r>
            <w:r w:rsidRPr="00250017">
              <w:rPr>
                <w:rFonts w:eastAsia="맑은 고딕"/>
                <w:kern w:val="2"/>
              </w:rPr>
              <w:t xml:space="preserve"> mg</w:t>
            </w:r>
            <w:r w:rsidRPr="00250017">
              <w:rPr>
                <w:rFonts w:eastAsia="맑은 고딕"/>
                <w:kern w:val="2"/>
                <w:vertAlign w:val="subscript"/>
              </w:rPr>
              <w:t>cat.</w:t>
            </w:r>
            <w:r w:rsidRPr="00250017">
              <w:rPr>
                <w:rFonts w:eastAsia="맑은 고딕"/>
                <w:kern w:val="2"/>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4.5</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-0.3</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1T-MoS</w:t>
            </w:r>
            <w:r w:rsidRPr="00250017">
              <w:rPr>
                <w:rFonts w:eastAsia="맑은 고딕"/>
                <w:kern w:val="2"/>
                <w:vertAlign w:val="subscript"/>
              </w:rPr>
              <w:t>2</w:t>
            </w:r>
            <w:r w:rsidRPr="00250017">
              <w:rPr>
                <w:rFonts w:eastAsia="맑은 고딕"/>
                <w:kern w:val="2"/>
              </w:rPr>
              <w:t xml:space="preserve"> NDs/g-C</w:t>
            </w:r>
            <w:r w:rsidRPr="00250017">
              <w:rPr>
                <w:rFonts w:eastAsia="맑은 고딕"/>
                <w:kern w:val="2"/>
                <w:vertAlign w:val="subscript"/>
              </w:rPr>
              <w:t>3</w:t>
            </w:r>
            <w:r w:rsidRPr="00250017">
              <w:rPr>
                <w:rFonts w:eastAsia="맑은 고딕"/>
                <w:kern w:val="2"/>
              </w:rPr>
              <w:t>N</w:t>
            </w:r>
            <w:r w:rsidRPr="00250017">
              <w:rPr>
                <w:rFonts w:eastAsia="맑은 고딕"/>
                <w:kern w:val="2"/>
                <w:vertAlign w:val="subscript"/>
              </w:rPr>
              <w:t>4</w:t>
            </w:r>
            <w:r w:rsidRPr="00250017">
              <w:rPr>
                <w:rFonts w:eastAsia="맑은 고딕"/>
                <w:kern w:val="2"/>
              </w:rPr>
              <w:fldChar w:fldCharType="begin"/>
            </w:r>
            <w:r w:rsidR="00EF0312">
              <w:rPr>
                <w:rFonts w:eastAsia="맑은 고딕"/>
                <w:kern w:val="2"/>
              </w:rPr>
              <w:instrText xml:space="preserve"> ADDIN EN.CITE &lt;EndNote&gt;&lt;Cite&gt;&lt;Author&gt;Xu&lt;/Author&gt;&lt;Year&gt;2020&lt;/Year&gt;&lt;RecNum&gt;79&lt;/RecNum&gt;&lt;DisplayText&gt;&lt;style face="superscript"&gt;10&lt;/style&gt;&lt;/DisplayText&gt;&lt;record&gt;&lt;rec-number&gt;79&lt;/rec-number&gt;&lt;foreign-keys&gt;&lt;key app="EN" db-id="v9r55epa49ezwrerfv05rxzoafxrafzdw059" timestamp="1587120002"&gt;79&lt;/key&gt;&lt;/foreign-keys&gt;&lt;ref-type name="Journal Article"&gt;17&lt;/ref-type&gt;&lt;contributors&gt;&lt;authors&gt;&lt;author&gt;Xu, Xuesong&lt;/author&gt;&lt;author&gt;Tian, Xiujuan&lt;/author&gt;&lt;author&gt;Sun, Benteng&lt;/author&gt;&lt;author&gt;Liang, Zhangqian&lt;/author&gt;&lt;author&gt;Cui, Hongzhi&lt;/author&gt;&lt;author&gt;Tian, Jian&lt;/author&gt;&lt;author&gt;Shao, Minhua&lt;/author&gt;&lt;/authors&gt;&lt;/contributors&gt;&lt;titles&gt;&lt;title&gt;1 T-phase molybdenum sulfide nanodots enable efficient electrocatalytic nitrogen fixation under ambient conditions&lt;/title&gt;&lt;secondary-title&gt;Applied Catalysis B: Environmental&lt;/secondary-title&gt;&lt;/titles&gt;&lt;periodical&gt;&lt;full-title&gt;Applied Catalysis B: Environmental&lt;/full-title&gt;&lt;abbr-1&gt;Appl. Catal. B&lt;/abbr-1&gt;&lt;/periodical&gt;&lt;pages&gt;118984&lt;/pages&gt;&lt;dates&gt;&lt;year&gt;2020&lt;/year&gt;&lt;/dates&gt;&lt;isbn&gt;0926-3373&lt;/isbn&gt;&lt;urls&gt;&lt;/urls&gt;&lt;/record&gt;&lt;/Cite&gt;&lt;/EndNote&gt;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10</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nil"/>
              <w:right w:val="nil"/>
            </w:tcBorders>
            <w:shd w:val="clear" w:color="auto" w:fill="auto"/>
            <w:vAlign w:val="center"/>
          </w:tcPr>
          <w:p w:rsidR="00250017" w:rsidRPr="00250017" w:rsidRDefault="00250017" w:rsidP="00250017">
            <w:pPr>
              <w:adjustRightInd w:val="0"/>
              <w:jc w:val="center"/>
              <w:rPr>
                <w:rFonts w:eastAsia="맑은 고딕"/>
                <w:kern w:val="2"/>
              </w:rPr>
            </w:pPr>
            <w:r w:rsidRPr="00250017">
              <w:rPr>
                <w:rFonts w:eastAsia="맑은 고딕"/>
                <w:kern w:val="2"/>
              </w:rPr>
              <w:t xml:space="preserve">29.97 </w:t>
            </w:r>
            <w:r w:rsidRPr="00250017">
              <w:rPr>
                <w:rFonts w:eastAsia="맑은 고딕"/>
              </w:rPr>
              <w:t>μ</w:t>
            </w:r>
            <w:r w:rsidRPr="00250017">
              <w:rPr>
                <w:rFonts w:eastAsia="맑은 고딕"/>
                <w:kern w:val="2"/>
              </w:rPr>
              <w:t>g h</w:t>
            </w:r>
            <w:r w:rsidRPr="00250017">
              <w:rPr>
                <w:rFonts w:eastAsia="맑은 고딕"/>
                <w:kern w:val="2"/>
                <w:vertAlign w:val="superscript"/>
              </w:rPr>
              <w:t>-1</w:t>
            </w:r>
            <w:r w:rsidRPr="00250017">
              <w:rPr>
                <w:rFonts w:eastAsia="맑은 고딕"/>
                <w:kern w:val="2"/>
              </w:rPr>
              <w:t xml:space="preserve"> mg</w:t>
            </w:r>
            <w:r w:rsidRPr="00250017">
              <w:rPr>
                <w:rFonts w:eastAsia="맑은 고딕"/>
                <w:kern w:val="2"/>
                <w:vertAlign w:val="subscript"/>
              </w:rPr>
              <w:t>cat.</w:t>
            </w:r>
            <w:r w:rsidRPr="00250017">
              <w:rPr>
                <w:rFonts w:eastAsia="맑은 고딕"/>
                <w:kern w:val="2"/>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20.48</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-0.3</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Fe-N/C-CNT</w:t>
            </w:r>
            <w:r w:rsidRPr="00250017">
              <w:rPr>
                <w:rFonts w:eastAsia="맑은 고딕"/>
                <w:kern w:val="2"/>
              </w:rPr>
              <w:fldChar w:fldCharType="begin"/>
            </w:r>
            <w:r w:rsidR="00EF0312">
              <w:rPr>
                <w:rFonts w:eastAsia="맑은 고딕"/>
                <w:kern w:val="2"/>
              </w:rPr>
              <w:instrText xml:space="preserve"> ADDIN EN.CITE &lt;EndNote&gt;&lt;Cite&gt;&lt;Author&gt;Wang&lt;/Author&gt;&lt;Year&gt;2018&lt;/Year&gt;&lt;RecNum&gt;11&lt;/RecNum&gt;&lt;DisplayText&gt;&lt;style face="superscript"&gt;11&lt;/style&gt;&lt;/DisplayText&gt;&lt;record&gt;&lt;rec-number&gt;11&lt;/rec-number&gt;&lt;foreign-keys&gt;&lt;key app="EN" db-id="v9r55epa49ezwrerfv05rxzoafxrafzdw059" timestamp="1585034172"&gt;11&lt;/key&gt;&lt;/foreign-keys&gt;&lt;ref-type name="Journal Article"&gt;17&lt;/ref-type&gt;&lt;contributors&gt;&lt;authors&gt;&lt;author&gt;Wang, Ying&lt;/author&gt;&lt;author&gt;Cui, Xiaoqiang&lt;/author&gt;&lt;author&gt;Zhao, Jingxiang&lt;/author&gt;&lt;author&gt;Jia, Guangri&lt;/author&gt;&lt;author&gt;Gu, Lin&lt;/author&gt;&lt;author&gt;Zhang, Qinghua&lt;/author&gt;&lt;author&gt;Meng, Lingkun&lt;/author&gt;&lt;author&gt;Shi, Zhan&lt;/author&gt;&lt;author&gt;Zheng, Lirong&lt;/author&gt;&lt;author&gt;Wang, Chunyu&lt;/author&gt;&lt;/authors&gt;&lt;/contributors&gt;&lt;titles&gt;&lt;title&gt;Rational design of Fe–N/C hybrid for enhanced nitrogen reduction electrocatalysis under ambient conditions in aqueous solution&lt;/title&gt;&lt;secondary-title&gt;ACS Catalysis&lt;/secondary-title&gt;&lt;/titles&gt;&lt;periodical&gt;&lt;full-title&gt;ACS Catalysis&lt;/full-title&gt;&lt;abbr-1&gt;ACS Catal.&lt;/abbr-1&gt;&lt;/periodical&gt;&lt;pages&gt;336-344&lt;/pages&gt;&lt;volume&gt;9&lt;/volume&gt;&lt;number&gt;1&lt;/number&gt;&lt;dates&gt;&lt;year&gt;2018&lt;/year&gt;&lt;/dates&gt;&lt;isbn&gt;2155-5435&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11</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nil"/>
              <w:left w:val="nil"/>
              <w:bottom w:val="nil"/>
              <w:right w:val="nil"/>
            </w:tcBorders>
            <w:shd w:val="clear" w:color="auto" w:fill="auto"/>
            <w:vAlign w:val="center"/>
          </w:tcPr>
          <w:p w:rsidR="00250017" w:rsidRPr="00250017" w:rsidRDefault="00250017" w:rsidP="00FD1A1C">
            <w:pPr>
              <w:adjustRightInd w:val="0"/>
              <w:jc w:val="center"/>
              <w:rPr>
                <w:rFonts w:eastAsia="맑은 고딕"/>
              </w:rPr>
            </w:pPr>
            <w:r w:rsidRPr="00250017">
              <w:rPr>
                <w:rFonts w:eastAsia="맑은 고딕"/>
              </w:rPr>
              <w:t xml:space="preserve">34.83 </w:t>
            </w:r>
            <w:r w:rsidRPr="00250017">
              <w:rPr>
                <w:rFonts w:eastAsia="AdvOTdd3b7348.I+03"/>
              </w:rPr>
              <w:t>μ</w:t>
            </w:r>
            <w:r w:rsidR="008D0DB1">
              <w:rPr>
                <w:rFonts w:eastAsia="맑은 고딕"/>
              </w:rPr>
              <w:t xml:space="preserve">g </w:t>
            </w:r>
            <w:r w:rsidRPr="00250017">
              <w:rPr>
                <w:rFonts w:eastAsia="맑은 고딕"/>
              </w:rPr>
              <w:t>h</w:t>
            </w:r>
            <w:r w:rsidRPr="00250017">
              <w:rPr>
                <w:rFonts w:eastAsia="바탕"/>
                <w:vertAlign w:val="superscript"/>
              </w:rPr>
              <w:t>−</w:t>
            </w:r>
            <w:r w:rsidRPr="00250017">
              <w:rPr>
                <w:rFonts w:eastAsia="맑은 고딕"/>
                <w:vertAlign w:val="superscript"/>
              </w:rPr>
              <w:t>1</w:t>
            </w:r>
            <w:r w:rsidR="00FD1A1C">
              <w:rPr>
                <w:rFonts w:eastAsia="맑은 고딕"/>
              </w:rPr>
              <w:t xml:space="preserve"> </w:t>
            </w:r>
            <w:r w:rsidRPr="00250017">
              <w:rPr>
                <w:rFonts w:eastAsia="맑은 고딕"/>
              </w:rPr>
              <w:t>mg</w:t>
            </w:r>
            <w:r w:rsidRPr="00250017">
              <w:rPr>
                <w:rFonts w:eastAsia="맑은 고딕"/>
                <w:vertAlign w:val="subscript"/>
              </w:rPr>
              <w:t>cat.</w:t>
            </w:r>
            <w:r w:rsidRPr="00250017">
              <w:rPr>
                <w:rFonts w:eastAsia="바탕"/>
                <w:vertAlign w:val="superscript"/>
              </w:rPr>
              <w:t>−</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9.28</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Fe-N-C</w:t>
            </w:r>
            <w:r w:rsidRPr="00250017">
              <w:rPr>
                <w:rFonts w:eastAsia="맑은 고딕"/>
                <w:kern w:val="2"/>
              </w:rPr>
              <w:fldChar w:fldCharType="begin"/>
            </w:r>
            <w:r w:rsidR="00EF0312">
              <w:rPr>
                <w:rFonts w:eastAsia="맑은 고딕"/>
                <w:kern w:val="2"/>
              </w:rPr>
              <w:instrText xml:space="preserve"> ADDIN EN.CITE &lt;EndNote&gt;&lt;Cite&gt;&lt;Author&gt;Wang&lt;/Author&gt;&lt;Year&gt;2019&lt;/Year&gt;&lt;RecNum&gt;19&lt;/RecNum&gt;&lt;DisplayText&gt;&lt;style face="superscript"&gt;12&lt;/style&gt;&lt;/DisplayText&gt;&lt;record&gt;&lt;rec-number&gt;19&lt;/rec-number&gt;&lt;foreign-keys&gt;&lt;key app="EN" db-id="v9r55epa49ezwrerfv05rxzoafxrafzdw059" timestamp="1585036687"&gt;19&lt;/key&gt;&lt;/foreign-keys&gt;&lt;ref-type name="Journal Article"&gt;17&lt;/ref-type&gt;&lt;contributors&gt;&lt;authors&gt;&lt;author&gt;Wang, Mengfan&lt;/author&gt;&lt;author&gt;Liu, Sisi&lt;/author&gt;&lt;author&gt;Qian, Tao&lt;/author&gt;&lt;author&gt;Liu, Jie&lt;/author&gt;&lt;author&gt;Zhou, Jinqiu&lt;/author&gt;&lt;author&gt;Ji, Haoqing&lt;/author&gt;&lt;author&gt;Xiong, Jie&lt;/author&gt;&lt;author&gt;Zhong, Jun&lt;/author&gt;&lt;author&gt;Yan, Chenglin&lt;/author&gt;&lt;/authors&gt;&lt;/contributors&gt;&lt;titles&gt;&lt;title&gt;Over 56.55% Faradaic efficiency of ambient ammonia synthesis enabled by positively shifting the reaction potential&lt;/title&gt;&lt;secondary-title&gt;Nature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12</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rPr>
              <w:t xml:space="preserve">7.48 </w:t>
            </w:r>
            <w:r w:rsidRPr="00250017">
              <w:rPr>
                <w:rFonts w:eastAsia="AdvOT1ef757c0+03"/>
              </w:rPr>
              <w:t>μ</w:t>
            </w:r>
            <w:r w:rsidRPr="00250017">
              <w:rPr>
                <w:rFonts w:eastAsia="맑은 고딕"/>
              </w:rPr>
              <w:t>g h</w:t>
            </w:r>
            <w:r w:rsidRPr="00250017">
              <w:rPr>
                <w:rFonts w:eastAsia="맑은 고딕"/>
                <w:vertAlign w:val="superscript"/>
              </w:rPr>
              <w:t>-1</w:t>
            </w:r>
            <w:r w:rsidRPr="00250017">
              <w:rPr>
                <w:rFonts w:eastAsia="맑은 고딕"/>
              </w:rPr>
              <w:t xml:space="preserve"> mg</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56.55</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0.0</w:t>
            </w:r>
          </w:p>
        </w:tc>
      </w:tr>
      <w:tr w:rsidR="00FD1A1C" w:rsidRPr="00250017" w:rsidTr="00F215BB">
        <w:trPr>
          <w:trHeight w:val="470"/>
        </w:trPr>
        <w:tc>
          <w:tcPr>
            <w:tcW w:w="2552" w:type="dxa"/>
            <w:tcBorders>
              <w:top w:val="nil"/>
              <w:left w:val="nil"/>
              <w:bottom w:val="nil"/>
              <w:right w:val="nil"/>
            </w:tcBorders>
            <w:shd w:val="clear" w:color="auto" w:fill="auto"/>
            <w:vAlign w:val="center"/>
          </w:tcPr>
          <w:p w:rsidR="00FD1A1C" w:rsidRPr="00250017" w:rsidRDefault="00FD1A1C" w:rsidP="00EF0312">
            <w:pPr>
              <w:jc w:val="center"/>
              <w:rPr>
                <w:rFonts w:eastAsia="맑은 고딕"/>
                <w:kern w:val="2"/>
              </w:rPr>
            </w:pPr>
            <w:r>
              <w:rPr>
                <w:rFonts w:eastAsia="맑은 고딕"/>
                <w:kern w:val="2"/>
              </w:rPr>
              <w:t>ISAS-Fe/NC</w:t>
            </w:r>
            <w:r>
              <w:rPr>
                <w:rFonts w:eastAsia="맑은 고딕"/>
                <w:kern w:val="2"/>
              </w:rPr>
              <w:fldChar w:fldCharType="begin"/>
            </w:r>
            <w:r w:rsidR="00EF0312">
              <w:rPr>
                <w:rFonts w:eastAsia="맑은 고딕"/>
                <w:kern w:val="2"/>
              </w:rPr>
              <w:instrText xml:space="preserve"> ADDIN EN.CITE &lt;EndNote&gt;&lt;Cite&gt;&lt;Author&gt;Lü&lt;/Author&gt;&lt;Year&gt;2019&lt;/Year&gt;&lt;RecNum&gt;93&lt;/RecNum&gt;&lt;DisplayText&gt;&lt;style face="superscript"&gt;13&lt;/style&gt;&lt;/DisplayText&gt;&lt;record&gt;&lt;rec-number&gt;93&lt;/rec-number&gt;&lt;foreign-keys&gt;&lt;key app="EN" db-id="v9r55epa49ezwrerfv05rxzoafxrafzdw059" timestamp="1603801217"&gt;93&lt;/key&gt;&lt;/foreign-keys&gt;&lt;ref-type name="Journal Article"&gt;17&lt;/ref-type&gt;&lt;contributors&gt;&lt;authors&gt;&lt;author&gt;Lü, Fang&lt;/author&gt;&lt;author&gt;Zhao, Shunzheng&lt;/author&gt;&lt;author&gt;Guo, Ruijie&lt;/author&gt;&lt;author&gt;He, Jia&lt;/author&gt;&lt;author&gt;Peng, Xianyun&lt;/author&gt;&lt;author&gt;Bao, Haihong&lt;/author&gt;&lt;author&gt;Fu, Jiantao&lt;/author&gt;&lt;author&gt;Han, Lili&lt;/author&gt;&lt;author&gt;Qi, Gaocan&lt;/author&gt;&lt;author&gt;Luo, Jun&lt;/author&gt;&lt;/authors&gt;&lt;/contributors&gt;&lt;titles&gt;&lt;title&gt;&lt;style face="normal" font="default" size="100%"&gt;Nitrogen-coordinated single Fe sites for efficient electrocatalytic N&lt;/style&gt;&lt;style face="subscript" font="default" size="100%"&gt;2&lt;/style&gt;&lt;style face="normal" font="default" size="100%"&gt; fixation in neutral media&lt;/style&gt;&lt;/title&gt;&lt;secondary-title&gt;Nano Energy&lt;/secondary-title&gt;&lt;/titles&gt;&lt;periodical&gt;&lt;full-title&gt;Nano Energy&lt;/full-title&gt;&lt;/periodical&gt;&lt;pages&gt;420-427&lt;/pages&gt;&lt;volume&gt;61&lt;/volume&gt;&lt;dates&gt;&lt;year&gt;2019&lt;/year&gt;&lt;/dates&gt;&lt;isbn&gt;2211-2855&lt;/isbn&gt;&lt;urls&gt;&lt;/urls&gt;&lt;/record&gt;&lt;/Cite&gt;&lt;/EndNote&gt;</w:instrText>
            </w:r>
            <w:r>
              <w:rPr>
                <w:rFonts w:eastAsia="맑은 고딕"/>
                <w:kern w:val="2"/>
              </w:rPr>
              <w:fldChar w:fldCharType="separate"/>
            </w:r>
            <w:r w:rsidR="00EF0312" w:rsidRPr="00EF0312">
              <w:rPr>
                <w:rFonts w:eastAsia="맑은 고딕"/>
                <w:noProof/>
                <w:kern w:val="2"/>
                <w:vertAlign w:val="superscript"/>
              </w:rPr>
              <w:t>13</w:t>
            </w:r>
            <w:r>
              <w:rPr>
                <w:rFonts w:eastAsia="맑은 고딕"/>
                <w:kern w:val="2"/>
              </w:rPr>
              <w:fldChar w:fldCharType="end"/>
            </w:r>
          </w:p>
        </w:tc>
        <w:tc>
          <w:tcPr>
            <w:tcW w:w="1701" w:type="dxa"/>
            <w:tcBorders>
              <w:top w:val="nil"/>
              <w:left w:val="nil"/>
              <w:bottom w:val="nil"/>
              <w:right w:val="nil"/>
            </w:tcBorders>
            <w:shd w:val="clear" w:color="auto" w:fill="auto"/>
            <w:vAlign w:val="center"/>
          </w:tcPr>
          <w:p w:rsidR="00FD1A1C" w:rsidRPr="00250017" w:rsidRDefault="00FD1A1C" w:rsidP="00250017">
            <w:pPr>
              <w:jc w:val="center"/>
              <w:rPr>
                <w:rFonts w:eastAsia="맑은 고딕"/>
                <w:kern w:val="2"/>
              </w:rPr>
            </w:pPr>
            <w:r>
              <w:rPr>
                <w:rFonts w:eastAsia="맑은 고딕"/>
                <w:kern w:val="2"/>
              </w:rPr>
              <w:t>0.1 M PBS</w:t>
            </w:r>
          </w:p>
        </w:tc>
        <w:tc>
          <w:tcPr>
            <w:tcW w:w="2693" w:type="dxa"/>
            <w:tcBorders>
              <w:top w:val="nil"/>
              <w:left w:val="nil"/>
              <w:bottom w:val="nil"/>
              <w:right w:val="nil"/>
            </w:tcBorders>
            <w:shd w:val="clear" w:color="auto" w:fill="auto"/>
            <w:vAlign w:val="center"/>
          </w:tcPr>
          <w:p w:rsidR="00FD1A1C" w:rsidRPr="00250017" w:rsidRDefault="00FD1A1C" w:rsidP="00250017">
            <w:pPr>
              <w:jc w:val="center"/>
              <w:rPr>
                <w:rFonts w:eastAsia="맑은 고딕"/>
              </w:rPr>
            </w:pPr>
            <w:r>
              <w:rPr>
                <w:rFonts w:eastAsia="맑은 고딕"/>
              </w:rPr>
              <w:t xml:space="preserve">62.9 </w:t>
            </w:r>
            <w:r w:rsidRPr="00250017">
              <w:rPr>
                <w:rFonts w:eastAsia="AdvOTdd3b7348.I+03"/>
              </w:rPr>
              <w:t>μ</w:t>
            </w:r>
            <w:r>
              <w:rPr>
                <w:rFonts w:eastAsia="맑은 고딕"/>
              </w:rPr>
              <w:t xml:space="preserve">g </w:t>
            </w:r>
            <w:r w:rsidRPr="00250017">
              <w:rPr>
                <w:rFonts w:eastAsia="맑은 고딕"/>
              </w:rPr>
              <w:t>h</w:t>
            </w:r>
            <w:r w:rsidRPr="00250017">
              <w:rPr>
                <w:rFonts w:eastAsia="바탕"/>
                <w:vertAlign w:val="superscript"/>
              </w:rPr>
              <w:t>−</w:t>
            </w:r>
            <w:r w:rsidRPr="00250017">
              <w:rPr>
                <w:rFonts w:eastAsia="맑은 고딕"/>
                <w:vertAlign w:val="superscript"/>
              </w:rPr>
              <w:t>1</w:t>
            </w:r>
            <w:r>
              <w:rPr>
                <w:rFonts w:eastAsia="맑은 고딕"/>
              </w:rPr>
              <w:t xml:space="preserve"> </w:t>
            </w:r>
            <w:r w:rsidRPr="00250017">
              <w:rPr>
                <w:rFonts w:eastAsia="맑은 고딕"/>
              </w:rPr>
              <w:t>mg</w:t>
            </w:r>
            <w:r w:rsidRPr="00250017">
              <w:rPr>
                <w:rFonts w:eastAsia="맑은 고딕"/>
                <w:vertAlign w:val="subscript"/>
              </w:rPr>
              <w:t>cat.</w:t>
            </w:r>
            <w:r w:rsidRPr="00250017">
              <w:rPr>
                <w:rFonts w:eastAsia="바탕"/>
                <w:vertAlign w:val="superscript"/>
              </w:rPr>
              <w:t>−</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FD1A1C" w:rsidRPr="00250017" w:rsidRDefault="00FD1A1C" w:rsidP="00250017">
            <w:pPr>
              <w:jc w:val="center"/>
              <w:rPr>
                <w:rFonts w:eastAsia="맑은 고딕"/>
                <w:kern w:val="2"/>
              </w:rPr>
            </w:pPr>
            <w:r>
              <w:rPr>
                <w:rFonts w:eastAsia="맑은 고딕"/>
                <w:kern w:val="2"/>
              </w:rPr>
              <w:t>18.6</w:t>
            </w:r>
          </w:p>
        </w:tc>
        <w:tc>
          <w:tcPr>
            <w:tcW w:w="1423" w:type="dxa"/>
            <w:tcBorders>
              <w:top w:val="nil"/>
              <w:left w:val="nil"/>
              <w:bottom w:val="nil"/>
              <w:right w:val="nil"/>
            </w:tcBorders>
            <w:shd w:val="clear" w:color="auto" w:fill="auto"/>
            <w:vAlign w:val="center"/>
          </w:tcPr>
          <w:p w:rsidR="00FD1A1C" w:rsidRPr="00250017" w:rsidRDefault="00FD1A1C" w:rsidP="00250017">
            <w:pPr>
              <w:jc w:val="center"/>
              <w:rPr>
                <w:rFonts w:eastAsia="맑은 고딕"/>
                <w:kern w:val="2"/>
              </w:rPr>
            </w:pPr>
            <w:r>
              <w:rPr>
                <w:rFonts w:eastAsia="맑은 고딕"/>
                <w:kern w:val="2"/>
              </w:rPr>
              <w:t>-0.40</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SA-Ag/NC</w:t>
            </w:r>
            <w:r w:rsidRPr="00250017">
              <w:rPr>
                <w:rFonts w:eastAsia="맑은 고딕"/>
                <w:kern w:val="2"/>
              </w:rPr>
              <w:fldChar w:fldCharType="begin"/>
            </w:r>
            <w:r w:rsidR="00EF0312">
              <w:rPr>
                <w:rFonts w:eastAsia="맑은 고딕"/>
                <w:kern w:val="2"/>
              </w:rPr>
              <w:instrText xml:space="preserve"> ADDIN EN.CITE &lt;EndNote&gt;&lt;Cite&gt;&lt;Author&gt;Chen&lt;/Author&gt;&lt;Year&gt;2020&lt;/Year&gt;&lt;RecNum&gt;88&lt;/RecNum&gt;&lt;DisplayText&gt;&lt;style face="superscript"&gt;14&lt;/style&gt;&lt;/DisplayText&gt;&lt;record&gt;&lt;rec-number&gt;88&lt;/rec-number&gt;&lt;foreign-keys&gt;&lt;key app="EN" db-id="v9r55epa49ezwrerfv05rxzoafxrafzdw059" timestamp="1594310357"&gt;88&lt;/key&gt;&lt;/foreign-keys&gt;&lt;ref-type name="Journal Article"&gt;17&lt;/ref-type&gt;&lt;contributors&gt;&lt;authors&gt;&lt;author&gt;Chen, Ying&lt;/author&gt;&lt;author&gt;Guo, Ruijie&lt;/author&gt;&lt;author&gt;Peng, Xianyun&lt;/author&gt;&lt;author&gt;Wang, Xiaoqian&lt;/author&gt;&lt;author&gt;Liu, Xijun&lt;/author&gt;&lt;author&gt;Ren, Junqiang&lt;/author&gt;&lt;author&gt;He, Jia&lt;/author&gt;&lt;author&gt;Zhuo, Longchao&lt;/author&gt;&lt;author&gt;Sun, Jiaqiang&lt;/author&gt;&lt;author&gt;Liu, Yifan&lt;/author&gt;&lt;/authors&gt;&lt;/contributors&gt;&lt;titles&gt;&lt;title&gt;Highly Productive Electrosynthesis of Ammonia by Admolecule-Targeting Single Ag Sites&lt;/title&gt;&lt;secondary-title&gt;ACS Nano&lt;/secondary-title&gt;&lt;/titles&gt;&lt;periodical&gt;&lt;full-title&gt;ACS nano&lt;/full-title&gt;&lt;/periodical&gt;&lt;pages&gt;6938-6946&lt;/pages&gt;&lt;volume&gt;14&lt;/volume&gt;&lt;number&gt;6&lt;/number&gt;&lt;section&gt;6938&lt;/section&gt;&lt;dates&gt;&lt;year&gt;2020&lt;/year&gt;&lt;/dates&gt;&lt;isbn&gt;1936-0851&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14</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rPr>
            </w:pPr>
            <w:r w:rsidRPr="00250017">
              <w:rPr>
                <w:rFonts w:eastAsia="맑은 고딕"/>
              </w:rPr>
              <w:t xml:space="preserve">270.9 </w:t>
            </w:r>
            <w:r w:rsidRPr="00250017">
              <w:rPr>
                <w:rFonts w:eastAsia="AdvOT1ef757c0+03"/>
              </w:rPr>
              <w:t>μ</w:t>
            </w:r>
            <w:r w:rsidRPr="00250017">
              <w:rPr>
                <w:rFonts w:eastAsia="맑은 고딕"/>
              </w:rPr>
              <w:t>g h</w:t>
            </w:r>
            <w:r w:rsidRPr="00250017">
              <w:rPr>
                <w:rFonts w:eastAsia="맑은 고딕"/>
                <w:vertAlign w:val="superscript"/>
              </w:rPr>
              <w:t>-1</w:t>
            </w:r>
            <w:r w:rsidRPr="00250017">
              <w:rPr>
                <w:rFonts w:eastAsia="맑은 고딕"/>
              </w:rPr>
              <w:t xml:space="preserve"> mg</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21.9</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-0.65</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Mo-doped FeS</w:t>
            </w:r>
            <w:r w:rsidRPr="00250017">
              <w:rPr>
                <w:rFonts w:eastAsia="맑은 고딕"/>
                <w:kern w:val="2"/>
                <w:vertAlign w:val="subscript"/>
              </w:rPr>
              <w:t>2</w:t>
            </w:r>
            <w:r w:rsidRPr="00250017">
              <w:rPr>
                <w:rFonts w:eastAsia="맑은 고딕"/>
                <w:kern w:val="2"/>
              </w:rPr>
              <w:fldChar w:fldCharType="begin"/>
            </w:r>
            <w:r w:rsidR="00EF0312">
              <w:rPr>
                <w:rFonts w:eastAsia="맑은 고딕"/>
                <w:kern w:val="2"/>
              </w:rPr>
              <w:instrText xml:space="preserve"> ADDIN EN.CITE &lt;EndNote&gt;&lt;Cite&gt;&lt;Author&gt;wang&lt;/Author&gt;&lt;Year&gt;2020&lt;/Year&gt;&lt;RecNum&gt;80&lt;/RecNum&gt;&lt;DisplayText&gt;&lt;style face="superscript"&gt;15&lt;/style&gt;&lt;/DisplayText&gt;&lt;record&gt;&lt;rec-number&gt;80&lt;/rec-number&gt;&lt;foreign-keys&gt;&lt;key app="EN" db-id="v9r55epa49ezwrerfv05rxzoafxrafzdw059" timestamp="1587120084"&gt;80&lt;/key&gt;&lt;/foreign-keys&gt;&lt;ref-type name="Journal Article"&gt;17&lt;/ref-type&gt;&lt;contributors&gt;&lt;authors&gt;&lt;author&gt;wang, haibin&lt;/author&gt;&lt;author&gt;Wang, Jiaqi&lt;/author&gt;&lt;author&gt;Zhang, Rui&lt;/author&gt;&lt;author&gt;Cheng, Chuanqi&lt;/author&gt;&lt;author&gt;Qiu, Kangwen&lt;/author&gt;&lt;author&gt;Yang, Yijie&lt;/author&gt;&lt;author&gt;Mao, Jing&lt;/author&gt;&lt;author&gt;Liu, Hui&lt;/author&gt;&lt;author&gt;Du, Miao&lt;/author&gt;&lt;author&gt;Dong, Cunku&lt;/author&gt;&lt;author&gt;Du, Xi-Wen&lt;/author&gt;&lt;/authors&gt;&lt;/contributors&gt;&lt;titles&gt;&lt;title&gt;Bionic Design of Mo (IV) Doped FeS2 Catalyst for Electroreduction of Dinitrogen to Ammonia&lt;/title&gt;&lt;secondary-title&gt;ACS Catalysis&lt;/secondary-title&gt;&lt;/titles&gt;&lt;periodical&gt;&lt;full-title&gt;ACS Catalysis&lt;/full-title&gt;&lt;abbr-1&gt;ACS Catal.&lt;/abbr-1&gt;&lt;/periodical&gt;&lt;pages&gt;&lt;style face="normal" font="default" size="100%"&gt; 4914&lt;/style&gt;&lt;style face="normal" font="default" charset="1" size="100%"&gt;−&lt;/style&gt;&lt;style face="normal" font="default" size="100%"&gt;4921&lt;/style&gt;&lt;/pages&gt;&lt;volume&gt;10&lt;/volume&gt;&lt;dates&gt;&lt;year&gt;2020&lt;/year&gt;&lt;/dates&gt;&lt;isbn&gt;2155-5435&lt;/isbn&gt;&lt;urls&gt;&lt;/urls&gt;&lt;/record&gt;&lt;/Cite&gt;&lt;/EndNote&gt;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15</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rPr>
            </w:pPr>
            <w:r w:rsidRPr="00250017">
              <w:rPr>
                <w:rFonts w:eastAsia="맑은 고딕"/>
              </w:rPr>
              <w:t xml:space="preserve">26.15 </w:t>
            </w:r>
            <w:r w:rsidRPr="00250017">
              <w:rPr>
                <w:rFonts w:eastAsia="AdvOT1ef757c0+03"/>
              </w:rPr>
              <w:t>μ</w:t>
            </w:r>
            <w:r w:rsidRPr="00250017">
              <w:rPr>
                <w:rFonts w:eastAsia="맑은 고딕"/>
              </w:rPr>
              <w:t>g h</w:t>
            </w:r>
            <w:r w:rsidRPr="00250017">
              <w:rPr>
                <w:rFonts w:eastAsia="맑은 고딕"/>
                <w:vertAlign w:val="superscript"/>
              </w:rPr>
              <w:t>-1</w:t>
            </w:r>
            <w:r w:rsidRPr="00250017">
              <w:rPr>
                <w:rFonts w:eastAsia="맑은 고딕"/>
              </w:rPr>
              <w:t xml:space="preserve"> mg</w:t>
            </w:r>
            <w:r w:rsidRPr="00250017">
              <w:rPr>
                <w:rFonts w:eastAsia="맑은 고딕"/>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14.41</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Defective TiO</w:t>
            </w:r>
            <w:r w:rsidRPr="00250017">
              <w:rPr>
                <w:rFonts w:eastAsia="맑은 고딕"/>
                <w:kern w:val="2"/>
                <w:vertAlign w:val="subscript"/>
              </w:rPr>
              <w:t>2</w:t>
            </w:r>
            <w:r w:rsidRPr="00F06566">
              <w:rPr>
                <w:rFonts w:eastAsia="맑은 고딕"/>
                <w:kern w:val="2"/>
              </w:rPr>
              <w:fldChar w:fldCharType="begin"/>
            </w:r>
            <w:r w:rsidR="00EF0312">
              <w:rPr>
                <w:rFonts w:eastAsia="맑은 고딕"/>
                <w:kern w:val="2"/>
              </w:rPr>
              <w:instrText xml:space="preserve"> ADDIN EN.CITE &lt;EndNote&gt;&lt;Cite&gt;&lt;Author&gt;Han&lt;/Author&gt;&lt;Year&gt;2019&lt;/Year&gt;&lt;RecNum&gt;57&lt;/RecNum&gt;&lt;DisplayText&gt;&lt;style face="superscript"&gt;16&lt;/style&gt;&lt;/DisplayText&gt;&lt;record&gt;&lt;rec-number&gt;57&lt;/rec-number&gt;&lt;foreign-keys&gt;&lt;key app="EN" db-id="v9r55epa49ezwrerfv05rxzoafxrafzdw059" timestamp="1585067114"&gt;57&lt;/key&gt;&lt;/foreign-keys&gt;&lt;ref-type name="Journal Article"&gt;17&lt;/ref-type&gt;&lt;contributors&gt;&lt;authors&gt;&lt;author&gt;Han, Zishan&lt;/author&gt;&lt;author&gt;Choi, Changhyeok&lt;/author&gt;&lt;author&gt;Hong, Song&lt;/author&gt;&lt;author&gt;Wu, Tai-Sing&lt;/author&gt;&lt;author&gt;Soo, Yun-Liang&lt;/author&gt;&lt;author&gt;Jung, Yousung&lt;/author&gt;&lt;author&gt;Qiu, Jieshan&lt;/author&gt;&lt;author&gt;Sun, Zhenyu&lt;/author&gt;&lt;/authors&gt;&lt;/contributors&gt;&lt;titles&gt;&lt;title&gt;&lt;style face="normal" font="default" size="100%"&gt;Activated TiO&lt;/style&gt;&lt;style face="subscript" font="default" size="100%"&gt;2&lt;/style&gt;&lt;style face="normal" font="default" size="100%"&gt; with tuned vacancy for efficient electrochemical nitrogen reduction&lt;/style&gt;&lt;/title&gt;&lt;secondary-title&gt;Applied Catalysis B: Environmental&lt;/secondary-title&gt;&lt;/titles&gt;&lt;periodical&gt;&lt;full-title&gt;Applied Catalysis B: Environmental&lt;/full-title&gt;&lt;abbr-1&gt;Appl. Catal. B&lt;/abbr-1&gt;&lt;/periodical&gt;&lt;pages&gt;117896&lt;/pages&gt;&lt;volume&gt;257&lt;/volume&gt;&lt;dates&gt;&lt;year&gt;2019&lt;/year&gt;&lt;/dates&gt;&lt;isbn&gt;0926-3373&lt;/isbn&gt;&lt;urls&gt;&lt;/urls&gt;&lt;/record&gt;&lt;/Cite&gt;&lt;/EndNote&gt;</w:instrText>
            </w:r>
            <w:r w:rsidRPr="00F06566">
              <w:rPr>
                <w:rFonts w:eastAsia="맑은 고딕"/>
                <w:kern w:val="2"/>
              </w:rPr>
              <w:fldChar w:fldCharType="separate"/>
            </w:r>
            <w:r w:rsidR="00EF0312" w:rsidRPr="00EF0312">
              <w:rPr>
                <w:rFonts w:eastAsia="맑은 고딕"/>
                <w:noProof/>
                <w:kern w:val="2"/>
                <w:vertAlign w:val="superscript"/>
              </w:rPr>
              <w:t>16</w:t>
            </w:r>
            <w:r w:rsidRPr="00F06566">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0.5 M H</w:t>
            </w:r>
            <w:r w:rsidRPr="00250017">
              <w:rPr>
                <w:rFonts w:eastAsia="맑은 고딕"/>
                <w:kern w:val="2"/>
                <w:vertAlign w:val="subscript"/>
              </w:rPr>
              <w:t>2</w:t>
            </w:r>
            <w:r w:rsidRPr="00250017">
              <w:rPr>
                <w:rFonts w:eastAsia="맑은 고딕"/>
                <w:kern w:val="2"/>
              </w:rPr>
              <w:t>SO</w:t>
            </w:r>
            <w:r w:rsidRPr="00250017">
              <w:rPr>
                <w:rFonts w:eastAsia="맑은 고딕"/>
                <w:kern w:val="2"/>
                <w:vertAlign w:val="subscript"/>
              </w:rPr>
              <w:t>4</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3.0 μg h</w:t>
            </w:r>
            <w:r w:rsidRPr="00250017">
              <w:rPr>
                <w:rFonts w:eastAsia="맑은 고딕"/>
                <w:kern w:val="2"/>
                <w:vertAlign w:val="superscript"/>
              </w:rPr>
              <w:t xml:space="preserve">-1 </w:t>
            </w:r>
            <w:r w:rsidRPr="00250017">
              <w:rPr>
                <w:rFonts w:eastAsia="맑은 고딕"/>
                <w:kern w:val="2"/>
              </w:rPr>
              <w:t>mg</w:t>
            </w:r>
            <w:r w:rsidRPr="00250017">
              <w:rPr>
                <w:rFonts w:eastAsia="맑은 고딕"/>
                <w:kern w:val="2"/>
                <w:vertAlign w:val="subscript"/>
              </w:rPr>
              <w:t>cat.</w:t>
            </w:r>
            <w:r w:rsidRPr="00250017">
              <w:rPr>
                <w:rFonts w:eastAsia="맑은 고딕"/>
                <w:kern w:val="2"/>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6.5</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-0.12</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ZIF-derived carbon</w:t>
            </w:r>
            <w:r w:rsidRPr="00250017">
              <w:rPr>
                <w:rFonts w:eastAsia="맑은 고딕"/>
                <w:kern w:val="2"/>
              </w:rPr>
              <w:fldChar w:fldCharType="begin"/>
            </w:r>
            <w:r w:rsidR="00EF0312">
              <w:rPr>
                <w:rFonts w:eastAsia="맑은 고딕"/>
                <w:kern w:val="2"/>
              </w:rPr>
              <w:instrText xml:space="preserve"> ADDIN EN.CITE &lt;EndNote&gt;&lt;Cite&gt;&lt;Author&gt;Mukherjee&lt;/Author&gt;&lt;Year&gt;2018&lt;/Year&gt;&lt;RecNum&gt;53&lt;/RecNum&gt;&lt;DisplayText&gt;&lt;style face="superscript"&gt;17&lt;/style&gt;&lt;/DisplayText&gt;&lt;record&gt;&lt;rec-number&gt;53&lt;/rec-number&gt;&lt;foreign-keys&gt;&lt;key app="EN" db-id="v9r55epa49ezwrerfv05rxzoafxrafzdw059" timestamp="1585066190"&gt;53&lt;/key&gt;&lt;/foreign-keys&gt;&lt;ref-type name="Journal Article"&gt;17&lt;/ref-type&gt;&lt;contributors&gt;&lt;authors&gt;&lt;author&gt;Mukherjee, Shreya&lt;/author&gt;&lt;author&gt;Cullen, David A&lt;/author&gt;&lt;author&gt;Karakalos, Stavros&lt;/author&gt;&lt;author&gt;Liu, Kexi&lt;/author&gt;&lt;author&gt;Zhang, Hao&lt;/author&gt;&lt;author&gt;Zhao, Shuai&lt;/author&gt;&lt;author&gt;Xu, Hui&lt;/author&gt;&lt;author&gt;More, Karren L&lt;/author&gt;&lt;author&gt;Wang, Guofeng&lt;/author&gt;&lt;author&gt;Wu, Gang&lt;/author&gt;&lt;/authors&gt;&lt;/contributors&gt;&lt;titles&gt;&lt;title&gt;&lt;style face="normal" font="default" size="100%"&gt;Metal-organic framework-derived nitrogen-doped highly disordered carbon for electrochemical ammonia synthesis using N&lt;/style&gt;&lt;style face="subscript" font="default" size="100%"&gt;2&lt;/style&gt;&lt;style face="normal" font="default" size="100%"&gt; and H&lt;/style&gt;&lt;style face="subscript" font="default" size="100%"&gt;2&lt;/style&gt;&lt;style face="normal" font="default" size="100%"&gt;O in alkaline electrolytes&lt;/style&gt;&lt;/title&gt;&lt;secondary-title&gt;Nano Energy&lt;/secondary-title&gt;&lt;/titles&gt;&lt;periodical&gt;&lt;full-title&gt;Nano Energy&lt;/full-title&gt;&lt;/periodical&gt;&lt;pages&gt;217-226&lt;/pages&gt;&lt;volume&gt;48&lt;/volume&gt;&lt;dates&gt;&lt;year&gt;2018&lt;/year&gt;&lt;/dates&gt;&lt;isbn&gt;2211-2855&lt;/isbn&gt;&lt;urls&gt;&lt;/urls&gt;&lt;/record&gt;&lt;/Cite&gt;&lt;/EndNote&gt;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17</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KOH</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3.4 × 10</w:t>
            </w:r>
            <w:r w:rsidRPr="00250017">
              <w:rPr>
                <w:rFonts w:eastAsia="맑은 고딕"/>
                <w:kern w:val="2"/>
                <w:vertAlign w:val="superscript"/>
              </w:rPr>
              <w:t>−6</w:t>
            </w:r>
            <w:r w:rsidRPr="00250017">
              <w:rPr>
                <w:rFonts w:eastAsia="맑은 고딕"/>
                <w:kern w:val="2"/>
              </w:rPr>
              <w:t xml:space="preserve"> mol cm</w:t>
            </w:r>
            <w:r w:rsidRPr="00250017">
              <w:rPr>
                <w:rFonts w:eastAsia="맑은 고딕"/>
                <w:kern w:val="2"/>
                <w:vertAlign w:val="superscript"/>
              </w:rPr>
              <w:t xml:space="preserve">-2 </w:t>
            </w:r>
            <w:r w:rsidRPr="00250017">
              <w:rPr>
                <w:rFonts w:eastAsia="맑은 고딕"/>
                <w:kern w:val="2"/>
              </w:rPr>
              <w:t>h</w:t>
            </w:r>
            <w:r w:rsidRPr="00250017">
              <w:rPr>
                <w:rFonts w:eastAsia="맑은 고딕"/>
                <w:kern w:val="2"/>
                <w:vertAlign w:val="superscript"/>
              </w:rPr>
              <w:t>−1</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10.2</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-0.3</w:t>
            </w:r>
          </w:p>
        </w:tc>
      </w:tr>
      <w:tr w:rsidR="00250017" w:rsidRPr="00250017" w:rsidTr="00F215BB">
        <w:trPr>
          <w:trHeight w:val="470"/>
        </w:trPr>
        <w:tc>
          <w:tcPr>
            <w:tcW w:w="2552" w:type="dxa"/>
            <w:tcBorders>
              <w:top w:val="nil"/>
              <w:left w:val="nil"/>
              <w:bottom w:val="nil"/>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B-doped graphene</w:t>
            </w:r>
            <w:r w:rsidRPr="00250017">
              <w:rPr>
                <w:rFonts w:eastAsia="맑은 고딕"/>
                <w:kern w:val="2"/>
              </w:rPr>
              <w:fldChar w:fldCharType="begin"/>
            </w:r>
            <w:r w:rsidR="00EF0312">
              <w:rPr>
                <w:rFonts w:eastAsia="맑은 고딕"/>
                <w:kern w:val="2"/>
              </w:rPr>
              <w:instrText xml:space="preserve"> ADDIN EN.CITE &lt;EndNote&gt;&lt;Cite&gt;&lt;Author&gt;Yu&lt;/Author&gt;&lt;Year&gt;2018&lt;/Year&gt;&lt;RecNum&gt;52&lt;/RecNum&gt;&lt;DisplayText&gt;&lt;style face="superscript"&gt;18&lt;/style&gt;&lt;/DisplayText&gt;&lt;record&gt;&lt;rec-number&gt;52&lt;/rec-number&gt;&lt;foreign-keys&gt;&lt;key app="EN" db-id="v9r55epa49ezwrerfv05rxzoafxrafzdw059" timestamp="1585066159"&gt;52&lt;/key&gt;&lt;/foreign-keys&gt;&lt;ref-type name="Journal Article"&gt;17&lt;/ref-type&gt;&lt;contributors&gt;&lt;authors&gt;&lt;author&gt;Yu, Xiaomin&lt;/author&gt;&lt;author&gt;Han, Peng&lt;/author&gt;&lt;author&gt;Wei, Zengxi&lt;/author&gt;&lt;author&gt;Huang, Linsong&lt;/author&gt;&lt;author&gt;Gu, Zhengxiang&lt;/author&gt;&lt;author&gt;Peng, Sijia&lt;/author&gt;&lt;author&gt;Ma, Jianmin&lt;/author&gt;&lt;author&gt;Zheng, Gengfeng&lt;/author&gt;&lt;/authors&gt;&lt;/contributors&gt;&lt;titles&gt;&lt;title&gt;&lt;style face="normal" font="default" size="100%"&gt;Boron-doped graphene for electrocatalytic N&lt;/style&gt;&lt;style face="subscript" font="default" size="100%"&gt;2&lt;/style&gt;&lt;style face="normal" font="default" size="100%"&gt; reduction&lt;/style&gt;&lt;/title&gt;&lt;secondary-title&gt;Joule&lt;/secondary-title&gt;&lt;/titles&gt;&lt;periodical&gt;&lt;full-title&gt;Joule&lt;/full-title&gt;&lt;/periodical&gt;&lt;pages&gt;1610-1622&lt;/pages&gt;&lt;volume&gt;2&lt;/volume&gt;&lt;number&gt;8&lt;/number&gt;&lt;dates&gt;&lt;year&gt;2018&lt;/year&gt;&lt;/dates&gt;&lt;isbn&gt;2542-4351&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18</w:t>
            </w:r>
            <w:r w:rsidRPr="00250017">
              <w:rPr>
                <w:rFonts w:eastAsia="맑은 고딕"/>
                <w:kern w:val="2"/>
              </w:rPr>
              <w:fldChar w:fldCharType="end"/>
            </w:r>
          </w:p>
        </w:tc>
        <w:tc>
          <w:tcPr>
            <w:tcW w:w="1701"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0.05 M H</w:t>
            </w:r>
            <w:r w:rsidRPr="00250017">
              <w:rPr>
                <w:rFonts w:eastAsia="맑은 고딕"/>
                <w:kern w:val="2"/>
                <w:vertAlign w:val="subscript"/>
              </w:rPr>
              <w:t>2</w:t>
            </w:r>
            <w:r w:rsidRPr="00250017">
              <w:rPr>
                <w:rFonts w:eastAsia="맑은 고딕"/>
                <w:kern w:val="2"/>
              </w:rPr>
              <w:t>SO</w:t>
            </w:r>
            <w:r w:rsidRPr="00250017">
              <w:rPr>
                <w:rFonts w:eastAsia="맑은 고딕"/>
                <w:kern w:val="2"/>
                <w:vertAlign w:val="subscript"/>
              </w:rPr>
              <w:t>4</w:t>
            </w:r>
          </w:p>
        </w:tc>
        <w:tc>
          <w:tcPr>
            <w:tcW w:w="269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9.8</w:t>
            </w:r>
            <w:r w:rsidRPr="00250017">
              <w:rPr>
                <w:rFonts w:eastAsia="맑은 고딕"/>
              </w:rPr>
              <w:t xml:space="preserve"> μ</w:t>
            </w:r>
            <w:r w:rsidRPr="00250017">
              <w:rPr>
                <w:rFonts w:eastAsia="맑은 고딕"/>
                <w:kern w:val="2"/>
              </w:rPr>
              <w:t>g h</w:t>
            </w:r>
            <w:r w:rsidRPr="00250017">
              <w:rPr>
                <w:rFonts w:eastAsia="맑은 고딕"/>
                <w:kern w:val="2"/>
                <w:vertAlign w:val="superscript"/>
              </w:rPr>
              <w:t>-1</w:t>
            </w:r>
            <w:r w:rsidRPr="00250017">
              <w:rPr>
                <w:rFonts w:eastAsia="맑은 고딕"/>
                <w:kern w:val="2"/>
              </w:rPr>
              <w:t xml:space="preserve"> cm</w:t>
            </w:r>
            <w:r w:rsidRPr="00250017">
              <w:rPr>
                <w:rFonts w:eastAsia="맑은 고딕"/>
                <w:kern w:val="2"/>
                <w:vertAlign w:val="superscript"/>
              </w:rPr>
              <w:t>-2</w:t>
            </w:r>
          </w:p>
        </w:tc>
        <w:tc>
          <w:tcPr>
            <w:tcW w:w="756"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10.8</w:t>
            </w:r>
          </w:p>
        </w:tc>
        <w:tc>
          <w:tcPr>
            <w:tcW w:w="1423" w:type="dxa"/>
            <w:tcBorders>
              <w:top w:val="nil"/>
              <w:left w:val="nil"/>
              <w:bottom w:val="nil"/>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-0.5</w:t>
            </w:r>
          </w:p>
        </w:tc>
      </w:tr>
      <w:tr w:rsidR="00250017" w:rsidRPr="00250017" w:rsidTr="00F215BB">
        <w:trPr>
          <w:trHeight w:val="470"/>
        </w:trPr>
        <w:tc>
          <w:tcPr>
            <w:tcW w:w="2552" w:type="dxa"/>
            <w:tcBorders>
              <w:top w:val="nil"/>
              <w:left w:val="nil"/>
              <w:bottom w:val="single" w:sz="4" w:space="0" w:color="auto"/>
              <w:right w:val="nil"/>
            </w:tcBorders>
            <w:shd w:val="clear" w:color="auto" w:fill="auto"/>
            <w:vAlign w:val="center"/>
          </w:tcPr>
          <w:p w:rsidR="00250017" w:rsidRPr="00250017" w:rsidRDefault="00250017" w:rsidP="00EF0312">
            <w:pPr>
              <w:jc w:val="center"/>
              <w:rPr>
                <w:rFonts w:eastAsia="맑은 고딕"/>
                <w:kern w:val="2"/>
              </w:rPr>
            </w:pPr>
            <w:r w:rsidRPr="00250017">
              <w:rPr>
                <w:rFonts w:eastAsia="맑은 고딕"/>
                <w:kern w:val="2"/>
              </w:rPr>
              <w:t>DrGO</w:t>
            </w:r>
            <w:r w:rsidRPr="00250017">
              <w:rPr>
                <w:rFonts w:eastAsia="맑은 고딕"/>
                <w:kern w:val="2"/>
              </w:rPr>
              <w:fldChar w:fldCharType="begin"/>
            </w:r>
            <w:r w:rsidR="00EF0312">
              <w:rPr>
                <w:rFonts w:eastAsia="맑은 고딕"/>
                <w:kern w:val="2"/>
              </w:rPr>
              <w:instrText xml:space="preserve"> ADDIN EN.CITE &lt;EndNote&gt;&lt;Cite&gt;&lt;Author&gt;Zhang&lt;/Author&gt;&lt;Year&gt;2020&lt;/Year&gt;&lt;RecNum&gt;56&lt;/RecNum&gt;&lt;DisplayText&gt;&lt;style face="superscript"&gt;19&lt;/style&gt;&lt;/DisplayText&gt;&lt;record&gt;&lt;rec-number&gt;56&lt;/rec-number&gt;&lt;foreign-keys&gt;&lt;key app="EN" db-id="v9r55epa49ezwrerfv05rxzoafxrafzdw059" timestamp="1585066973"&gt;56&lt;/key&gt;&lt;/foreign-keys&gt;&lt;ref-type name="Journal Article"&gt;17&lt;/ref-type&gt;&lt;contributors&gt;&lt;authors&gt;&lt;author&gt;Zhang, Mingli&lt;/author&gt;&lt;author&gt;Choi, Changhyeok&lt;/author&gt;&lt;author&gt;Huo, Rupeng&lt;/author&gt;&lt;author&gt;Gu, Geun Ho&lt;/author&gt;&lt;author&gt;Hong, Song&lt;/author&gt;&lt;author&gt;Yan, Chao&lt;/author&gt;&lt;author&gt;Xu, Suying&lt;/author&gt;&lt;author&gt;Robertson, Alex W&lt;/author&gt;&lt;author&gt;Qiu, Jieshan&lt;/author&gt;&lt;author&gt;Jung, Yousung&lt;/author&gt;&lt;author&gt;Sun, Zhenyu&lt;/author&gt;&lt;/authors&gt;&lt;/contributors&gt;&lt;titles&gt;&lt;title&gt;Reduced graphene oxides with engineered defects enable efficient electrochemical reduction of dinitrogen to ammonia in wide pH range&lt;/title&gt;&lt;secondary-title&gt;Nano Energy&lt;/secondary-title&gt;&lt;/titles&gt;&lt;periodical&gt;&lt;full-title&gt;Nano Energy&lt;/full-title&gt;&lt;/periodical&gt;&lt;pages&gt;104323&lt;/pages&gt;&lt;volume&gt;68&lt;/volume&gt;&lt;dates&gt;&lt;year&gt;2020&lt;/year&gt;&lt;/dates&gt;&lt;isbn&gt;2211-2855&lt;/isbn&gt;&lt;urls&gt;&lt;/urls&gt;&lt;/record&gt;&lt;/Cite&gt;&lt;/EndNote&gt;</w:instrText>
            </w:r>
            <w:r w:rsidRPr="00250017">
              <w:rPr>
                <w:rFonts w:eastAsia="맑은 고딕"/>
                <w:kern w:val="2"/>
              </w:rPr>
              <w:fldChar w:fldCharType="separate"/>
            </w:r>
            <w:r w:rsidR="00EF0312" w:rsidRPr="00EF0312">
              <w:rPr>
                <w:rFonts w:eastAsia="맑은 고딕"/>
                <w:noProof/>
                <w:kern w:val="2"/>
                <w:vertAlign w:val="superscript"/>
              </w:rPr>
              <w:t>19</w:t>
            </w:r>
            <w:r w:rsidRPr="00250017">
              <w:rPr>
                <w:rFonts w:eastAsia="맑은 고딕"/>
                <w:kern w:val="2"/>
              </w:rPr>
              <w:fldChar w:fldCharType="end"/>
            </w:r>
          </w:p>
        </w:tc>
        <w:tc>
          <w:tcPr>
            <w:tcW w:w="1701" w:type="dxa"/>
            <w:tcBorders>
              <w:top w:val="nil"/>
              <w:left w:val="nil"/>
              <w:bottom w:val="single" w:sz="4" w:space="0" w:color="auto"/>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 M HCl</w:t>
            </w:r>
          </w:p>
        </w:tc>
        <w:tc>
          <w:tcPr>
            <w:tcW w:w="2693" w:type="dxa"/>
            <w:tcBorders>
              <w:top w:val="nil"/>
              <w:left w:val="nil"/>
              <w:bottom w:val="single" w:sz="4" w:space="0" w:color="auto"/>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7.3 μg h</w:t>
            </w:r>
            <w:r w:rsidRPr="00250017">
              <w:rPr>
                <w:rFonts w:eastAsia="맑은 고딕"/>
                <w:kern w:val="2"/>
                <w:vertAlign w:val="superscript"/>
              </w:rPr>
              <w:t>-1</w:t>
            </w:r>
            <w:r w:rsidRPr="00250017">
              <w:rPr>
                <w:rFonts w:eastAsia="맑은 고딕"/>
                <w:kern w:val="2"/>
              </w:rPr>
              <w:t>mg</w:t>
            </w:r>
            <w:r w:rsidRPr="00250017">
              <w:rPr>
                <w:rFonts w:eastAsia="맑은 고딕"/>
                <w:kern w:val="2"/>
                <w:vertAlign w:val="superscript"/>
              </w:rPr>
              <w:t>-1</w:t>
            </w:r>
          </w:p>
        </w:tc>
        <w:tc>
          <w:tcPr>
            <w:tcW w:w="756" w:type="dxa"/>
            <w:tcBorders>
              <w:top w:val="nil"/>
              <w:left w:val="nil"/>
              <w:bottom w:val="single" w:sz="4" w:space="0" w:color="auto"/>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22.0</w:t>
            </w:r>
          </w:p>
        </w:tc>
        <w:tc>
          <w:tcPr>
            <w:tcW w:w="1423" w:type="dxa"/>
            <w:tcBorders>
              <w:top w:val="nil"/>
              <w:left w:val="nil"/>
              <w:bottom w:val="single" w:sz="4" w:space="0" w:color="auto"/>
              <w:right w:val="nil"/>
            </w:tcBorders>
            <w:shd w:val="clear" w:color="auto" w:fill="auto"/>
            <w:vAlign w:val="center"/>
          </w:tcPr>
          <w:p w:rsidR="00250017" w:rsidRPr="00250017" w:rsidRDefault="00250017" w:rsidP="00250017">
            <w:pPr>
              <w:jc w:val="center"/>
              <w:rPr>
                <w:rFonts w:eastAsia="맑은 고딕"/>
                <w:kern w:val="2"/>
              </w:rPr>
            </w:pPr>
            <w:r w:rsidRPr="00250017">
              <w:rPr>
                <w:rFonts w:eastAsia="맑은 고딕"/>
                <w:kern w:val="2"/>
              </w:rPr>
              <w:t>-0.116</w:t>
            </w:r>
          </w:p>
        </w:tc>
      </w:tr>
    </w:tbl>
    <w:p w:rsidR="00250017" w:rsidRPr="00250017" w:rsidRDefault="00250017" w:rsidP="00250017">
      <w:pPr>
        <w:pStyle w:val="P1"/>
        <w:spacing w:line="480" w:lineRule="auto"/>
        <w:rPr>
          <w:rFonts w:ascii="Times New Roman" w:hAnsi="Times New Roman"/>
          <w:sz w:val="24"/>
        </w:rPr>
      </w:pPr>
    </w:p>
    <w:p w:rsidR="00250017" w:rsidRPr="00250017" w:rsidRDefault="00250017" w:rsidP="00250017">
      <w:pPr>
        <w:pStyle w:val="P1"/>
        <w:spacing w:line="480" w:lineRule="auto"/>
        <w:rPr>
          <w:rFonts w:ascii="Times New Roman" w:hAnsi="Times New Roman"/>
          <w:sz w:val="24"/>
        </w:rPr>
      </w:pPr>
    </w:p>
    <w:p w:rsidR="00250017" w:rsidRPr="00250017" w:rsidRDefault="00250017" w:rsidP="00250017">
      <w:pPr>
        <w:pStyle w:val="P1"/>
        <w:spacing w:line="480" w:lineRule="auto"/>
        <w:rPr>
          <w:rFonts w:ascii="Times New Roman" w:hAnsi="Times New Roman"/>
          <w:sz w:val="24"/>
        </w:rPr>
      </w:pPr>
    </w:p>
    <w:p w:rsidR="00250017" w:rsidRPr="00250017" w:rsidRDefault="00250017" w:rsidP="00250017">
      <w:pPr>
        <w:pStyle w:val="P1"/>
        <w:spacing w:line="480" w:lineRule="auto"/>
        <w:rPr>
          <w:rFonts w:ascii="Times New Roman" w:hAnsi="Times New Roman"/>
          <w:sz w:val="24"/>
        </w:rPr>
      </w:pPr>
    </w:p>
    <w:p w:rsidR="00250017" w:rsidRPr="00250017" w:rsidRDefault="00EF5910" w:rsidP="00EF5910">
      <w:pPr>
        <w:pStyle w:val="10"/>
      </w:pPr>
      <w:r>
        <w:lastRenderedPageBreak/>
        <w:t>Supplementary Note 2. Effect of pH on barrier for proton-coupled electron transfer step.</w:t>
      </w:r>
    </w:p>
    <w:p w:rsidR="00250017" w:rsidRPr="00250017" w:rsidRDefault="00250017" w:rsidP="00250017">
      <w:pPr>
        <w:spacing w:line="480" w:lineRule="auto"/>
      </w:pPr>
      <w:r w:rsidRPr="00250017">
        <w:t>The chemical potential of H</w:t>
      </w:r>
      <w:r w:rsidRPr="00250017">
        <w:rPr>
          <w:vertAlign w:val="superscript"/>
        </w:rPr>
        <w:t>+</w:t>
      </w:r>
      <w:r w:rsidRPr="00250017">
        <w:t xml:space="preserve"> is obtained from the CHE relation</w:t>
      </w:r>
      <w:r w:rsidRPr="00250017">
        <w:fldChar w:fldCharType="begin"/>
      </w:r>
      <w:r w:rsidR="00EF0312">
        <w:instrText xml:space="preserve"> ADDIN EN.CITE &lt;EndNote&gt;&lt;Cite&gt;&lt;Author&gt;Lindgren&lt;/Author&gt;&lt;Year&gt;2019&lt;/Year&gt;&lt;RecNum&gt;42&lt;/RecNum&gt;&lt;DisplayText&gt;&lt;style face="superscript"&gt;20,21&lt;/style&gt;&lt;/DisplayText&gt;&lt;record&gt;&lt;rec-number&gt;42&lt;/rec-number&gt;&lt;foreign-keys&gt;&lt;key app="EN" db-id="v9r55epa49ezwrerfv05rxzoafxrafzdw059" timestamp="1585056925"&gt;42&lt;/key&gt;&lt;/foreign-keys&gt;&lt;ref-type name="Journal Article"&gt;17&lt;/ref-type&gt;&lt;contributors&gt;&lt;authors&gt;&lt;author&gt;Lindgren, Per&lt;/author&gt;&lt;author&gt;Kastlunger, Georg&lt;/author&gt;&lt;author&gt;Peterson, Andrew A&lt;/author&gt;&lt;/authors&gt;&lt;/contributors&gt;&lt;titles&gt;&lt;title&gt;A Challenge to the G</w:instrText>
      </w:r>
      <w:r w:rsidR="00EF0312">
        <w:rPr>
          <w:rFonts w:ascii="바탕" w:eastAsia="바탕" w:hAnsi="바탕" w:cs="바탕" w:hint="eastAsia"/>
        </w:rPr>
        <w:instrText>∼</w:instrText>
      </w:r>
      <w:r w:rsidR="00EF0312">
        <w:instrText xml:space="preserve"> 0 Interpretation of Hydrogen Evolution&lt;/title&gt;&lt;secondary-title&gt;ACS Catalysis&lt;/secondary-title&gt;&lt;/titles&gt;&lt;periodical&gt;&lt;full-title&gt;ACS Catalysis&lt;/full-title&gt;&lt;abbr-1&gt;ACS Catal.&lt;/abbr-1&gt;&lt;/periodical&gt;&lt;pages&gt;121-128&lt;/pages&gt;&lt;volume&gt;10&lt;/volume&gt;&lt;dates&gt;&lt;year&gt;2019&lt;/year&gt;&lt;/dates&gt;&lt;isbn&gt;2155-5435&lt;/isbn&gt;&lt;urls&gt;&lt;/urls&gt;&lt;/record&gt;&lt;/Cite&gt;&lt;Cite&gt;&lt;Author&gt;Hörmann&lt;/Author&gt;&lt;Year&gt;2019&lt;/Year&gt;&lt;RecNum&gt;44&lt;/RecNum&gt;&lt;record&gt;&lt;rec-number&gt;44&lt;/rec-number&gt;&lt;foreign-keys&gt;&lt;key app="EN" db-id="v9r55epa49ezwrerfv05rxzoafxrafzdw059" timestamp="1585057188"&gt;44&lt;/key&gt;&lt;/foreign-keys&gt;&lt;ref-type name="Journal Article"&gt;17&lt;/ref-type&gt;&lt;contributors&gt;&lt;authors&gt;&lt;author&gt;Hörmann, Nicolas G&lt;/author&gt;&lt;author&gt;Andreussi, Oliviero&lt;/author&gt;&lt;author&gt;Marzari, Nicola&lt;/author&gt;&lt;/authors&gt;&lt;/contributors&gt;&lt;titles&gt;&lt;title&gt;Grand canonical simulations of electrochemical interfaces in implicit solvation models&lt;/title&gt;&lt;secondary-title&gt;The Journal of chemical physics&lt;/secondary-title&gt;&lt;/titles&gt;&lt;periodical&gt;&lt;full-title&gt;The Journal of Chemical Physics&lt;/full-title&gt;&lt;abbr-1&gt;J. Chem. Phys.&lt;/abbr-1&gt;&lt;/periodical&gt;&lt;pages&gt;041730&lt;/pages&gt;&lt;volume&gt;150&lt;/volume&gt;&lt;number&gt;4&lt;/number&gt;&lt;dates&gt;&lt;year&gt;2019&lt;/year&gt;&lt;/dates&gt;&lt;isbn&gt;0021-9606&lt;/isbn&gt;&lt;urls&gt;&lt;/urls&gt;&lt;/record&gt;&lt;/Cite&gt;&lt;/EndNote&gt;</w:instrText>
      </w:r>
      <w:r w:rsidRPr="00250017">
        <w:fldChar w:fldCharType="separate"/>
      </w:r>
      <w:r w:rsidR="00EF0312" w:rsidRPr="00EF0312">
        <w:rPr>
          <w:noProof/>
          <w:vertAlign w:val="superscript"/>
        </w:rPr>
        <w:t>20,21</w:t>
      </w:r>
      <w:r w:rsidRPr="00250017">
        <w:fldChar w:fldCharType="end"/>
      </w:r>
      <w:r w:rsidR="00F06566">
        <w:t>.</w:t>
      </w:r>
    </w:p>
    <w:p w:rsidR="00250017" w:rsidRPr="00250017" w:rsidRDefault="00250017" w:rsidP="00250017">
      <w:pPr>
        <w:spacing w:line="480" w:lineRule="auto"/>
        <w:jc w:val="center"/>
      </w:pPr>
      <m:oMath>
        <m:r>
          <w:rPr>
            <w:rFonts w:ascii="Cambria Math" w:hAnsi="Cambria Math"/>
          </w:rPr>
          <m:t>μ</m:t>
        </m:r>
        <m:d>
          <m:dPr>
            <m:ctrlPr>
              <w:rPr>
                <w:rFonts w:ascii="Cambria Math" w:hAnsi="Cambria Math"/>
              </w:rPr>
            </m:ctrlPr>
          </m:dPr>
          <m:e>
            <m:sSup>
              <m:sSupPr>
                <m:ctrlPr>
                  <w:rPr>
                    <w:rFonts w:ascii="Cambria Math" w:hAnsi="Cambria Math"/>
                    <w:i/>
                  </w:rPr>
                </m:ctrlPr>
              </m:sSupPr>
              <m:e>
                <m:r>
                  <m:rPr>
                    <m:sty m:val="p"/>
                  </m:rPr>
                  <w:rPr>
                    <w:rFonts w:ascii="Cambria Math" w:hAnsi="Cambria Math"/>
                  </w:rPr>
                  <m:t>H</m:t>
                </m:r>
              </m:e>
              <m:sup>
                <m:r>
                  <w:rPr>
                    <w:rFonts w:ascii="Cambria Math" w:hAnsi="Cambria Math"/>
                  </w:rPr>
                  <m:t>+</m:t>
                </m:r>
              </m:sup>
            </m:sSup>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μ</m:t>
        </m:r>
        <m:d>
          <m:dPr>
            <m:ctrlPr>
              <w:rPr>
                <w:rFonts w:ascii="Cambria Math" w:hAnsi="Cambria Math"/>
              </w:rPr>
            </m:ctrlPr>
          </m:dPr>
          <m:e>
            <m:sSub>
              <m:sSubPr>
                <m:ctrlPr>
                  <w:rPr>
                    <w:rFonts w:ascii="Cambria Math" w:hAnsi="Cambria Math"/>
                    <w:i/>
                  </w:rPr>
                </m:ctrlPr>
              </m:sSubPr>
              <m:e>
                <m:r>
                  <m:rPr>
                    <m:sty m:val="p"/>
                  </m:rPr>
                  <w:rPr>
                    <w:rFonts w:ascii="Cambria Math" w:hAnsi="Cambria Math"/>
                  </w:rPr>
                  <m:t>H</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U</m:t>
            </m:r>
          </m:e>
          <m:sub>
            <m:r>
              <m:rPr>
                <m:sty m:val="p"/>
              </m:rPr>
              <w:rPr>
                <w:rFonts w:ascii="Cambria Math" w:hAnsi="Cambria Math"/>
              </w:rPr>
              <m:t>SHE</m:t>
            </m:r>
          </m:sub>
        </m:sSub>
        <m:r>
          <w:rPr>
            <w:rFonts w:ascii="Cambria Math" w:hAnsi="Cambria Math"/>
          </w:rPr>
          <m:t>-0.059</m:t>
        </m:r>
        <m:r>
          <m:rPr>
            <m:sty m:val="p"/>
          </m:rPr>
          <w:rPr>
            <w:rFonts w:ascii="Cambria Math" w:hAnsi="Cambria Math"/>
          </w:rPr>
          <m:t>pH</m:t>
        </m:r>
      </m:oMath>
      <w:r w:rsidRPr="00250017">
        <w:t xml:space="preserve"> </w:t>
      </w:r>
      <w:r w:rsidR="000B20EB">
        <w:rPr>
          <w:b/>
        </w:rPr>
        <w:t>(1</w:t>
      </w:r>
      <w:r w:rsidRPr="00250017">
        <w:rPr>
          <w:b/>
        </w:rPr>
        <w:t>)</w:t>
      </w:r>
    </w:p>
    <w:p w:rsidR="00250017" w:rsidRDefault="00250017" w:rsidP="00250017">
      <w:pPr>
        <w:spacing w:line="480" w:lineRule="auto"/>
      </w:pPr>
      <w:r w:rsidRPr="00250017">
        <w:t xml:space="preserve">where the </w:t>
      </w:r>
      <w:r w:rsidRPr="00250017">
        <w:rPr>
          <w:rFonts w:eastAsia="맑은 고딕"/>
          <w:i/>
        </w:rPr>
        <w:t>μ</w:t>
      </w:r>
      <w:r w:rsidRPr="00250017">
        <w:t>(H</w:t>
      </w:r>
      <w:r w:rsidRPr="00250017">
        <w:rPr>
          <w:vertAlign w:val="subscript"/>
        </w:rPr>
        <w:t>2</w:t>
      </w:r>
      <w:r w:rsidRPr="00250017">
        <w:t>) is equal to the Gibbs free energy of H</w:t>
      </w:r>
      <w:r w:rsidRPr="00250017">
        <w:rPr>
          <w:vertAlign w:val="subscript"/>
        </w:rPr>
        <w:t>2</w:t>
      </w:r>
      <w:r w:rsidRPr="00250017">
        <w:t xml:space="preserve"> gas at 1 bar.</w:t>
      </w:r>
    </w:p>
    <w:p w:rsidR="00F85238" w:rsidRDefault="00F85238" w:rsidP="00250017">
      <w:pPr>
        <w:spacing w:line="480" w:lineRule="auto"/>
      </w:pPr>
      <w:r>
        <w:t xml:space="preserve">When pH ≠ 0, we convert the SHE scale electrode potential </w:t>
      </w:r>
      <w:r w:rsidR="0039435B">
        <w:t xml:space="preserve">into the </w:t>
      </w:r>
      <w:r>
        <w:t>RHE scale by</w:t>
      </w:r>
    </w:p>
    <w:p w:rsidR="00F85238" w:rsidRPr="00250017" w:rsidRDefault="00F85238" w:rsidP="00F85238">
      <w:pPr>
        <w:spacing w:line="480" w:lineRule="auto"/>
        <w:jc w:val="center"/>
      </w:pPr>
      <w:r w:rsidRPr="00F85238">
        <w:rPr>
          <w:i/>
        </w:rPr>
        <w:t>U</w:t>
      </w:r>
      <w:r>
        <w:t xml:space="preserve"> (vs. RHE) = </w:t>
      </w:r>
      <w:r w:rsidRPr="00F85238">
        <w:rPr>
          <w:i/>
        </w:rPr>
        <w:t>U</w:t>
      </w:r>
      <w:r>
        <w:t xml:space="preserve"> (vs. SHE) + 0.059 pH </w:t>
      </w:r>
      <w:r>
        <w:rPr>
          <w:b/>
        </w:rPr>
        <w:t>(</w:t>
      </w:r>
      <w:r w:rsidR="000B20EB">
        <w:rPr>
          <w:b/>
        </w:rPr>
        <w:t>2</w:t>
      </w:r>
      <w:r w:rsidRPr="00250017">
        <w:rPr>
          <w:b/>
        </w:rPr>
        <w:t>)</w:t>
      </w:r>
    </w:p>
    <w:p w:rsidR="00F85238" w:rsidRDefault="0039435B" w:rsidP="00250017">
      <w:pPr>
        <w:spacing w:line="480" w:lineRule="auto"/>
      </w:pPr>
      <w:r w:rsidRPr="00DE54E7">
        <w:t xml:space="preserve">Before </w:t>
      </w:r>
      <w:r>
        <w:t xml:space="preserve">proceeding </w:t>
      </w:r>
      <w:r w:rsidRPr="00DE54E7">
        <w:t xml:space="preserve">the electrochemical reaction at the surface-electrolyte interface, the proton </w:t>
      </w:r>
      <w:r>
        <w:t>(H</w:t>
      </w:r>
      <w:r w:rsidRPr="00DE54E7">
        <w:rPr>
          <w:vertAlign w:val="superscript"/>
        </w:rPr>
        <w:t>+</w:t>
      </w:r>
      <w:r>
        <w:t xml:space="preserve">) </w:t>
      </w:r>
      <w:r w:rsidRPr="00DE54E7">
        <w:t>must be brought from somewhere in the bulk electrolyte to near the surface</w:t>
      </w:r>
      <w:r>
        <w:t xml:space="preserve"> (Helmholtz plane). This step is known as a proton-shuttling step. The proton-shuttling accompanies fractional charge transfer and reaction energy. </w:t>
      </w:r>
      <w:r w:rsidRPr="00DE54E7">
        <w:t xml:space="preserve">Thus, we </w:t>
      </w:r>
      <w:r>
        <w:t>chose reference state as * + H</w:t>
      </w:r>
      <w:r w:rsidRPr="00DE54E7">
        <w:rPr>
          <w:vertAlign w:val="superscript"/>
        </w:rPr>
        <w:t>+</w:t>
      </w:r>
      <w:r>
        <w:t>(</w:t>
      </w:r>
      <w:r w:rsidR="00EA0D8A">
        <w:t>bulk</w:t>
      </w:r>
      <w:r>
        <w:t>) rather than * + H</w:t>
      </w:r>
      <w:r w:rsidRPr="00DE54E7">
        <w:rPr>
          <w:vertAlign w:val="superscript"/>
        </w:rPr>
        <w:t>+</w:t>
      </w:r>
      <w:r w:rsidR="00EA0D8A">
        <w:t>(</w:t>
      </w:r>
      <w:r>
        <w:t xml:space="preserve">HP) in </w:t>
      </w:r>
      <w:r w:rsidRPr="00DE54E7">
        <w:t>calculating ∆</w:t>
      </w:r>
      <w:r w:rsidRPr="00DE54E7">
        <w:rPr>
          <w:i/>
        </w:rPr>
        <w:t>G</w:t>
      </w:r>
      <w:r w:rsidRPr="00DE54E7">
        <w:rPr>
          <w:vertAlign w:val="subscript"/>
        </w:rPr>
        <w:t>a</w:t>
      </w:r>
      <w:r w:rsidRPr="00DE54E7">
        <w:rPr>
          <w:rFonts w:eastAsia="맑은 고딕"/>
          <w:vertAlign w:val="superscript"/>
        </w:rPr>
        <w:t>‡</w:t>
      </w:r>
      <w:r w:rsidRPr="00DE54E7">
        <w:t xml:space="preserve">(*H) and </w:t>
      </w:r>
      <w:r w:rsidRPr="00482AC0">
        <w:t>∆</w:t>
      </w:r>
      <w:r w:rsidRPr="00482AC0">
        <w:rPr>
          <w:i/>
        </w:rPr>
        <w:t>G</w:t>
      </w:r>
      <w:r w:rsidRPr="00482AC0">
        <w:t>(*H), where the H</w:t>
      </w:r>
      <w:r w:rsidRPr="00482AC0">
        <w:rPr>
          <w:vertAlign w:val="superscript"/>
        </w:rPr>
        <w:t>+</w:t>
      </w:r>
      <w:r w:rsidRPr="00482AC0">
        <w:t>(</w:t>
      </w:r>
      <w:r w:rsidR="00EA0D8A">
        <w:t>bulk</w:t>
      </w:r>
      <w:r w:rsidRPr="00482AC0">
        <w:t>) and H</w:t>
      </w:r>
      <w:r w:rsidRPr="00482AC0">
        <w:rPr>
          <w:vertAlign w:val="superscript"/>
        </w:rPr>
        <w:t>+</w:t>
      </w:r>
      <w:r w:rsidRPr="00482AC0">
        <w:t>(HP) represent H</w:t>
      </w:r>
      <w:r w:rsidRPr="00482AC0">
        <w:rPr>
          <w:vertAlign w:val="superscript"/>
        </w:rPr>
        <w:t>+</w:t>
      </w:r>
      <w:r w:rsidRPr="00482AC0">
        <w:t xml:space="preserve"> in </w:t>
      </w:r>
      <w:r w:rsidR="00EA0D8A">
        <w:t xml:space="preserve">bulk electrolyte </w:t>
      </w:r>
      <w:r w:rsidRPr="00482AC0">
        <w:t>and H</w:t>
      </w:r>
      <w:r w:rsidRPr="00482AC0">
        <w:rPr>
          <w:vertAlign w:val="superscript"/>
        </w:rPr>
        <w:t>+</w:t>
      </w:r>
      <w:r>
        <w:t xml:space="preserve"> in </w:t>
      </w:r>
      <w:r w:rsidR="00EA0D8A">
        <w:t>Helmholtz plane, respectively</w:t>
      </w:r>
      <w:r>
        <w:fldChar w:fldCharType="begin"/>
      </w:r>
      <w:r w:rsidR="00EF0312">
        <w:instrText xml:space="preserve"> ADDIN EN.CITE &lt;EndNote&gt;&lt;Cite&gt;&lt;Author&gt;Lindgren&lt;/Author&gt;&lt;Year&gt;2019&lt;/Year&gt;&lt;RecNum&gt;42&lt;/RecNum&gt;&lt;DisplayText&gt;&lt;style face="superscript"&gt;20,22&lt;/style&gt;&lt;/DisplayText&gt;&lt;record&gt;&lt;rec-number&gt;42&lt;/rec-number&gt;&lt;foreign-keys&gt;&lt;key app="EN" db-id="v9r55epa49ezwrerfv05rxzoafxrafzdw059" timestamp="1585056925"&gt;42&lt;/key&gt;&lt;/foreign-keys&gt;&lt;ref-type name="Journal Article"&gt;17&lt;/ref-type&gt;&lt;contributors&gt;&lt;authors&gt;&lt;author&gt;Lindgren, Per&lt;/author&gt;&lt;author&gt;Kastlunger, Georg&lt;/author&gt;&lt;author&gt;Peterson, Andrew A&lt;/author&gt;&lt;/authors&gt;&lt;/contributors&gt;&lt;titles&gt;&lt;title&gt;A Challenge to the G</w:instrText>
      </w:r>
      <w:r w:rsidR="00EF0312">
        <w:rPr>
          <w:rFonts w:ascii="바탕" w:eastAsia="바탕" w:hAnsi="바탕" w:cs="바탕" w:hint="eastAsia"/>
        </w:rPr>
        <w:instrText>∼</w:instrText>
      </w:r>
      <w:r w:rsidR="00EF0312">
        <w:instrText xml:space="preserve"> 0 Interpretation of Hydrogen Evolution&lt;/title&gt;&lt;secondary-title&gt;ACS Catalysis&lt;/secondary-title&gt;&lt;/titles&gt;&lt;periodical&gt;&lt;full-title&gt;ACS Catalysis&lt;/full-title&gt;&lt;abbr-1&gt;ACS Catal.&lt;/abbr-1&gt;&lt;/periodical&gt;&lt;pages&gt;121-128&lt;/pages&gt;&lt;volume&gt;10&lt;/volume&gt;&lt;dates&gt;&lt;year&gt;2019&lt;/year&gt;&lt;/dates&gt;&lt;isbn&gt;2155-5435&lt;/isbn&gt;&lt;urls&gt;&lt;/urls&gt;&lt;/record&gt;&lt;/Cite&gt;&lt;Cite&gt;&lt;Author&gt;Lamoureux&lt;/Author&gt;&lt;Year&gt;2019&lt;/Year&gt;&lt;RecNum&gt;43&lt;/RecNum&gt;&lt;record&gt;&lt;rec-number&gt;43&lt;/rec-number&gt;&lt;foreign-keys&gt;&lt;key app="EN" db-id="v9r55epa49ezwrerfv05rxzoafxrafzdw059" timestamp="1585056994"&gt;43&lt;/key&gt;&lt;/foreign-keys&gt;&lt;ref-type name="Journal Article"&gt;17&lt;/ref-type&gt;&lt;contributors&gt;&lt;authors&gt;&lt;author&gt;Lamoureux, Philomena Schlexer&lt;/author&gt;&lt;author&gt;Singh, Aayush R&lt;/author&gt;&lt;author&gt;Chan, Karen&lt;/author&gt;&lt;/authors&gt;&lt;/contributors&gt;&lt;titles&gt;&lt;title&gt;pH effects on hydrogen evolution and oxidation over Pt (111): Insights from first-principles&lt;/title&gt;&lt;secondary-title&gt;Acs Catalysis&lt;/secondary-title&gt;&lt;/titles&gt;&lt;periodical&gt;&lt;full-title&gt;ACS Catalysis&lt;/full-title&gt;&lt;abbr-1&gt;ACS Catal.&lt;/abbr-1&gt;&lt;/periodical&gt;&lt;pages&gt;6194-6201&lt;/pages&gt;&lt;volume&gt;9&lt;/volume&gt;&lt;number&gt;7&lt;/number&gt;&lt;dates&gt;&lt;year&gt;2019&lt;/year&gt;&lt;/dates&gt;&lt;isbn&gt;2155-5435&lt;/isbn&gt;&lt;urls&gt;&lt;/urls&gt;&lt;/record&gt;&lt;/Cite&gt;&lt;/EndNote&gt;</w:instrText>
      </w:r>
      <w:r>
        <w:fldChar w:fldCharType="separate"/>
      </w:r>
      <w:r w:rsidR="00EF0312" w:rsidRPr="00EF0312">
        <w:rPr>
          <w:noProof/>
          <w:vertAlign w:val="superscript"/>
        </w:rPr>
        <w:t>20,22</w:t>
      </w:r>
      <w:r>
        <w:fldChar w:fldCharType="end"/>
      </w:r>
      <w:r>
        <w:t>.</w:t>
      </w:r>
      <w:r w:rsidRPr="00482AC0">
        <w:t xml:space="preserve"> In the cases of calculating ∆</w:t>
      </w:r>
      <w:r w:rsidRPr="00482AC0">
        <w:rPr>
          <w:i/>
        </w:rPr>
        <w:t>G</w:t>
      </w:r>
      <w:r w:rsidRPr="00482AC0">
        <w:rPr>
          <w:vertAlign w:val="subscript"/>
        </w:rPr>
        <w:t>a</w:t>
      </w:r>
      <w:r w:rsidRPr="00482AC0">
        <w:rPr>
          <w:rFonts w:eastAsia="맑은 고딕"/>
          <w:vertAlign w:val="superscript"/>
        </w:rPr>
        <w:t>‡</w:t>
      </w:r>
      <w:r w:rsidRPr="00482AC0">
        <w:t>(*NNH) and ∆</w:t>
      </w:r>
      <w:r w:rsidRPr="00482AC0">
        <w:rPr>
          <w:i/>
        </w:rPr>
        <w:t>G</w:t>
      </w:r>
      <w:r w:rsidRPr="00482AC0">
        <w:t>(*NNH), we chose *N</w:t>
      </w:r>
      <w:r w:rsidRPr="00482AC0">
        <w:rPr>
          <w:vertAlign w:val="subscript"/>
        </w:rPr>
        <w:t>2</w:t>
      </w:r>
      <w:r w:rsidRPr="00482AC0">
        <w:t xml:space="preserve"> + H</w:t>
      </w:r>
      <w:r w:rsidRPr="00482AC0">
        <w:rPr>
          <w:vertAlign w:val="superscript"/>
        </w:rPr>
        <w:t>+</w:t>
      </w:r>
      <w:r w:rsidRPr="00482AC0">
        <w:t>(</w:t>
      </w:r>
      <w:r w:rsidR="00EA0D8A">
        <w:t>bulk</w:t>
      </w:r>
      <w:r w:rsidRPr="00482AC0">
        <w:t>) as a reference state, where *N</w:t>
      </w:r>
      <w:r w:rsidRPr="00482AC0">
        <w:rPr>
          <w:vertAlign w:val="subscript"/>
        </w:rPr>
        <w:t>2</w:t>
      </w:r>
      <w:r w:rsidRPr="00482AC0">
        <w:t xml:space="preserve"> indicates adsorbed N</w:t>
      </w:r>
      <w:r w:rsidRPr="00482AC0">
        <w:rPr>
          <w:vertAlign w:val="subscript"/>
        </w:rPr>
        <w:t>2</w:t>
      </w:r>
      <w:r w:rsidR="000115E3">
        <w:t xml:space="preserve"> (</w:t>
      </w:r>
      <w:r w:rsidR="00EA0D8A">
        <w:fldChar w:fldCharType="begin"/>
      </w:r>
      <w:r w:rsidR="00EA0D8A">
        <w:instrText xml:space="preserve"> REF _Ref60239421 \h </w:instrText>
      </w:r>
      <w:r w:rsidR="00EA0D8A">
        <w:fldChar w:fldCharType="separate"/>
      </w:r>
      <w:r w:rsidR="00EA0D8A" w:rsidRPr="001012DF">
        <w:t xml:space="preserve">Supplementary Fig. </w:t>
      </w:r>
      <w:r w:rsidR="00EA0D8A">
        <w:rPr>
          <w:noProof/>
        </w:rPr>
        <w:t>1</w:t>
      </w:r>
      <w:r w:rsidR="00EA0D8A">
        <w:fldChar w:fldCharType="end"/>
      </w:r>
      <w:r w:rsidR="000115E3">
        <w:t>).</w:t>
      </w:r>
    </w:p>
    <w:p w:rsidR="00250017" w:rsidRDefault="00250017" w:rsidP="00250017">
      <w:pPr>
        <w:spacing w:line="480" w:lineRule="auto"/>
      </w:pPr>
      <w:r w:rsidRPr="00250017">
        <w:t>In proton transfer reaction</w:t>
      </w:r>
      <w:r w:rsidR="000115E3">
        <w:t xml:space="preserve"> by H</w:t>
      </w:r>
      <w:r w:rsidR="000115E3" w:rsidRPr="000115E3">
        <w:rPr>
          <w:vertAlign w:val="subscript"/>
        </w:rPr>
        <w:t>2</w:t>
      </w:r>
      <w:r w:rsidR="000115E3">
        <w:t>O</w:t>
      </w:r>
      <w:r w:rsidRPr="00250017">
        <w:t>, the solvated H</w:t>
      </w:r>
      <w:r w:rsidRPr="00250017">
        <w:rPr>
          <w:vertAlign w:val="subscript"/>
        </w:rPr>
        <w:t>2</w:t>
      </w:r>
      <w:r w:rsidRPr="00250017">
        <w:t xml:space="preserve">O in the </w:t>
      </w:r>
      <w:r w:rsidR="00867EEA">
        <w:t>Helmholtz plane (</w:t>
      </w:r>
      <w:r w:rsidRPr="00250017">
        <w:t>HP</w:t>
      </w:r>
      <w:r w:rsidR="00867EEA">
        <w:t>)</w:t>
      </w:r>
      <w:r w:rsidRPr="00250017">
        <w:t xml:space="preserve"> is considered as a reference state and a proton donor. The accurate calculation of solvation energy of OH</w:t>
      </w:r>
      <w:r w:rsidRPr="00250017">
        <w:rPr>
          <w:vertAlign w:val="superscript"/>
        </w:rPr>
        <w:t>-</w:t>
      </w:r>
      <w:r w:rsidRPr="00250017">
        <w:t xml:space="preserve"> in implicit solvation model is stil</w:t>
      </w:r>
      <w:r w:rsidR="00F06566">
        <w:t>l challenging</w:t>
      </w:r>
      <w:r w:rsidRPr="00250017">
        <w:fldChar w:fldCharType="begin"/>
      </w:r>
      <w:r w:rsidR="00EF0312">
        <w:instrText xml:space="preserve"> ADDIN EN.CITE &lt;EndNote&gt;&lt;Cite&gt;&lt;Author&gt;Garcia-Ratés&lt;/Author&gt;&lt;Year&gt;2016&lt;/Year&gt;&lt;RecNum&gt;91&lt;/RecNum&gt;&lt;DisplayText&gt;&lt;style face="superscript"&gt;23&lt;/style&gt;&lt;/DisplayText&gt;&lt;record&gt;&lt;rec-number&gt;91&lt;/rec-number&gt;&lt;foreign-keys&gt;&lt;key app="EN" db-id="v9r55epa49ezwrerfv05rxzoafxrafzdw059" timestamp="1594348784"&gt;91&lt;/key&gt;&lt;/foreign-keys&gt;&lt;ref-type name="Journal Article"&gt;17&lt;/ref-type&gt;&lt;contributors&gt;&lt;authors&gt;&lt;author&gt;Garcia-Ratés, Miquel&lt;/author&gt;&lt;author&gt;López, Núria&lt;/author&gt;&lt;/authors&gt;&lt;/contributors&gt;&lt;titles&gt;&lt;title&gt;Multigrid-based methodology for implicit solvation models in periodic DFT&lt;/title&gt;&lt;secondary-title&gt;Journal of Chemical Theory and Computation&lt;/secondary-title&gt;&lt;/titles&gt;&lt;periodical&gt;&lt;full-title&gt;Journal of Chemical Theory and Computation&lt;/full-title&gt;&lt;abbr-1&gt;J. Chem. Theory Comput.&lt;/abbr-1&gt;&lt;/periodical&gt;&lt;pages&gt;1331-1341&lt;/pages&gt;&lt;volume&gt;12&lt;/volume&gt;&lt;number&gt;3&lt;/number&gt;&lt;dates&gt;&lt;year&gt;2016&lt;/year&gt;&lt;/dates&gt;&lt;isbn&gt;1549-9618&lt;/isbn&gt;&lt;urls&gt;&lt;/urls&gt;&lt;/record&gt;&lt;/Cite&gt;&lt;/EndNote&gt;</w:instrText>
      </w:r>
      <w:r w:rsidRPr="00250017">
        <w:fldChar w:fldCharType="separate"/>
      </w:r>
      <w:r w:rsidR="00EF0312" w:rsidRPr="00EF0312">
        <w:rPr>
          <w:noProof/>
          <w:vertAlign w:val="superscript"/>
        </w:rPr>
        <w:t>23</w:t>
      </w:r>
      <w:r w:rsidRPr="00250017">
        <w:fldChar w:fldCharType="end"/>
      </w:r>
      <w:r w:rsidR="00F06566">
        <w:t>,</w:t>
      </w:r>
      <w:r w:rsidRPr="00250017">
        <w:t xml:space="preserve"> and hence, we further correct the electronic energy of OH</w:t>
      </w:r>
      <w:r w:rsidRPr="00250017">
        <w:rPr>
          <w:vertAlign w:val="superscript"/>
        </w:rPr>
        <w:t>-</w:t>
      </w:r>
      <w:r w:rsidR="00F06566">
        <w:t xml:space="preserve"> </w:t>
      </w:r>
      <w:r w:rsidRPr="00250017">
        <w:fldChar w:fldCharType="begin"/>
      </w:r>
      <w:r w:rsidR="00EF0312">
        <w:instrText xml:space="preserve"> ADDIN EN.CITE &lt;EndNote&gt;&lt;Cite&gt;&lt;Author&gt;Liu&lt;/Author&gt;&lt;Year&gt;2020&lt;/Year&gt;&lt;RecNum&gt;87&lt;/RecNum&gt;&lt;DisplayText&gt;&lt;style face="superscript"&gt;24&lt;/style&gt;&lt;/DisplayText&gt;&lt;record&gt;&lt;rec-number&gt;87&lt;/rec-number&gt;&lt;foreign-keys&gt;&lt;key app="EN" db-id="v9r55epa49ezwrerfv05rxzoafxrafzdw059" timestamp="1594306083"&gt;87&lt;/key&gt;&lt;/foreign-keys&gt;&lt;ref-type name="Journal Article"&gt;17&lt;/ref-type&gt;&lt;contributors&gt;&lt;authors&gt;&lt;author&gt;Liu, Ling&lt;/author&gt;&lt;author&gt;Liu, Yuyang&lt;/author&gt;&lt;author&gt;Liu, Chungen&lt;/author&gt;&lt;/authors&gt;&lt;/contributors&gt;&lt;titles&gt;&lt;title&gt;Enhancing the understanding of hydrogen evolution and oxidation reactions on Pt (111) through ab initio simulation of electrode/electrolyte kinetics&lt;/title&gt;&lt;secondary-title&gt;Journal of the American Chemical Society&lt;/secondary-title&gt;&lt;/titles&gt;&lt;periodical&gt;&lt;full-title&gt;Journal of the American Chemical Society&lt;/full-title&gt;&lt;abbr-1&gt;J. Am. Chem. Soc.&lt;/abbr-1&gt;&lt;abbr-2&gt;J Am Chem Soc&lt;/abbr-2&gt;&lt;/periodical&gt;&lt;pages&gt;4985-4989&lt;/pages&gt;&lt;volume&gt;142&lt;/volume&gt;&lt;number&gt;11&lt;/number&gt;&lt;dates&gt;&lt;year&gt;2020&lt;/year&gt;&lt;/dates&gt;&lt;isbn&gt;0002-7863&lt;/isbn&gt;&lt;urls&gt;&lt;/urls&gt;&lt;/record&gt;&lt;/Cite&gt;&lt;/EndNote&gt;</w:instrText>
      </w:r>
      <w:r w:rsidRPr="00250017">
        <w:fldChar w:fldCharType="separate"/>
      </w:r>
      <w:r w:rsidR="00EF0312" w:rsidRPr="00EF0312">
        <w:rPr>
          <w:noProof/>
          <w:vertAlign w:val="superscript"/>
        </w:rPr>
        <w:t>24</w:t>
      </w:r>
      <w:r w:rsidRPr="00250017">
        <w:fldChar w:fldCharType="end"/>
      </w:r>
      <w:r w:rsidR="00F06566">
        <w:t>.</w:t>
      </w:r>
      <w:r w:rsidRPr="00250017">
        <w:t xml:space="preserve"> For electrochemical reaction of 2H</w:t>
      </w:r>
      <w:r w:rsidRPr="00250017">
        <w:rPr>
          <w:vertAlign w:val="subscript"/>
        </w:rPr>
        <w:t>2</w:t>
      </w:r>
      <w:r w:rsidRPr="00250017">
        <w:t>O + 2e</w:t>
      </w:r>
      <w:r w:rsidRPr="00250017">
        <w:rPr>
          <w:vertAlign w:val="superscript"/>
        </w:rPr>
        <w:t>-</w:t>
      </w:r>
      <w:r w:rsidRPr="00250017">
        <w:t xml:space="preserve"> → H</w:t>
      </w:r>
      <w:r w:rsidRPr="00250017">
        <w:rPr>
          <w:vertAlign w:val="subscript"/>
        </w:rPr>
        <w:t>2</w:t>
      </w:r>
      <w:r w:rsidRPr="00250017">
        <w:t>(g) + 2OH</w:t>
      </w:r>
      <w:r w:rsidRPr="00250017">
        <w:rPr>
          <w:vertAlign w:val="superscript"/>
        </w:rPr>
        <w:t>-</w:t>
      </w:r>
      <w:r w:rsidRPr="00250017">
        <w:t xml:space="preserve"> (bulk), we compare the calculated free energy with the experimentally determined free energy (2</w:t>
      </w:r>
      <w:r w:rsidRPr="00250017">
        <w:rPr>
          <w:i/>
        </w:rPr>
        <w:t>U</w:t>
      </w:r>
      <w:r w:rsidR="00867EEA">
        <w:t xml:space="preserve"> + 1.652</w:t>
      </w:r>
      <w:r w:rsidRPr="00250017">
        <w:t xml:space="preserve"> eV </w:t>
      </w:r>
      <w:r w:rsidR="00867EEA">
        <w:t>at standard state</w:t>
      </w:r>
      <w:r w:rsidRPr="00250017">
        <w:t>). We considered solvated OH</w:t>
      </w:r>
      <w:r w:rsidRPr="00250017">
        <w:rPr>
          <w:vertAlign w:val="superscript"/>
        </w:rPr>
        <w:t>-</w:t>
      </w:r>
      <w:r w:rsidRPr="00250017">
        <w:t xml:space="preserve"> above the 3 </w:t>
      </w:r>
      <w:r w:rsidRPr="00250017">
        <w:rPr>
          <w:rFonts w:eastAsiaTheme="minorEastAsia"/>
          <w:lang w:val="en-US" w:eastAsia="ko-KR"/>
        </w:rPr>
        <w:t>Å</w:t>
      </w:r>
      <w:r w:rsidRPr="00250017">
        <w:t xml:space="preserve"> from the equilibrium position in the OH</w:t>
      </w:r>
      <w:r w:rsidRPr="00250017">
        <w:rPr>
          <w:vertAlign w:val="superscript"/>
        </w:rPr>
        <w:t>-</w:t>
      </w:r>
      <w:r w:rsidRPr="00250017">
        <w:t>(HP) as a OH</w:t>
      </w:r>
      <w:r w:rsidRPr="00250017">
        <w:rPr>
          <w:vertAlign w:val="superscript"/>
        </w:rPr>
        <w:t>-</w:t>
      </w:r>
      <w:r w:rsidRPr="00250017">
        <w:t>(</w:t>
      </w:r>
      <w:r w:rsidR="0039435B">
        <w:t>OHP</w:t>
      </w:r>
      <w:r w:rsidRPr="00250017">
        <w:t>) (</w:t>
      </w:r>
      <w:r w:rsidR="00EA0D8A">
        <w:rPr>
          <w:b/>
        </w:rPr>
        <w:fldChar w:fldCharType="begin"/>
      </w:r>
      <w:r w:rsidR="00EA0D8A">
        <w:instrText xml:space="preserve"> REF _Ref60239429 \h </w:instrText>
      </w:r>
      <w:r w:rsidR="00EA0D8A">
        <w:rPr>
          <w:b/>
        </w:rPr>
      </w:r>
      <w:r w:rsidR="00EA0D8A">
        <w:rPr>
          <w:b/>
        </w:rPr>
        <w:fldChar w:fldCharType="separate"/>
      </w:r>
      <w:r w:rsidR="00EA0D8A" w:rsidRPr="001012DF">
        <w:t xml:space="preserve">Supplementary Fig. </w:t>
      </w:r>
      <w:r w:rsidR="00EA0D8A">
        <w:rPr>
          <w:noProof/>
        </w:rPr>
        <w:t>2</w:t>
      </w:r>
      <w:r w:rsidR="00EA0D8A">
        <w:rPr>
          <w:b/>
        </w:rPr>
        <w:fldChar w:fldCharType="end"/>
      </w:r>
      <w:r w:rsidRPr="00250017">
        <w:t>). Previous study showed that the sum of the net charge of H</w:t>
      </w:r>
      <w:r w:rsidRPr="00250017">
        <w:rPr>
          <w:vertAlign w:val="subscript"/>
        </w:rPr>
        <w:t>2</w:t>
      </w:r>
      <w:r w:rsidRPr="00250017">
        <w:t>O layer including one OH</w:t>
      </w:r>
      <w:r w:rsidRPr="00250017">
        <w:rPr>
          <w:vertAlign w:val="superscript"/>
        </w:rPr>
        <w:t>-</w:t>
      </w:r>
      <w:r w:rsidRPr="00250017">
        <w:t xml:space="preserve"> converges at -1 e</w:t>
      </w:r>
      <w:r w:rsidRPr="00250017">
        <w:rPr>
          <w:vertAlign w:val="superscript"/>
        </w:rPr>
        <w:t>-</w:t>
      </w:r>
      <w:r w:rsidRPr="00250017">
        <w:t xml:space="preserve">  when the electrolyte layer is apart from more than 2 </w:t>
      </w:r>
      <w:r w:rsidRPr="00250017">
        <w:rPr>
          <w:rFonts w:eastAsiaTheme="minorEastAsia"/>
          <w:lang w:val="en-US" w:eastAsia="ko-KR"/>
        </w:rPr>
        <w:t>Å</w:t>
      </w:r>
      <w:r w:rsidRPr="00250017">
        <w:t xml:space="preserve"> from the equilibrium position in the HP</w:t>
      </w:r>
      <w:r w:rsidRPr="00250017">
        <w:fldChar w:fldCharType="begin"/>
      </w:r>
      <w:r w:rsidR="00EF0312">
        <w:instrText xml:space="preserve"> ADDIN EN.CITE &lt;EndNote&gt;&lt;Cite&gt;&lt;Author&gt;Gauthier&lt;/Author&gt;&lt;Year&gt;2020&lt;/Year&gt;&lt;RecNum&gt;90&lt;/RecNum&gt;&lt;DisplayText&gt;&lt;style face="superscript"&gt;25&lt;/style&gt;&lt;/DisplayText&gt;&lt;record&gt;&lt;rec-number&gt;90&lt;/rec-number&gt;&lt;foreign-keys&gt;&lt;key app="EN" db-id="v9r55epa49ezwrerfv05rxzoafxrafzdw059" timestamp="1594347111"&gt;90&lt;/key&gt;&lt;/foreign-keys&gt;&lt;ref-type name="Journal Article"&gt;17&lt;/ref-type&gt;&lt;contributors&gt;&lt;authors&gt;&lt;author&gt;Gauthier, Joseph A&lt;/author&gt;&lt;author&gt;Chen, Leanne D&lt;/author&gt;&lt;author&gt;Bajdich, Michal&lt;/author&gt;&lt;author&gt;Chan, Karen&lt;/author&gt;&lt;/authors&gt;&lt;/contributors&gt;&lt;titles&gt;&lt;title&gt;Implications of the fractional charge of hydroxide at the electrochemical interface&lt;/title&gt;&lt;secondary-title&gt;Physical Chemistry Chemical Physics&lt;/secondary-title&gt;&lt;/titles&gt;&lt;periodical&gt;&lt;full-title&gt;Physical Chemistry Chemical Physics&lt;/full-title&gt;&lt;abbr-1&gt;Phys. Chem. Chem. Phys.&lt;/abbr-1&gt;&lt;abbr-2&gt;Phys. Chem. Chem. Phys.&lt;/abbr-2&gt;&lt;/periodical&gt;&lt;pages&gt;6964-6969&lt;/pages&gt;&lt;volume&gt;22&lt;/volume&gt;&lt;number&gt;13&lt;/number&gt;&lt;dates&gt;&lt;year&gt;2020&lt;/year&gt;&lt;/dates&gt;&lt;urls&gt;&lt;/urls&gt;&lt;/record&gt;&lt;/Cite&gt;&lt;/EndNote&gt;</w:instrText>
      </w:r>
      <w:r w:rsidRPr="00250017">
        <w:fldChar w:fldCharType="separate"/>
      </w:r>
      <w:r w:rsidR="00EF0312" w:rsidRPr="00EF0312">
        <w:rPr>
          <w:noProof/>
          <w:vertAlign w:val="superscript"/>
        </w:rPr>
        <w:t>25</w:t>
      </w:r>
      <w:r w:rsidRPr="00250017">
        <w:fldChar w:fldCharType="end"/>
      </w:r>
      <w:r w:rsidR="00F06566">
        <w:t>.</w:t>
      </w:r>
      <w:r w:rsidR="00867EEA">
        <w:t xml:space="preserve"> Consequently, we correct -0.712</w:t>
      </w:r>
      <w:r w:rsidRPr="00250017">
        <w:t xml:space="preserve"> eV for solvated OH</w:t>
      </w:r>
      <w:r w:rsidRPr="00250017">
        <w:rPr>
          <w:vertAlign w:val="superscript"/>
        </w:rPr>
        <w:t>-</w:t>
      </w:r>
      <w:r w:rsidR="00867EEA">
        <w:t xml:space="preserve">. </w:t>
      </w:r>
      <w:r w:rsidRPr="00250017">
        <w:t>For estimating the activation energy in the CHE model, the activation energy obtained at the neutral state (net charge = 0) is used as a activation energy at 0 V (vs. SHE) at standard state. When the external potential is applied, we corrected the activation energy with 0.5 of symmetric factor.</w:t>
      </w:r>
    </w:p>
    <w:p w:rsidR="001012DF" w:rsidRDefault="00193256" w:rsidP="001012DF">
      <w:pPr>
        <w:keepNext/>
        <w:spacing w:line="480" w:lineRule="auto"/>
      </w:pPr>
      <w:r>
        <w:rPr>
          <w:noProof/>
          <w:lang w:val="en-US" w:eastAsia="ko-KR"/>
        </w:rPr>
        <w:lastRenderedPageBreak/>
        <w:drawing>
          <wp:inline distT="0" distB="0" distL="0" distR="0" wp14:anchorId="61FD77B6" wp14:editId="6C847A9B">
            <wp:extent cx="6371590" cy="3101975"/>
            <wp:effectExtent l="0" t="0" r="0" b="317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1590" cy="3101975"/>
                    </a:xfrm>
                    <a:prstGeom prst="rect">
                      <a:avLst/>
                    </a:prstGeom>
                  </pic:spPr>
                </pic:pic>
              </a:graphicData>
            </a:graphic>
          </wp:inline>
        </w:drawing>
      </w:r>
    </w:p>
    <w:p w:rsidR="001012DF" w:rsidRPr="001012DF" w:rsidRDefault="001012DF" w:rsidP="001012DF">
      <w:pPr>
        <w:pStyle w:val="a7"/>
        <w:spacing w:line="360" w:lineRule="auto"/>
        <w:jc w:val="left"/>
        <w:rPr>
          <w:rFonts w:ascii="Times New Roman" w:hAnsi="Times New Roman"/>
          <w:sz w:val="24"/>
          <w:szCs w:val="24"/>
        </w:rPr>
      </w:pPr>
      <w:bookmarkStart w:id="0" w:name="_Ref60239421"/>
      <w:r w:rsidRPr="001012DF">
        <w:rPr>
          <w:rFonts w:ascii="Times New Roman" w:hAnsi="Times New Roman"/>
          <w:sz w:val="24"/>
          <w:szCs w:val="24"/>
        </w:rPr>
        <w:t xml:space="preserve">Supplementary Fig. </w:t>
      </w:r>
      <w:r w:rsidRPr="001012DF">
        <w:rPr>
          <w:rFonts w:ascii="Times New Roman" w:hAnsi="Times New Roman"/>
          <w:sz w:val="24"/>
          <w:szCs w:val="24"/>
        </w:rPr>
        <w:fldChar w:fldCharType="begin"/>
      </w:r>
      <w:r w:rsidRPr="001012DF">
        <w:rPr>
          <w:rFonts w:ascii="Times New Roman" w:hAnsi="Times New Roman"/>
          <w:sz w:val="24"/>
          <w:szCs w:val="24"/>
        </w:rPr>
        <w:instrText xml:space="preserve"> SEQ Supplementary_Fig. \* ARABIC </w:instrText>
      </w:r>
      <w:r w:rsidRPr="001012DF">
        <w:rPr>
          <w:rFonts w:ascii="Times New Roman" w:hAnsi="Times New Roman"/>
          <w:sz w:val="24"/>
          <w:szCs w:val="24"/>
        </w:rPr>
        <w:fldChar w:fldCharType="separate"/>
      </w:r>
      <w:r w:rsidR="00226621">
        <w:rPr>
          <w:rFonts w:ascii="Times New Roman" w:hAnsi="Times New Roman"/>
          <w:noProof/>
          <w:sz w:val="24"/>
          <w:szCs w:val="24"/>
        </w:rPr>
        <w:t>1</w:t>
      </w:r>
      <w:r w:rsidRPr="001012DF">
        <w:rPr>
          <w:rFonts w:ascii="Times New Roman" w:hAnsi="Times New Roman"/>
          <w:sz w:val="24"/>
          <w:szCs w:val="24"/>
        </w:rPr>
        <w:fldChar w:fldCharType="end"/>
      </w:r>
      <w:bookmarkEnd w:id="0"/>
      <w:r w:rsidRPr="001012DF">
        <w:rPr>
          <w:rFonts w:ascii="Times New Roman" w:hAnsi="Times New Roman"/>
          <w:sz w:val="24"/>
          <w:szCs w:val="24"/>
        </w:rPr>
        <w:t xml:space="preserve"> | The optimized geometries of reaction intermediates.</w:t>
      </w:r>
      <w:r w:rsidRPr="001012DF">
        <w:rPr>
          <w:rFonts w:ascii="Times New Roman" w:hAnsi="Times New Roman"/>
          <w:b w:val="0"/>
          <w:sz w:val="24"/>
          <w:szCs w:val="24"/>
        </w:rPr>
        <w:t xml:space="preserve"> (a) *H formation and (b) *NNH formation. The H</w:t>
      </w:r>
      <w:r w:rsidRPr="001012DF">
        <w:rPr>
          <w:rFonts w:ascii="Times New Roman" w:hAnsi="Times New Roman"/>
          <w:b w:val="0"/>
          <w:sz w:val="24"/>
          <w:szCs w:val="24"/>
          <w:vertAlign w:val="superscript"/>
        </w:rPr>
        <w:t>+</w:t>
      </w:r>
      <w:r w:rsidRPr="001012DF">
        <w:rPr>
          <w:rFonts w:ascii="Times New Roman" w:hAnsi="Times New Roman"/>
          <w:b w:val="0"/>
          <w:sz w:val="24"/>
          <w:szCs w:val="24"/>
        </w:rPr>
        <w:t>(</w:t>
      </w:r>
      <w:r w:rsidR="00EA0D8A">
        <w:rPr>
          <w:rFonts w:ascii="Times New Roman" w:hAnsi="Times New Roman"/>
          <w:b w:val="0"/>
          <w:sz w:val="24"/>
          <w:szCs w:val="24"/>
        </w:rPr>
        <w:t>bulk</w:t>
      </w:r>
      <w:r w:rsidRPr="001012DF">
        <w:rPr>
          <w:rFonts w:ascii="Times New Roman" w:hAnsi="Times New Roman"/>
          <w:b w:val="0"/>
          <w:sz w:val="24"/>
          <w:szCs w:val="24"/>
        </w:rPr>
        <w:t>) is omitted for clarity. The H</w:t>
      </w:r>
      <w:r w:rsidRPr="001012DF">
        <w:rPr>
          <w:rFonts w:ascii="Times New Roman" w:hAnsi="Times New Roman"/>
          <w:b w:val="0"/>
          <w:sz w:val="24"/>
          <w:szCs w:val="24"/>
          <w:vertAlign w:val="superscript"/>
        </w:rPr>
        <w:t>+</w:t>
      </w:r>
      <w:r w:rsidR="00EA0D8A">
        <w:rPr>
          <w:rFonts w:ascii="Times New Roman" w:hAnsi="Times New Roman"/>
          <w:b w:val="0"/>
          <w:sz w:val="24"/>
          <w:szCs w:val="24"/>
        </w:rPr>
        <w:t>(</w:t>
      </w:r>
      <w:r w:rsidRPr="001012DF">
        <w:rPr>
          <w:rFonts w:ascii="Times New Roman" w:hAnsi="Times New Roman"/>
          <w:b w:val="0"/>
          <w:sz w:val="24"/>
          <w:szCs w:val="24"/>
        </w:rPr>
        <w:t>HP), transferred to surface or adsorbate is highlighted in a yellow circle.</w:t>
      </w:r>
    </w:p>
    <w:p w:rsidR="00193256" w:rsidRDefault="00193256" w:rsidP="00193256">
      <w:pPr>
        <w:pStyle w:val="a7"/>
        <w:jc w:val="left"/>
      </w:pPr>
    </w:p>
    <w:p w:rsidR="000115E3" w:rsidRPr="00250017" w:rsidRDefault="000115E3" w:rsidP="00250017">
      <w:pPr>
        <w:spacing w:line="480" w:lineRule="auto"/>
      </w:pPr>
    </w:p>
    <w:p w:rsidR="001012DF" w:rsidRDefault="000115E3" w:rsidP="001012DF">
      <w:pPr>
        <w:pStyle w:val="P1"/>
        <w:keepNext/>
        <w:spacing w:line="480" w:lineRule="auto"/>
        <w:jc w:val="center"/>
      </w:pPr>
      <w:r w:rsidRPr="00250017">
        <w:rPr>
          <w:rFonts w:ascii="Times New Roman" w:hAnsi="Times New Roman"/>
          <w:noProof/>
          <w:sz w:val="24"/>
          <w:lang w:eastAsia="ko-KR"/>
        </w:rPr>
        <w:drawing>
          <wp:inline distT="0" distB="0" distL="0" distR="0" wp14:anchorId="3E1D6957" wp14:editId="095F0AC5">
            <wp:extent cx="5186362" cy="193054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6362" cy="1930542"/>
                    </a:xfrm>
                    <a:prstGeom prst="rect">
                      <a:avLst/>
                    </a:prstGeom>
                  </pic:spPr>
                </pic:pic>
              </a:graphicData>
            </a:graphic>
          </wp:inline>
        </w:drawing>
      </w:r>
    </w:p>
    <w:p w:rsidR="001012DF" w:rsidRPr="001012DF" w:rsidRDefault="001012DF" w:rsidP="001012DF">
      <w:pPr>
        <w:pStyle w:val="a7"/>
        <w:spacing w:line="360" w:lineRule="auto"/>
        <w:rPr>
          <w:rFonts w:ascii="Times New Roman" w:hAnsi="Times New Roman"/>
          <w:sz w:val="24"/>
          <w:szCs w:val="24"/>
        </w:rPr>
      </w:pPr>
      <w:bookmarkStart w:id="1" w:name="_Ref60239429"/>
      <w:r w:rsidRPr="001012DF">
        <w:rPr>
          <w:rFonts w:ascii="Times New Roman" w:hAnsi="Times New Roman"/>
          <w:sz w:val="24"/>
          <w:szCs w:val="24"/>
        </w:rPr>
        <w:t xml:space="preserve">Supplementary Fig. </w:t>
      </w:r>
      <w:r w:rsidRPr="001012DF">
        <w:rPr>
          <w:rFonts w:ascii="Times New Roman" w:hAnsi="Times New Roman"/>
          <w:sz w:val="24"/>
          <w:szCs w:val="24"/>
        </w:rPr>
        <w:fldChar w:fldCharType="begin"/>
      </w:r>
      <w:r w:rsidRPr="001012DF">
        <w:rPr>
          <w:rFonts w:ascii="Times New Roman" w:hAnsi="Times New Roman"/>
          <w:sz w:val="24"/>
          <w:szCs w:val="24"/>
        </w:rPr>
        <w:instrText xml:space="preserve"> SEQ Supplementary_Fig. \* ARABIC </w:instrText>
      </w:r>
      <w:r w:rsidRPr="001012DF">
        <w:rPr>
          <w:rFonts w:ascii="Times New Roman" w:hAnsi="Times New Roman"/>
          <w:sz w:val="24"/>
          <w:szCs w:val="24"/>
        </w:rPr>
        <w:fldChar w:fldCharType="separate"/>
      </w:r>
      <w:r w:rsidR="00226621">
        <w:rPr>
          <w:rFonts w:ascii="Times New Roman" w:hAnsi="Times New Roman"/>
          <w:noProof/>
          <w:sz w:val="24"/>
          <w:szCs w:val="24"/>
        </w:rPr>
        <w:t>2</w:t>
      </w:r>
      <w:r w:rsidRPr="001012DF">
        <w:rPr>
          <w:rFonts w:ascii="Times New Roman" w:hAnsi="Times New Roman"/>
          <w:sz w:val="24"/>
          <w:szCs w:val="24"/>
        </w:rPr>
        <w:fldChar w:fldCharType="end"/>
      </w:r>
      <w:bookmarkEnd w:id="1"/>
      <w:r w:rsidRPr="001012DF">
        <w:rPr>
          <w:rFonts w:ascii="Times New Roman" w:hAnsi="Times New Roman"/>
          <w:sz w:val="24"/>
          <w:szCs w:val="24"/>
        </w:rPr>
        <w:t xml:space="preserve"> | The optimized structures of solvated H</w:t>
      </w:r>
      <w:r w:rsidRPr="001012DF">
        <w:rPr>
          <w:rFonts w:ascii="Times New Roman" w:hAnsi="Times New Roman"/>
          <w:sz w:val="24"/>
          <w:szCs w:val="24"/>
          <w:vertAlign w:val="subscript"/>
        </w:rPr>
        <w:t>2</w:t>
      </w:r>
      <w:r w:rsidRPr="001012DF">
        <w:rPr>
          <w:rFonts w:ascii="Times New Roman" w:hAnsi="Times New Roman"/>
          <w:sz w:val="24"/>
          <w:szCs w:val="24"/>
        </w:rPr>
        <w:t>O and OH</w:t>
      </w:r>
      <w:r w:rsidRPr="001012DF">
        <w:rPr>
          <w:rFonts w:ascii="Times New Roman" w:hAnsi="Times New Roman"/>
          <w:sz w:val="24"/>
          <w:szCs w:val="24"/>
          <w:vertAlign w:val="superscript"/>
        </w:rPr>
        <w:t>-</w:t>
      </w:r>
      <w:r w:rsidRPr="001012DF">
        <w:rPr>
          <w:rFonts w:ascii="Times New Roman" w:hAnsi="Times New Roman"/>
          <w:sz w:val="24"/>
          <w:szCs w:val="24"/>
        </w:rPr>
        <w:t xml:space="preserve"> to correct the OH</w:t>
      </w:r>
      <w:r w:rsidRPr="001012DF">
        <w:rPr>
          <w:rFonts w:ascii="Times New Roman" w:hAnsi="Times New Roman"/>
          <w:sz w:val="24"/>
          <w:szCs w:val="24"/>
          <w:vertAlign w:val="superscript"/>
        </w:rPr>
        <w:t>-</w:t>
      </w:r>
      <w:r w:rsidRPr="001012DF">
        <w:rPr>
          <w:rFonts w:ascii="Times New Roman" w:hAnsi="Times New Roman"/>
          <w:sz w:val="24"/>
          <w:szCs w:val="24"/>
        </w:rPr>
        <w:t xml:space="preserve"> energy.</w:t>
      </w:r>
      <w:r w:rsidRPr="001012DF">
        <w:rPr>
          <w:rFonts w:ascii="Times New Roman" w:hAnsi="Times New Roman"/>
          <w:b w:val="0"/>
          <w:sz w:val="24"/>
          <w:szCs w:val="24"/>
        </w:rPr>
        <w:t xml:space="preserve"> The electrolyte layer is OH</w:t>
      </w:r>
      <w:r w:rsidRPr="00EA0D8A">
        <w:rPr>
          <w:rFonts w:ascii="Times New Roman" w:hAnsi="Times New Roman"/>
          <w:b w:val="0"/>
          <w:sz w:val="24"/>
          <w:szCs w:val="24"/>
          <w:vertAlign w:val="superscript"/>
        </w:rPr>
        <w:t>-</w:t>
      </w:r>
      <w:r w:rsidRPr="001012DF">
        <w:rPr>
          <w:rFonts w:ascii="Times New Roman" w:hAnsi="Times New Roman"/>
          <w:b w:val="0"/>
          <w:sz w:val="24"/>
          <w:szCs w:val="24"/>
        </w:rPr>
        <w:t>(bulk) is apart from the OH</w:t>
      </w:r>
      <w:r w:rsidRPr="001012DF">
        <w:rPr>
          <w:rFonts w:ascii="Times New Roman" w:hAnsi="Times New Roman"/>
          <w:b w:val="0"/>
          <w:sz w:val="24"/>
          <w:szCs w:val="24"/>
          <w:vertAlign w:val="superscript"/>
        </w:rPr>
        <w:t>-</w:t>
      </w:r>
      <w:r w:rsidRPr="001012DF">
        <w:rPr>
          <w:rFonts w:ascii="Times New Roman" w:hAnsi="Times New Roman"/>
          <w:b w:val="0"/>
          <w:sz w:val="24"/>
          <w:szCs w:val="24"/>
        </w:rPr>
        <w:t xml:space="preserve">(HP) by 3 </w:t>
      </w:r>
      <w:r w:rsidRPr="001012DF">
        <w:rPr>
          <w:rFonts w:ascii="Times New Roman" w:eastAsiaTheme="minorEastAsia" w:hAnsi="Times New Roman"/>
          <w:b w:val="0"/>
          <w:sz w:val="24"/>
          <w:szCs w:val="24"/>
        </w:rPr>
        <w:t>Å</w:t>
      </w:r>
      <w:r w:rsidRPr="001012DF">
        <w:rPr>
          <w:rFonts w:ascii="Times New Roman" w:hAnsi="Times New Roman"/>
          <w:b w:val="0"/>
          <w:sz w:val="24"/>
          <w:szCs w:val="24"/>
        </w:rPr>
        <w:t xml:space="preserve"> in c-axis.</w:t>
      </w:r>
    </w:p>
    <w:p w:rsidR="000115E3" w:rsidRPr="00250017" w:rsidRDefault="000115E3" w:rsidP="00193256">
      <w:pPr>
        <w:pStyle w:val="a7"/>
        <w:spacing w:line="360" w:lineRule="auto"/>
        <w:rPr>
          <w:rFonts w:ascii="Times New Roman" w:hAnsi="Times New Roman"/>
          <w:sz w:val="24"/>
        </w:rPr>
      </w:pPr>
    </w:p>
    <w:p w:rsidR="000115E3" w:rsidRDefault="000115E3" w:rsidP="00250017">
      <w:pPr>
        <w:spacing w:line="480" w:lineRule="auto"/>
        <w:rPr>
          <w:rFonts w:eastAsiaTheme="minorEastAsia"/>
          <w:lang w:eastAsia="ko-KR"/>
        </w:rPr>
      </w:pPr>
    </w:p>
    <w:p w:rsidR="00193256" w:rsidRDefault="00193256" w:rsidP="00250017">
      <w:pPr>
        <w:spacing w:line="480" w:lineRule="auto"/>
        <w:rPr>
          <w:rFonts w:eastAsiaTheme="minorEastAsia"/>
          <w:lang w:eastAsia="ko-KR"/>
        </w:rPr>
      </w:pPr>
    </w:p>
    <w:p w:rsidR="00193256" w:rsidRDefault="00193256" w:rsidP="00250017">
      <w:pPr>
        <w:spacing w:line="480" w:lineRule="auto"/>
        <w:rPr>
          <w:rFonts w:eastAsiaTheme="minorEastAsia"/>
          <w:lang w:eastAsia="ko-KR"/>
        </w:rPr>
      </w:pPr>
    </w:p>
    <w:p w:rsidR="00EF5910" w:rsidRPr="00250017" w:rsidRDefault="00EF5910" w:rsidP="00250017">
      <w:pPr>
        <w:spacing w:line="480" w:lineRule="auto"/>
        <w:rPr>
          <w:rFonts w:eastAsiaTheme="minorEastAsia"/>
          <w:lang w:eastAsia="ko-KR"/>
        </w:rPr>
      </w:pPr>
    </w:p>
    <w:p w:rsidR="00B05F54" w:rsidRPr="00250017" w:rsidRDefault="00B05F54" w:rsidP="00B05F54">
      <w:pPr>
        <w:pStyle w:val="10"/>
      </w:pPr>
      <w:r>
        <w:lastRenderedPageBreak/>
        <w:t>Supplementary Note 3. Potential-dependent free energy diagram for NRR and HER on Fe@N</w:t>
      </w:r>
      <w:r w:rsidRPr="000E0603">
        <w:rPr>
          <w:vertAlign w:val="subscript"/>
        </w:rPr>
        <w:t>4</w:t>
      </w:r>
      <w:r>
        <w:t>.</w:t>
      </w:r>
    </w:p>
    <w:p w:rsidR="00226621" w:rsidRDefault="005E3448" w:rsidP="000E0603">
      <w:pPr>
        <w:keepNext/>
        <w:spacing w:line="480" w:lineRule="auto"/>
        <w:jc w:val="center"/>
      </w:pPr>
      <w:r>
        <w:rPr>
          <w:noProof/>
          <w:lang w:val="en-US" w:eastAsia="ko-KR"/>
        </w:rPr>
        <w:drawing>
          <wp:inline distT="0" distB="0" distL="0" distR="0">
            <wp:extent cx="5229867" cy="7174954"/>
            <wp:effectExtent l="0" t="0" r="8890" b="6985"/>
            <wp:docPr id="8" name="그림 8" descr="figure-s-NR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NRR diagram"/>
                    <pic:cNvPicPr>
                      <a:picLocks noChangeAspect="1" noChangeArrowheads="1"/>
                    </pic:cNvPicPr>
                  </pic:nvPicPr>
                  <pic:blipFill>
                    <a:blip r:embed="rId10">
                      <a:extLst>
                        <a:ext uri="{28A0092B-C50C-407E-A947-70E740481C1C}">
                          <a14:useLocalDpi xmlns:a14="http://schemas.microsoft.com/office/drawing/2010/main" val="0"/>
                        </a:ext>
                      </a:extLst>
                    </a:blip>
                    <a:srcRect b="12979"/>
                    <a:stretch>
                      <a:fillRect/>
                    </a:stretch>
                  </pic:blipFill>
                  <pic:spPr bwMode="auto">
                    <a:xfrm>
                      <a:off x="0" y="0"/>
                      <a:ext cx="5234620" cy="7181475"/>
                    </a:xfrm>
                    <a:prstGeom prst="rect">
                      <a:avLst/>
                    </a:prstGeom>
                    <a:noFill/>
                    <a:ln>
                      <a:noFill/>
                    </a:ln>
                  </pic:spPr>
                </pic:pic>
              </a:graphicData>
            </a:graphic>
          </wp:inline>
        </w:drawing>
      </w:r>
    </w:p>
    <w:p w:rsidR="00226621" w:rsidRPr="00226621" w:rsidRDefault="00226621" w:rsidP="00226621">
      <w:pPr>
        <w:pStyle w:val="a7"/>
        <w:jc w:val="left"/>
        <w:rPr>
          <w:rFonts w:ascii="Times New Roman" w:hAnsi="Times New Roman"/>
          <w:b w:val="0"/>
          <w:sz w:val="24"/>
          <w:szCs w:val="24"/>
        </w:rPr>
      </w:pPr>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B05F54">
        <w:rPr>
          <w:rFonts w:ascii="Times New Roman" w:hAnsi="Times New Roman"/>
          <w:noProof/>
          <w:sz w:val="24"/>
          <w:szCs w:val="24"/>
        </w:rPr>
        <w:t>3</w:t>
      </w:r>
      <w:r w:rsidRPr="00226621">
        <w:rPr>
          <w:rFonts w:ascii="Times New Roman" w:hAnsi="Times New Roman"/>
          <w:sz w:val="24"/>
          <w:szCs w:val="24"/>
        </w:rPr>
        <w:fldChar w:fldCharType="end"/>
      </w:r>
      <w:r w:rsidRPr="00226621">
        <w:rPr>
          <w:rFonts w:ascii="Times New Roman" w:hAnsi="Times New Roman"/>
          <w:sz w:val="24"/>
          <w:szCs w:val="24"/>
        </w:rPr>
        <w:t xml:space="preserve"> |</w:t>
      </w:r>
      <w:r>
        <w:rPr>
          <w:rFonts w:ascii="Times New Roman" w:hAnsi="Times New Roman"/>
          <w:sz w:val="24"/>
          <w:szCs w:val="24"/>
        </w:rPr>
        <w:t xml:space="preserve"> Free energy diagram and reaction intermediates.</w:t>
      </w:r>
      <w:r w:rsidRPr="00226621">
        <w:rPr>
          <w:rFonts w:ascii="Times New Roman" w:hAnsi="Times New Roman"/>
          <w:sz w:val="24"/>
          <w:szCs w:val="24"/>
        </w:rPr>
        <w:t xml:space="preserve"> </w:t>
      </w:r>
      <w:r w:rsidRPr="00226621">
        <w:rPr>
          <w:rFonts w:ascii="Times New Roman" w:hAnsi="Times New Roman"/>
          <w:b w:val="0"/>
          <w:sz w:val="24"/>
          <w:szCs w:val="24"/>
        </w:rPr>
        <w:t>(a) Free energy diagram of NRR on Fe@N</w:t>
      </w:r>
      <w:r w:rsidRPr="00226621">
        <w:rPr>
          <w:rFonts w:ascii="Times New Roman" w:hAnsi="Times New Roman"/>
          <w:b w:val="0"/>
          <w:sz w:val="24"/>
          <w:szCs w:val="24"/>
          <w:vertAlign w:val="subscript"/>
        </w:rPr>
        <w:t>4</w:t>
      </w:r>
      <w:r w:rsidRPr="00226621">
        <w:rPr>
          <w:rFonts w:ascii="Times New Roman" w:hAnsi="Times New Roman"/>
          <w:b w:val="0"/>
          <w:sz w:val="24"/>
          <w:szCs w:val="24"/>
        </w:rPr>
        <w:t xml:space="preserve"> obtained by the CHE model at 0 V. Free energy diagram obtained by the CHE model at (b) 0 V, (c) -0.5 V and (d) -1 V</w:t>
      </w:r>
      <w:r w:rsidR="004D4350">
        <w:rPr>
          <w:rFonts w:ascii="Times New Roman" w:hAnsi="Times New Roman"/>
          <w:b w:val="0"/>
          <w:sz w:val="24"/>
          <w:szCs w:val="24"/>
        </w:rPr>
        <w:t xml:space="preserve"> (vs. SHE)</w:t>
      </w:r>
      <w:r w:rsidRPr="00226621">
        <w:rPr>
          <w:rFonts w:ascii="Times New Roman" w:hAnsi="Times New Roman"/>
          <w:b w:val="0"/>
          <w:sz w:val="24"/>
          <w:szCs w:val="24"/>
        </w:rPr>
        <w:t>. (e) The optimized geometries of reaction intermediates of NRR. Orange, blue, grey, and white balls represent Fe, N, C, and H atoms, respectively. In this calculation, the explicit water layer is not included. The explicit water layer is not included here.</w:t>
      </w:r>
    </w:p>
    <w:p w:rsidR="005E3448" w:rsidRDefault="005E3448" w:rsidP="00226621">
      <w:pPr>
        <w:pStyle w:val="a7"/>
        <w:jc w:val="left"/>
      </w:pPr>
    </w:p>
    <w:p w:rsidR="00226621" w:rsidRDefault="00193256" w:rsidP="00226621">
      <w:pPr>
        <w:keepNext/>
        <w:spacing w:line="480" w:lineRule="auto"/>
      </w:pPr>
      <w:r>
        <w:rPr>
          <w:noProof/>
          <w:lang w:val="en-US" w:eastAsia="ko-KR"/>
        </w:rPr>
        <w:drawing>
          <wp:inline distT="0" distB="0" distL="0" distR="0" wp14:anchorId="52BB5A73" wp14:editId="5C6512CA">
            <wp:extent cx="6371590" cy="2605405"/>
            <wp:effectExtent l="0" t="0" r="0" b="444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1590" cy="2605405"/>
                    </a:xfrm>
                    <a:prstGeom prst="rect">
                      <a:avLst/>
                    </a:prstGeom>
                  </pic:spPr>
                </pic:pic>
              </a:graphicData>
            </a:graphic>
          </wp:inline>
        </w:drawing>
      </w:r>
    </w:p>
    <w:p w:rsidR="00226621" w:rsidRDefault="00226621" w:rsidP="00226621">
      <w:pPr>
        <w:pStyle w:val="a7"/>
        <w:spacing w:line="360" w:lineRule="auto"/>
        <w:rPr>
          <w:rFonts w:ascii="Times New Roman" w:hAnsi="Times New Roman"/>
          <w:b w:val="0"/>
          <w:sz w:val="24"/>
          <w:szCs w:val="24"/>
        </w:rPr>
      </w:pPr>
      <w:bookmarkStart w:id="2" w:name="_Ref60239996"/>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B05F54">
        <w:rPr>
          <w:rFonts w:ascii="Times New Roman" w:hAnsi="Times New Roman"/>
          <w:noProof/>
          <w:sz w:val="24"/>
          <w:szCs w:val="24"/>
        </w:rPr>
        <w:t>4</w:t>
      </w:r>
      <w:r w:rsidRPr="00226621">
        <w:rPr>
          <w:rFonts w:ascii="Times New Roman" w:hAnsi="Times New Roman"/>
          <w:sz w:val="24"/>
          <w:szCs w:val="24"/>
        </w:rPr>
        <w:fldChar w:fldCharType="end"/>
      </w:r>
      <w:bookmarkEnd w:id="2"/>
      <w:r w:rsidRPr="00226621">
        <w:rPr>
          <w:rFonts w:ascii="Times New Roman" w:hAnsi="Times New Roman"/>
          <w:sz w:val="24"/>
          <w:szCs w:val="24"/>
        </w:rPr>
        <w:t xml:space="preserve"> | Free energy diagram for HER</w:t>
      </w:r>
      <w:r w:rsidR="008771BB">
        <w:rPr>
          <w:rFonts w:ascii="Times New Roman" w:hAnsi="Times New Roman"/>
          <w:sz w:val="24"/>
          <w:szCs w:val="24"/>
        </w:rPr>
        <w:t xml:space="preserve"> under acidic condition</w:t>
      </w:r>
      <w:r w:rsidRPr="00226621">
        <w:rPr>
          <w:rFonts w:ascii="Times New Roman" w:hAnsi="Times New Roman"/>
          <w:sz w:val="24"/>
          <w:szCs w:val="24"/>
        </w:rPr>
        <w:t>.</w:t>
      </w:r>
      <w:r w:rsidRPr="00226621">
        <w:rPr>
          <w:rFonts w:ascii="Times New Roman" w:hAnsi="Times New Roman"/>
          <w:b w:val="0"/>
          <w:sz w:val="24"/>
          <w:szCs w:val="24"/>
        </w:rPr>
        <w:t xml:space="preserve"> </w:t>
      </w:r>
      <w:r w:rsidRPr="00DE54E7">
        <w:rPr>
          <w:rFonts w:ascii="Times New Roman" w:hAnsi="Times New Roman"/>
          <w:b w:val="0"/>
          <w:sz w:val="24"/>
          <w:szCs w:val="24"/>
        </w:rPr>
        <w:t>(a) *H formation from * + H</w:t>
      </w:r>
      <w:r w:rsidRPr="00DE54E7">
        <w:rPr>
          <w:rFonts w:ascii="Times New Roman" w:hAnsi="Times New Roman"/>
          <w:b w:val="0"/>
          <w:sz w:val="24"/>
          <w:szCs w:val="24"/>
          <w:vertAlign w:val="superscript"/>
        </w:rPr>
        <w:t>+</w:t>
      </w:r>
      <w:r w:rsidRPr="00DE54E7">
        <w:rPr>
          <w:rFonts w:ascii="Times New Roman" w:hAnsi="Times New Roman"/>
          <w:b w:val="0"/>
          <w:sz w:val="24"/>
          <w:szCs w:val="24"/>
        </w:rPr>
        <w:t>(</w:t>
      </w:r>
      <w:r w:rsidR="00EA0D8A">
        <w:rPr>
          <w:rFonts w:ascii="Times New Roman" w:hAnsi="Times New Roman"/>
          <w:b w:val="0"/>
          <w:sz w:val="24"/>
          <w:szCs w:val="24"/>
        </w:rPr>
        <w:t>bulk</w:t>
      </w:r>
      <w:r w:rsidRPr="00DE54E7">
        <w:rPr>
          <w:rFonts w:ascii="Times New Roman" w:hAnsi="Times New Roman"/>
          <w:b w:val="0"/>
          <w:sz w:val="24"/>
          <w:szCs w:val="24"/>
        </w:rPr>
        <w:t>) and (b) H</w:t>
      </w:r>
      <w:r w:rsidRPr="00DE54E7">
        <w:rPr>
          <w:rFonts w:ascii="Times New Roman" w:hAnsi="Times New Roman"/>
          <w:b w:val="0"/>
          <w:sz w:val="24"/>
          <w:szCs w:val="24"/>
          <w:vertAlign w:val="subscript"/>
        </w:rPr>
        <w:t>2</w:t>
      </w:r>
      <w:r w:rsidRPr="00DE54E7">
        <w:rPr>
          <w:rFonts w:ascii="Times New Roman" w:hAnsi="Times New Roman"/>
          <w:b w:val="0"/>
          <w:sz w:val="24"/>
          <w:szCs w:val="24"/>
        </w:rPr>
        <w:t>(g) formation from *H + H</w:t>
      </w:r>
      <w:r w:rsidRPr="00DE54E7">
        <w:rPr>
          <w:rFonts w:ascii="Times New Roman" w:hAnsi="Times New Roman"/>
          <w:b w:val="0"/>
          <w:sz w:val="24"/>
          <w:szCs w:val="24"/>
          <w:vertAlign w:val="superscript"/>
        </w:rPr>
        <w:t>+</w:t>
      </w:r>
      <w:r w:rsidR="00EA0D8A">
        <w:rPr>
          <w:rFonts w:ascii="Times New Roman" w:hAnsi="Times New Roman"/>
          <w:b w:val="0"/>
          <w:sz w:val="24"/>
          <w:szCs w:val="24"/>
        </w:rPr>
        <w:t>(bulk</w:t>
      </w:r>
      <w:r w:rsidRPr="00DE54E7">
        <w:rPr>
          <w:rFonts w:ascii="Times New Roman" w:hAnsi="Times New Roman"/>
          <w:b w:val="0"/>
          <w:sz w:val="24"/>
          <w:szCs w:val="24"/>
        </w:rPr>
        <w:t>). The reference energy for ∆</w:t>
      </w:r>
      <w:r w:rsidRPr="00DE54E7">
        <w:rPr>
          <w:rFonts w:ascii="Times New Roman" w:hAnsi="Times New Roman"/>
          <w:b w:val="0"/>
          <w:i/>
          <w:sz w:val="24"/>
          <w:szCs w:val="24"/>
        </w:rPr>
        <w:t>G</w:t>
      </w:r>
      <w:r w:rsidRPr="00DE54E7">
        <w:rPr>
          <w:rFonts w:ascii="Times New Roman" w:hAnsi="Times New Roman"/>
          <w:b w:val="0"/>
          <w:sz w:val="24"/>
          <w:szCs w:val="24"/>
          <w:vertAlign w:val="subscript"/>
        </w:rPr>
        <w:t>a</w:t>
      </w:r>
      <w:r w:rsidRPr="00DE54E7">
        <w:rPr>
          <w:rFonts w:ascii="Times New Roman" w:hAnsi="Times New Roman"/>
          <w:b w:val="0"/>
          <w:sz w:val="24"/>
          <w:szCs w:val="24"/>
          <w:vertAlign w:val="superscript"/>
        </w:rPr>
        <w:t>‡</w:t>
      </w:r>
      <w:r w:rsidRPr="00DE54E7">
        <w:rPr>
          <w:rFonts w:ascii="Times New Roman" w:hAnsi="Times New Roman"/>
          <w:b w:val="0"/>
          <w:sz w:val="24"/>
          <w:szCs w:val="24"/>
        </w:rPr>
        <w:t>(*H) and ∆</w:t>
      </w:r>
      <w:r w:rsidRPr="00DE54E7">
        <w:rPr>
          <w:rFonts w:ascii="Times New Roman" w:hAnsi="Times New Roman"/>
          <w:b w:val="0"/>
          <w:i/>
          <w:sz w:val="24"/>
          <w:szCs w:val="24"/>
        </w:rPr>
        <w:t>G</w:t>
      </w:r>
      <w:r w:rsidRPr="00DE54E7">
        <w:rPr>
          <w:rFonts w:ascii="Times New Roman" w:hAnsi="Times New Roman"/>
          <w:b w:val="0"/>
          <w:sz w:val="24"/>
          <w:szCs w:val="24"/>
        </w:rPr>
        <w:t xml:space="preserve">(*H) is </w:t>
      </w:r>
      <w:r w:rsidRPr="00DE54E7">
        <w:rPr>
          <w:rFonts w:ascii="Times New Roman" w:hAnsi="Times New Roman"/>
          <w:b w:val="0"/>
          <w:i/>
          <w:sz w:val="24"/>
          <w:szCs w:val="24"/>
        </w:rPr>
        <w:t>G</w:t>
      </w:r>
      <w:r w:rsidRPr="00DE54E7">
        <w:rPr>
          <w:rFonts w:ascii="Times New Roman" w:hAnsi="Times New Roman"/>
          <w:b w:val="0"/>
          <w:sz w:val="24"/>
          <w:szCs w:val="24"/>
        </w:rPr>
        <w:t xml:space="preserve"> of * + H</w:t>
      </w:r>
      <w:r w:rsidRPr="00DE54E7">
        <w:rPr>
          <w:rFonts w:ascii="Times New Roman" w:hAnsi="Times New Roman"/>
          <w:b w:val="0"/>
          <w:sz w:val="24"/>
          <w:szCs w:val="24"/>
          <w:vertAlign w:val="superscript"/>
        </w:rPr>
        <w:t>+</w:t>
      </w:r>
      <w:r w:rsidR="00EA0D8A">
        <w:rPr>
          <w:rFonts w:ascii="Times New Roman" w:hAnsi="Times New Roman"/>
          <w:b w:val="0"/>
          <w:sz w:val="24"/>
          <w:szCs w:val="24"/>
        </w:rPr>
        <w:t>(bulk</w:t>
      </w:r>
      <w:r w:rsidRPr="00DE54E7">
        <w:rPr>
          <w:rFonts w:ascii="Times New Roman" w:hAnsi="Times New Roman"/>
          <w:b w:val="0"/>
          <w:sz w:val="24"/>
          <w:szCs w:val="24"/>
        </w:rPr>
        <w:t>).</w:t>
      </w:r>
    </w:p>
    <w:p w:rsidR="00193256" w:rsidRDefault="00193256" w:rsidP="00226621">
      <w:pPr>
        <w:pStyle w:val="a7"/>
        <w:jc w:val="left"/>
      </w:pPr>
    </w:p>
    <w:p w:rsidR="00226621" w:rsidRDefault="00193256" w:rsidP="00226621">
      <w:pPr>
        <w:keepNext/>
      </w:pPr>
      <w:r>
        <w:rPr>
          <w:noProof/>
          <w:lang w:val="en-US" w:eastAsia="ko-KR"/>
        </w:rPr>
        <w:drawing>
          <wp:inline distT="0" distB="0" distL="0" distR="0" wp14:anchorId="0897BE16" wp14:editId="389BFC3C">
            <wp:extent cx="4645615" cy="3218688"/>
            <wp:effectExtent l="0" t="0" r="3175" b="127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1702" cy="3222906"/>
                    </a:xfrm>
                    <a:prstGeom prst="rect">
                      <a:avLst/>
                    </a:prstGeom>
                  </pic:spPr>
                </pic:pic>
              </a:graphicData>
            </a:graphic>
          </wp:inline>
        </w:drawing>
      </w:r>
    </w:p>
    <w:p w:rsidR="00226621" w:rsidRPr="00226621" w:rsidRDefault="00226621" w:rsidP="00226621">
      <w:pPr>
        <w:pStyle w:val="a7"/>
        <w:rPr>
          <w:rFonts w:ascii="Times New Roman" w:hAnsi="Times New Roman"/>
          <w:b w:val="0"/>
          <w:sz w:val="24"/>
          <w:szCs w:val="24"/>
        </w:rPr>
      </w:pPr>
      <w:bookmarkStart w:id="3" w:name="_Ref60240003"/>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B05F54">
        <w:rPr>
          <w:rFonts w:ascii="Times New Roman" w:hAnsi="Times New Roman"/>
          <w:noProof/>
          <w:sz w:val="24"/>
          <w:szCs w:val="24"/>
        </w:rPr>
        <w:t>5</w:t>
      </w:r>
      <w:r w:rsidRPr="00226621">
        <w:rPr>
          <w:rFonts w:ascii="Times New Roman" w:hAnsi="Times New Roman"/>
          <w:sz w:val="24"/>
          <w:szCs w:val="24"/>
        </w:rPr>
        <w:fldChar w:fldCharType="end"/>
      </w:r>
      <w:bookmarkEnd w:id="3"/>
      <w:r w:rsidRPr="00226621">
        <w:rPr>
          <w:rFonts w:ascii="Times New Roman" w:hAnsi="Times New Roman"/>
          <w:sz w:val="24"/>
          <w:szCs w:val="24"/>
        </w:rPr>
        <w:t xml:space="preserve"> | Free energy diagram of HER</w:t>
      </w:r>
      <w:r w:rsidR="008771BB">
        <w:rPr>
          <w:rFonts w:ascii="Times New Roman" w:hAnsi="Times New Roman"/>
          <w:sz w:val="24"/>
          <w:szCs w:val="24"/>
        </w:rPr>
        <w:t xml:space="preserve"> (acidic condition)</w:t>
      </w:r>
      <w:r w:rsidRPr="00226621">
        <w:rPr>
          <w:rFonts w:ascii="Times New Roman" w:hAnsi="Times New Roman"/>
          <w:sz w:val="24"/>
          <w:szCs w:val="24"/>
        </w:rPr>
        <w:t xml:space="preserve"> at 0 V on Fe@N</w:t>
      </w:r>
      <w:r w:rsidRPr="00226621">
        <w:rPr>
          <w:rFonts w:ascii="Times New Roman" w:hAnsi="Times New Roman"/>
          <w:sz w:val="24"/>
          <w:szCs w:val="24"/>
          <w:vertAlign w:val="subscript"/>
        </w:rPr>
        <w:t>4</w:t>
      </w:r>
      <w:r w:rsidRPr="00226621">
        <w:rPr>
          <w:rFonts w:ascii="Times New Roman" w:hAnsi="Times New Roman"/>
          <w:sz w:val="24"/>
          <w:szCs w:val="24"/>
        </w:rPr>
        <w:t xml:space="preserve"> obtained by the CHE model.</w:t>
      </w:r>
      <w:r w:rsidRPr="00226621">
        <w:rPr>
          <w:rFonts w:ascii="Times New Roman" w:hAnsi="Times New Roman"/>
          <w:b w:val="0"/>
          <w:sz w:val="24"/>
          <w:szCs w:val="24"/>
        </w:rPr>
        <w:t xml:space="preserve"> The transition states of the Volmer and the Heyrovsky are omitted since these reactions proceed without barrier in the CHE model.</w:t>
      </w:r>
    </w:p>
    <w:p w:rsidR="00193256" w:rsidRDefault="00193256" w:rsidP="00193256">
      <w:pPr>
        <w:pStyle w:val="a7"/>
        <w:jc w:val="left"/>
      </w:pPr>
    </w:p>
    <w:p w:rsidR="00226621" w:rsidRDefault="00226621" w:rsidP="00226621">
      <w:pPr>
        <w:rPr>
          <w:lang w:val="en-US" w:eastAsia="ko-KR"/>
        </w:rPr>
      </w:pPr>
    </w:p>
    <w:p w:rsidR="00226621" w:rsidRPr="00226621" w:rsidRDefault="00226621" w:rsidP="00226621">
      <w:pPr>
        <w:rPr>
          <w:lang w:val="en-US" w:eastAsia="ko-KR"/>
        </w:rPr>
      </w:pPr>
    </w:p>
    <w:p w:rsidR="00193256" w:rsidRDefault="00193256" w:rsidP="005E3448">
      <w:pPr>
        <w:rPr>
          <w:lang w:val="en-US" w:eastAsia="ko-KR"/>
        </w:rPr>
      </w:pPr>
    </w:p>
    <w:p w:rsidR="00EA0D8A" w:rsidRPr="005E3448" w:rsidRDefault="00EA0D8A" w:rsidP="005E3448">
      <w:pPr>
        <w:rPr>
          <w:lang w:val="en-US" w:eastAsia="ko-KR"/>
        </w:rPr>
      </w:pPr>
    </w:p>
    <w:p w:rsidR="005E3448" w:rsidRDefault="005E3448" w:rsidP="005E3448">
      <w:pPr>
        <w:spacing w:line="480" w:lineRule="auto"/>
      </w:pPr>
      <w:r>
        <w:rPr>
          <w:rFonts w:hint="eastAsia"/>
        </w:rPr>
        <w:t>Based on the free energy diagram obtained by the CEP model,</w:t>
      </w:r>
      <w:r>
        <w:t xml:space="preserve"> the proton shuttling reaction (H</w:t>
      </w:r>
      <w:r w:rsidRPr="00C655A6">
        <w:rPr>
          <w:vertAlign w:val="superscript"/>
        </w:rPr>
        <w:t>+</w:t>
      </w:r>
      <w:r>
        <w:t>(</w:t>
      </w:r>
      <w:r w:rsidR="00CC388E">
        <w:t>bulk</w:t>
      </w:r>
      <w:r>
        <w:t xml:space="preserve">) </w:t>
      </w:r>
      <w:r>
        <w:rPr>
          <w:rFonts w:ascii="맑은 고딕" w:eastAsia="맑은 고딕" w:hAnsi="맑은 고딕" w:hint="eastAsia"/>
        </w:rPr>
        <w:t>→</w:t>
      </w:r>
      <w:r>
        <w:t xml:space="preserve"> H</w:t>
      </w:r>
      <w:r w:rsidRPr="00C655A6">
        <w:rPr>
          <w:vertAlign w:val="superscript"/>
        </w:rPr>
        <w:t>+</w:t>
      </w:r>
      <w:r w:rsidR="00CC388E">
        <w:t>(</w:t>
      </w:r>
      <w:r>
        <w:t>HP)) is exothermic</w:t>
      </w:r>
      <w:r w:rsidR="000115E3">
        <w:t xml:space="preserve"> (</w:t>
      </w:r>
      <w:r w:rsidR="00EA0D8A">
        <w:fldChar w:fldCharType="begin"/>
      </w:r>
      <w:r w:rsidR="00EA0D8A">
        <w:instrText xml:space="preserve"> REF _Ref60239996 \h </w:instrText>
      </w:r>
      <w:r w:rsidR="00EA0D8A">
        <w:fldChar w:fldCharType="separate"/>
      </w:r>
      <w:r w:rsidR="00B05F54" w:rsidRPr="00226621">
        <w:t xml:space="preserve">Supplementary Fig. </w:t>
      </w:r>
      <w:r w:rsidR="00B05F54">
        <w:rPr>
          <w:noProof/>
        </w:rPr>
        <w:t>4</w:t>
      </w:r>
      <w:r w:rsidR="00EA0D8A">
        <w:fldChar w:fldCharType="end"/>
      </w:r>
      <w:r w:rsidR="000115E3">
        <w:t>)</w:t>
      </w:r>
      <w:r>
        <w:t>. However, the proton shuttling step is highly endothermic in the CHE model. The H</w:t>
      </w:r>
      <w:r w:rsidRPr="00C655A6">
        <w:rPr>
          <w:vertAlign w:val="superscript"/>
        </w:rPr>
        <w:t>+</w:t>
      </w:r>
      <w:r>
        <w:t>(HP) is in ionic state, and hence, the electronic energy of H</w:t>
      </w:r>
      <w:r w:rsidRPr="00C655A6">
        <w:rPr>
          <w:vertAlign w:val="superscript"/>
        </w:rPr>
        <w:t>+</w:t>
      </w:r>
      <w:r w:rsidR="00CC388E">
        <w:t>(</w:t>
      </w:r>
      <w:r>
        <w:t>HP) obtained by the CHE model (in neutral state) is highly unstable</w:t>
      </w:r>
      <w:r w:rsidR="00224031">
        <w:t xml:space="preserve"> (</w:t>
      </w:r>
      <w:r w:rsidR="00EA0D8A">
        <w:fldChar w:fldCharType="begin"/>
      </w:r>
      <w:r w:rsidR="00EA0D8A">
        <w:instrText xml:space="preserve"> REF _Ref60240003 \h </w:instrText>
      </w:r>
      <w:r w:rsidR="00EA0D8A">
        <w:fldChar w:fldCharType="separate"/>
      </w:r>
      <w:r w:rsidR="00B05F54" w:rsidRPr="00226621">
        <w:t xml:space="preserve">Supplementary Fig. </w:t>
      </w:r>
      <w:r w:rsidR="00B05F54">
        <w:rPr>
          <w:noProof/>
        </w:rPr>
        <w:t>5</w:t>
      </w:r>
      <w:r w:rsidR="00EA0D8A">
        <w:fldChar w:fldCharType="end"/>
      </w:r>
      <w:r w:rsidR="00224031">
        <w:t>)</w:t>
      </w:r>
      <w:r>
        <w:t>. We find a saddle point in interface reaction between H</w:t>
      </w:r>
      <w:r w:rsidRPr="00F10433">
        <w:rPr>
          <w:vertAlign w:val="superscript"/>
        </w:rPr>
        <w:t>+</w:t>
      </w:r>
      <w:r w:rsidR="00CC388E">
        <w:t>(</w:t>
      </w:r>
      <w:r>
        <w:t>HP) and * (or *H) in the CEP model. However, the interface reaction proceed without barrier in the CHE model since the instability of H</w:t>
      </w:r>
      <w:r w:rsidRPr="00F10433">
        <w:rPr>
          <w:vertAlign w:val="superscript"/>
        </w:rPr>
        <w:t>+</w:t>
      </w:r>
      <w:r w:rsidR="00CC388E">
        <w:t>(</w:t>
      </w:r>
      <w:r>
        <w:t>HP). Thus, the RDS of HER in the CHE model is proton shuttling step rather than interface reaction.</w:t>
      </w:r>
    </w:p>
    <w:p w:rsidR="007E4D55" w:rsidRDefault="007E4D55" w:rsidP="005E3448">
      <w:pPr>
        <w:spacing w:line="480" w:lineRule="auto"/>
      </w:pPr>
    </w:p>
    <w:p w:rsidR="00226621" w:rsidRDefault="00193256" w:rsidP="00226621">
      <w:pPr>
        <w:keepNext/>
        <w:spacing w:line="480" w:lineRule="auto"/>
      </w:pPr>
      <w:r>
        <w:rPr>
          <w:noProof/>
          <w:lang w:val="en-US" w:eastAsia="ko-KR"/>
        </w:rPr>
        <w:drawing>
          <wp:inline distT="0" distB="0" distL="0" distR="0" wp14:anchorId="06F5D6AD" wp14:editId="4793783C">
            <wp:extent cx="4852255" cy="3855110"/>
            <wp:effectExtent l="0" t="0" r="571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6859" cy="3858768"/>
                    </a:xfrm>
                    <a:prstGeom prst="rect">
                      <a:avLst/>
                    </a:prstGeom>
                  </pic:spPr>
                </pic:pic>
              </a:graphicData>
            </a:graphic>
          </wp:inline>
        </w:drawing>
      </w:r>
    </w:p>
    <w:p w:rsidR="00226621" w:rsidRPr="00226621" w:rsidRDefault="00226621" w:rsidP="00226621">
      <w:pPr>
        <w:pStyle w:val="a7"/>
        <w:spacing w:line="360" w:lineRule="auto"/>
        <w:rPr>
          <w:rFonts w:ascii="Times New Roman" w:hAnsi="Times New Roman"/>
          <w:b w:val="0"/>
          <w:sz w:val="24"/>
          <w:szCs w:val="24"/>
        </w:rPr>
      </w:pPr>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B05F54">
        <w:rPr>
          <w:rFonts w:ascii="Times New Roman" w:hAnsi="Times New Roman"/>
          <w:noProof/>
          <w:sz w:val="24"/>
          <w:szCs w:val="24"/>
        </w:rPr>
        <w:t>6</w:t>
      </w:r>
      <w:r w:rsidRPr="00226621">
        <w:rPr>
          <w:rFonts w:ascii="Times New Roman" w:hAnsi="Times New Roman"/>
          <w:sz w:val="24"/>
          <w:szCs w:val="24"/>
        </w:rPr>
        <w:fldChar w:fldCharType="end"/>
      </w:r>
      <w:r w:rsidRPr="00226621">
        <w:rPr>
          <w:rFonts w:ascii="Times New Roman" w:hAnsi="Times New Roman"/>
          <w:sz w:val="24"/>
          <w:szCs w:val="24"/>
        </w:rPr>
        <w:t xml:space="preserve"> | Free energy diagram for *NNH formation </w:t>
      </w:r>
      <w:r w:rsidR="008771BB">
        <w:rPr>
          <w:rFonts w:ascii="Times New Roman" w:hAnsi="Times New Roman"/>
          <w:sz w:val="24"/>
          <w:szCs w:val="24"/>
        </w:rPr>
        <w:t>under acidic condition.</w:t>
      </w:r>
      <w:r w:rsidRPr="00226621">
        <w:rPr>
          <w:rFonts w:ascii="Times New Roman" w:hAnsi="Times New Roman"/>
          <w:b w:val="0"/>
          <w:sz w:val="24"/>
          <w:szCs w:val="24"/>
        </w:rPr>
        <w:t xml:space="preserve"> The reference state for ∆</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(*NNH) and ∆</w:t>
      </w:r>
      <w:r w:rsidRPr="00226621">
        <w:rPr>
          <w:rFonts w:ascii="Times New Roman" w:hAnsi="Times New Roman"/>
          <w:b w:val="0"/>
          <w:i/>
          <w:sz w:val="24"/>
          <w:szCs w:val="24"/>
        </w:rPr>
        <w:t>G</w:t>
      </w:r>
      <w:r w:rsidRPr="00226621">
        <w:rPr>
          <w:rFonts w:ascii="Times New Roman" w:hAnsi="Times New Roman"/>
          <w:b w:val="0"/>
          <w:sz w:val="24"/>
          <w:szCs w:val="24"/>
        </w:rPr>
        <w:t>(*NNH) is *N</w:t>
      </w:r>
      <w:r w:rsidRPr="00226621">
        <w:rPr>
          <w:rFonts w:ascii="Times New Roman" w:hAnsi="Times New Roman"/>
          <w:b w:val="0"/>
          <w:sz w:val="24"/>
          <w:szCs w:val="24"/>
          <w:vertAlign w:val="subscript"/>
        </w:rPr>
        <w:t>2</w:t>
      </w:r>
      <w:r w:rsidRPr="00226621">
        <w:rPr>
          <w:rFonts w:ascii="Times New Roman" w:hAnsi="Times New Roman"/>
          <w:b w:val="0"/>
          <w:sz w:val="24"/>
          <w:szCs w:val="24"/>
        </w:rPr>
        <w:t xml:space="preserve"> + H</w:t>
      </w:r>
      <w:r w:rsidRPr="00226621">
        <w:rPr>
          <w:rFonts w:ascii="Times New Roman" w:hAnsi="Times New Roman"/>
          <w:b w:val="0"/>
          <w:sz w:val="24"/>
          <w:szCs w:val="24"/>
          <w:vertAlign w:val="superscript"/>
        </w:rPr>
        <w:t>+</w:t>
      </w:r>
      <w:r w:rsidRPr="00226621">
        <w:rPr>
          <w:rFonts w:ascii="Times New Roman" w:hAnsi="Times New Roman"/>
          <w:b w:val="0"/>
          <w:sz w:val="24"/>
          <w:szCs w:val="24"/>
        </w:rPr>
        <w:t>(</w:t>
      </w:r>
      <w:r w:rsidR="00D850AA">
        <w:rPr>
          <w:rFonts w:ascii="Times New Roman" w:hAnsi="Times New Roman"/>
          <w:b w:val="0"/>
          <w:sz w:val="24"/>
          <w:szCs w:val="24"/>
        </w:rPr>
        <w:t>bulk</w:t>
      </w:r>
      <w:r w:rsidRPr="00226621">
        <w:rPr>
          <w:rFonts w:ascii="Times New Roman" w:hAnsi="Times New Roman"/>
          <w:b w:val="0"/>
          <w:sz w:val="24"/>
          <w:szCs w:val="24"/>
        </w:rPr>
        <w:t>).</w:t>
      </w:r>
    </w:p>
    <w:p w:rsidR="00193256" w:rsidRDefault="00193256" w:rsidP="00193256">
      <w:pPr>
        <w:pStyle w:val="a7"/>
        <w:jc w:val="left"/>
      </w:pPr>
    </w:p>
    <w:p w:rsidR="005E3448" w:rsidRPr="005E3448" w:rsidRDefault="005E3448" w:rsidP="005E3448">
      <w:pPr>
        <w:rPr>
          <w:lang w:eastAsia="ko-KR"/>
        </w:rPr>
      </w:pPr>
    </w:p>
    <w:p w:rsidR="00250017" w:rsidRDefault="00250017" w:rsidP="005E3448">
      <w:pPr>
        <w:pStyle w:val="a7"/>
        <w:jc w:val="left"/>
        <w:rPr>
          <w:rFonts w:ascii="Times New Roman" w:hAnsi="Times New Roman"/>
          <w:sz w:val="24"/>
        </w:rPr>
      </w:pPr>
    </w:p>
    <w:p w:rsidR="00226621" w:rsidRDefault="00C42676" w:rsidP="00226621">
      <w:pPr>
        <w:pStyle w:val="P1"/>
        <w:keepNext/>
        <w:spacing w:line="480" w:lineRule="auto"/>
      </w:pPr>
      <w:r>
        <w:rPr>
          <w:noProof/>
          <w:lang w:eastAsia="ko-KR"/>
        </w:rPr>
        <w:lastRenderedPageBreak/>
        <w:drawing>
          <wp:inline distT="0" distB="0" distL="0" distR="0" wp14:anchorId="79643DAE" wp14:editId="1FF2A34C">
            <wp:extent cx="6371590" cy="2626995"/>
            <wp:effectExtent l="0" t="0" r="0" b="190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1590" cy="2626995"/>
                    </a:xfrm>
                    <a:prstGeom prst="rect">
                      <a:avLst/>
                    </a:prstGeom>
                  </pic:spPr>
                </pic:pic>
              </a:graphicData>
            </a:graphic>
          </wp:inline>
        </w:drawing>
      </w:r>
    </w:p>
    <w:p w:rsidR="00226621" w:rsidRPr="00226621" w:rsidRDefault="00226621" w:rsidP="00226621">
      <w:pPr>
        <w:pStyle w:val="a7"/>
        <w:spacing w:line="480" w:lineRule="auto"/>
        <w:jc w:val="left"/>
        <w:rPr>
          <w:rFonts w:ascii="Times New Roman" w:hAnsi="Times New Roman"/>
          <w:b w:val="0"/>
          <w:sz w:val="24"/>
          <w:szCs w:val="24"/>
        </w:rPr>
      </w:pPr>
      <w:r w:rsidRPr="00226621">
        <w:rPr>
          <w:rFonts w:ascii="Times New Roman" w:hAnsi="Times New Roman"/>
          <w:sz w:val="24"/>
          <w:szCs w:val="24"/>
        </w:rPr>
        <w:t xml:space="preserve">Supplementary Fig. </w:t>
      </w:r>
      <w:r w:rsidRPr="000E0603">
        <w:rPr>
          <w:rFonts w:ascii="Times New Roman" w:hAnsi="Times New Roman"/>
          <w:sz w:val="24"/>
          <w:szCs w:val="24"/>
        </w:rPr>
        <w:fldChar w:fldCharType="begin"/>
      </w:r>
      <w:r w:rsidRPr="008771BB">
        <w:rPr>
          <w:rFonts w:ascii="Times New Roman" w:hAnsi="Times New Roman"/>
          <w:sz w:val="24"/>
          <w:szCs w:val="24"/>
        </w:rPr>
        <w:instrText xml:space="preserve"> SEQ Supplementary_Fig. \* ARABIC </w:instrText>
      </w:r>
      <w:r w:rsidRPr="000E0603">
        <w:rPr>
          <w:rFonts w:ascii="Times New Roman" w:hAnsi="Times New Roman"/>
          <w:sz w:val="24"/>
          <w:szCs w:val="24"/>
        </w:rPr>
        <w:fldChar w:fldCharType="separate"/>
      </w:r>
      <w:r w:rsidR="00B05F54" w:rsidRPr="008771BB">
        <w:rPr>
          <w:rFonts w:ascii="Times New Roman" w:hAnsi="Times New Roman"/>
          <w:noProof/>
          <w:sz w:val="24"/>
          <w:szCs w:val="24"/>
        </w:rPr>
        <w:t>7</w:t>
      </w:r>
      <w:r w:rsidRPr="000E0603">
        <w:rPr>
          <w:rFonts w:ascii="Times New Roman" w:hAnsi="Times New Roman"/>
          <w:sz w:val="24"/>
          <w:szCs w:val="24"/>
        </w:rPr>
        <w:fldChar w:fldCharType="end"/>
      </w:r>
      <w:r w:rsidRPr="008771BB">
        <w:rPr>
          <w:rFonts w:ascii="Times New Roman" w:hAnsi="Times New Roman"/>
          <w:sz w:val="24"/>
          <w:szCs w:val="24"/>
        </w:rPr>
        <w:t xml:space="preserve"> | </w:t>
      </w:r>
      <w:r w:rsidRPr="000E0603">
        <w:rPr>
          <w:rFonts w:ascii="Times New Roman" w:hAnsi="Times New Roman"/>
          <w:sz w:val="24"/>
          <w:szCs w:val="24"/>
        </w:rPr>
        <w:t>Free energy diagram for HER on Fe@N</w:t>
      </w:r>
      <w:r w:rsidRPr="000E0603">
        <w:rPr>
          <w:rFonts w:ascii="Times New Roman" w:hAnsi="Times New Roman"/>
          <w:sz w:val="24"/>
          <w:szCs w:val="24"/>
          <w:vertAlign w:val="subscript"/>
        </w:rPr>
        <w:t>4</w:t>
      </w:r>
      <w:r w:rsidRPr="000E0603">
        <w:rPr>
          <w:rFonts w:ascii="Times New Roman" w:hAnsi="Times New Roman"/>
          <w:sz w:val="24"/>
          <w:szCs w:val="24"/>
        </w:rPr>
        <w:t xml:space="preserve"> </w:t>
      </w:r>
      <w:r w:rsidR="008771BB" w:rsidRPr="000E0603">
        <w:rPr>
          <w:rFonts w:ascii="Times New Roman" w:hAnsi="Times New Roman"/>
          <w:sz w:val="24"/>
          <w:szCs w:val="24"/>
        </w:rPr>
        <w:t xml:space="preserve">under alkaline condition. </w:t>
      </w:r>
      <w:r w:rsidR="008771BB">
        <w:rPr>
          <w:rFonts w:ascii="Times New Roman" w:hAnsi="Times New Roman"/>
          <w:b w:val="0"/>
          <w:sz w:val="24"/>
          <w:szCs w:val="24"/>
        </w:rPr>
        <w:t xml:space="preserve">Free energy diagram </w:t>
      </w:r>
      <w:r w:rsidRPr="00226621">
        <w:rPr>
          <w:rFonts w:ascii="Times New Roman" w:hAnsi="Times New Roman"/>
          <w:b w:val="0"/>
          <w:sz w:val="24"/>
          <w:szCs w:val="24"/>
        </w:rPr>
        <w:t xml:space="preserve">obtained by (a) the CHE model and (b) the CEP model. All energies and </w:t>
      </w:r>
      <w:r w:rsidRPr="00226621">
        <w:rPr>
          <w:rFonts w:ascii="Times New Roman" w:hAnsi="Times New Roman"/>
          <w:b w:val="0"/>
          <w:i/>
          <w:sz w:val="24"/>
          <w:szCs w:val="24"/>
        </w:rPr>
        <w:t>U</w:t>
      </w:r>
      <w:r w:rsidRPr="00226621">
        <w:rPr>
          <w:rFonts w:ascii="Times New Roman" w:hAnsi="Times New Roman"/>
          <w:b w:val="0"/>
          <w:sz w:val="24"/>
          <w:szCs w:val="24"/>
        </w:rPr>
        <w:t xml:space="preserve"> are in RHE scale at pH = 13.</w:t>
      </w:r>
    </w:p>
    <w:p w:rsidR="00250017" w:rsidRDefault="0025001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Default="00767CB7" w:rsidP="00250017">
      <w:pPr>
        <w:spacing w:line="480" w:lineRule="auto"/>
      </w:pPr>
    </w:p>
    <w:p w:rsidR="00767CB7" w:rsidRPr="00250017" w:rsidRDefault="00767CB7" w:rsidP="00767CB7">
      <w:pPr>
        <w:pStyle w:val="10"/>
      </w:pPr>
      <w:r>
        <w:t>Supplementary Note 4. Potential-dependent ∆∆</w:t>
      </w:r>
      <w:r w:rsidRPr="005E6863">
        <w:rPr>
          <w:i/>
        </w:rPr>
        <w:t>G</w:t>
      </w:r>
      <w:r>
        <w:t xml:space="preserve"> and ∆∆</w:t>
      </w:r>
      <w:r w:rsidRPr="005E6863">
        <w:rPr>
          <w:i/>
        </w:rPr>
        <w:t>G</w:t>
      </w:r>
      <w:r w:rsidRPr="000E0603">
        <w:rPr>
          <w:vertAlign w:val="subscript"/>
        </w:rPr>
        <w:t>a</w:t>
      </w:r>
      <w:r w:rsidRPr="000E0603">
        <w:rPr>
          <w:vertAlign w:val="superscript"/>
        </w:rPr>
        <w:t>‡</w:t>
      </w:r>
      <w:r>
        <w:t>.</w:t>
      </w:r>
    </w:p>
    <w:p w:rsidR="00767CB7" w:rsidRDefault="00767CB7" w:rsidP="000E0603">
      <w:pPr>
        <w:pStyle w:val="a7"/>
        <w:spacing w:line="480" w:lineRule="auto"/>
      </w:pPr>
      <w:r w:rsidRPr="00250017">
        <w:rPr>
          <w:rFonts w:ascii="Times New Roman" w:hAnsi="Times New Roman"/>
          <w:b w:val="0"/>
          <w:sz w:val="24"/>
          <w:szCs w:val="24"/>
        </w:rPr>
        <w:t xml:space="preserve">The </w:t>
      </w:r>
      <w:r w:rsidRPr="00250017">
        <w:rPr>
          <w:rFonts w:ascii="Times New Roman" w:eastAsia="바탕" w:hAnsi="Times New Roman"/>
          <w:b w:val="0"/>
          <w:sz w:val="24"/>
          <w:szCs w:val="24"/>
        </w:rPr>
        <w:t>∆</w:t>
      </w:r>
      <w:r w:rsidRPr="00250017">
        <w:rPr>
          <w:rFonts w:ascii="Times New Roman" w:hAnsi="Times New Roman"/>
          <w:b w:val="0"/>
          <w:i/>
          <w:sz w:val="24"/>
          <w:szCs w:val="24"/>
        </w:rPr>
        <w:t>G</w:t>
      </w:r>
      <w:r w:rsidRPr="00250017">
        <w:rPr>
          <w:rFonts w:ascii="Times New Roman" w:hAnsi="Times New Roman"/>
          <w:b w:val="0"/>
          <w:sz w:val="24"/>
          <w:szCs w:val="24"/>
          <w:vertAlign w:val="subscript"/>
        </w:rPr>
        <w:t>a</w:t>
      </w:r>
      <w:r w:rsidRPr="00250017">
        <w:rPr>
          <w:rFonts w:ascii="Times New Roman" w:hAnsi="Times New Roman"/>
          <w:b w:val="0"/>
          <w:sz w:val="24"/>
          <w:szCs w:val="24"/>
          <w:vertAlign w:val="superscript"/>
        </w:rPr>
        <w:t>‡</w:t>
      </w:r>
      <w:r w:rsidRPr="00250017">
        <w:rPr>
          <w:rFonts w:ascii="Times New Roman" w:hAnsi="Times New Roman"/>
          <w:b w:val="0"/>
          <w:sz w:val="24"/>
          <w:szCs w:val="24"/>
        </w:rPr>
        <w:t xml:space="preserve">(*NNH) - </w:t>
      </w:r>
      <w:r w:rsidRPr="00250017">
        <w:rPr>
          <w:rFonts w:ascii="Times New Roman" w:eastAsia="바탕" w:hAnsi="Times New Roman"/>
          <w:b w:val="0"/>
          <w:sz w:val="24"/>
          <w:szCs w:val="24"/>
        </w:rPr>
        <w:t>∆</w:t>
      </w:r>
      <w:r w:rsidRPr="00250017">
        <w:rPr>
          <w:rFonts w:ascii="Times New Roman" w:hAnsi="Times New Roman"/>
          <w:b w:val="0"/>
          <w:i/>
          <w:sz w:val="24"/>
          <w:szCs w:val="24"/>
        </w:rPr>
        <w:t>G</w:t>
      </w:r>
      <w:r w:rsidRPr="00250017">
        <w:rPr>
          <w:rFonts w:ascii="Times New Roman" w:hAnsi="Times New Roman"/>
          <w:b w:val="0"/>
          <w:sz w:val="24"/>
          <w:szCs w:val="24"/>
          <w:vertAlign w:val="subscript"/>
        </w:rPr>
        <w:t>a</w:t>
      </w:r>
      <w:r w:rsidRPr="00250017">
        <w:rPr>
          <w:rFonts w:ascii="Times New Roman" w:hAnsi="Times New Roman"/>
          <w:b w:val="0"/>
          <w:sz w:val="24"/>
          <w:szCs w:val="24"/>
          <w:vertAlign w:val="superscript"/>
        </w:rPr>
        <w:t>‡</w:t>
      </w:r>
      <w:r w:rsidRPr="00250017">
        <w:rPr>
          <w:rFonts w:ascii="Times New Roman" w:hAnsi="Times New Roman"/>
          <w:b w:val="0"/>
          <w:sz w:val="24"/>
          <w:szCs w:val="24"/>
        </w:rPr>
        <w:t xml:space="preserve">(*H) and </w:t>
      </w:r>
      <w:r w:rsidRPr="00250017">
        <w:rPr>
          <w:rFonts w:ascii="Times New Roman" w:eastAsia="바탕" w:hAnsi="Times New Roman"/>
          <w:b w:val="0"/>
          <w:sz w:val="24"/>
          <w:szCs w:val="24"/>
        </w:rPr>
        <w:t>∆</w:t>
      </w:r>
      <w:r w:rsidRPr="00250017">
        <w:rPr>
          <w:rFonts w:ascii="Times New Roman" w:hAnsi="Times New Roman"/>
          <w:b w:val="0"/>
          <w:i/>
          <w:sz w:val="24"/>
          <w:szCs w:val="24"/>
        </w:rPr>
        <w:t>G</w:t>
      </w:r>
      <w:r w:rsidRPr="00250017">
        <w:rPr>
          <w:rFonts w:ascii="Times New Roman" w:hAnsi="Times New Roman"/>
          <w:b w:val="0"/>
          <w:sz w:val="24"/>
          <w:szCs w:val="24"/>
        </w:rPr>
        <w:t xml:space="preserve">(*NNH) - </w:t>
      </w:r>
      <w:r w:rsidRPr="00250017">
        <w:rPr>
          <w:rFonts w:ascii="Times New Roman" w:eastAsia="바탕" w:hAnsi="Times New Roman"/>
          <w:b w:val="0"/>
          <w:sz w:val="24"/>
          <w:szCs w:val="24"/>
        </w:rPr>
        <w:t>∆</w:t>
      </w:r>
      <w:r w:rsidRPr="00250017">
        <w:rPr>
          <w:rFonts w:ascii="Times New Roman" w:hAnsi="Times New Roman"/>
          <w:b w:val="0"/>
          <w:i/>
          <w:sz w:val="24"/>
          <w:szCs w:val="24"/>
        </w:rPr>
        <w:t>G</w:t>
      </w:r>
      <w:r w:rsidRPr="00250017">
        <w:rPr>
          <w:rFonts w:ascii="Times New Roman" w:hAnsi="Times New Roman"/>
          <w:b w:val="0"/>
          <w:sz w:val="24"/>
          <w:szCs w:val="24"/>
        </w:rPr>
        <w:t>(*H) increases with more negative potential (</w:t>
      </w:r>
      <w:r>
        <w:rPr>
          <w:rFonts w:ascii="Times New Roman" w:hAnsi="Times New Roman"/>
          <w:b w:val="0"/>
          <w:sz w:val="24"/>
          <w:szCs w:val="24"/>
        </w:rPr>
        <w:fldChar w:fldCharType="begin"/>
      </w:r>
      <w:r>
        <w:rPr>
          <w:rFonts w:ascii="Times New Roman" w:hAnsi="Times New Roman"/>
          <w:b w:val="0"/>
          <w:sz w:val="24"/>
          <w:szCs w:val="24"/>
        </w:rPr>
        <w:instrText xml:space="preserve"> REF _Ref60240160 \h </w:instrText>
      </w:r>
      <w:r>
        <w:rPr>
          <w:rFonts w:ascii="Times New Roman" w:hAnsi="Times New Roman"/>
          <w:b w:val="0"/>
          <w:sz w:val="24"/>
          <w:szCs w:val="24"/>
        </w:rPr>
      </w:r>
      <w:r>
        <w:rPr>
          <w:rFonts w:ascii="Times New Roman" w:hAnsi="Times New Roman"/>
          <w:b w:val="0"/>
          <w:sz w:val="24"/>
          <w:szCs w:val="24"/>
        </w:rPr>
        <w:fldChar w:fldCharType="separate"/>
      </w:r>
      <w:r w:rsidRPr="00226621">
        <w:rPr>
          <w:rFonts w:ascii="Times New Roman" w:hAnsi="Times New Roman"/>
          <w:sz w:val="24"/>
          <w:szCs w:val="24"/>
        </w:rPr>
        <w:t xml:space="preserve">Supplementary Fig. </w:t>
      </w:r>
      <w:r>
        <w:rPr>
          <w:rFonts w:ascii="Times New Roman" w:hAnsi="Times New Roman"/>
          <w:noProof/>
          <w:sz w:val="24"/>
          <w:szCs w:val="24"/>
        </w:rPr>
        <w:t>8</w:t>
      </w:r>
      <w:r>
        <w:rPr>
          <w:rFonts w:ascii="Times New Roman" w:hAnsi="Times New Roman"/>
          <w:b w:val="0"/>
          <w:sz w:val="24"/>
          <w:szCs w:val="24"/>
        </w:rPr>
        <w:fldChar w:fldCharType="end"/>
      </w:r>
      <w:r>
        <w:rPr>
          <w:rFonts w:ascii="Times New Roman" w:hAnsi="Times New Roman"/>
          <w:b w:val="0"/>
          <w:sz w:val="24"/>
          <w:szCs w:val="24"/>
        </w:rPr>
        <w:t xml:space="preserve"> and </w:t>
      </w:r>
      <w:r>
        <w:rPr>
          <w:rFonts w:ascii="Times New Roman" w:hAnsi="Times New Roman"/>
          <w:b w:val="0"/>
          <w:sz w:val="24"/>
          <w:szCs w:val="24"/>
        </w:rPr>
        <w:fldChar w:fldCharType="begin"/>
      </w:r>
      <w:r>
        <w:rPr>
          <w:rFonts w:ascii="Times New Roman" w:hAnsi="Times New Roman"/>
          <w:b w:val="0"/>
          <w:sz w:val="24"/>
          <w:szCs w:val="24"/>
        </w:rPr>
        <w:instrText xml:space="preserve"> REF _Ref60240064 \h </w:instrText>
      </w:r>
      <w:r>
        <w:rPr>
          <w:rFonts w:ascii="Times New Roman" w:hAnsi="Times New Roman"/>
          <w:b w:val="0"/>
          <w:sz w:val="24"/>
          <w:szCs w:val="24"/>
        </w:rPr>
      </w:r>
      <w:r>
        <w:rPr>
          <w:rFonts w:ascii="Times New Roman" w:hAnsi="Times New Roman"/>
          <w:b w:val="0"/>
          <w:sz w:val="24"/>
          <w:szCs w:val="24"/>
        </w:rPr>
        <w:fldChar w:fldCharType="separate"/>
      </w:r>
      <w:r w:rsidRPr="00226621">
        <w:rPr>
          <w:rFonts w:ascii="Times New Roman" w:hAnsi="Times New Roman"/>
          <w:sz w:val="24"/>
          <w:szCs w:val="24"/>
        </w:rPr>
        <w:t xml:space="preserve">Supplementary Fig. </w:t>
      </w:r>
      <w:r>
        <w:rPr>
          <w:rFonts w:ascii="Times New Roman" w:hAnsi="Times New Roman"/>
          <w:noProof/>
          <w:sz w:val="24"/>
          <w:szCs w:val="24"/>
        </w:rPr>
        <w:t>9</w:t>
      </w:r>
      <w:r>
        <w:rPr>
          <w:rFonts w:ascii="Times New Roman" w:hAnsi="Times New Roman"/>
          <w:b w:val="0"/>
          <w:sz w:val="24"/>
          <w:szCs w:val="24"/>
        </w:rPr>
        <w:fldChar w:fldCharType="end"/>
      </w:r>
      <w:r w:rsidRPr="00250017">
        <w:rPr>
          <w:rFonts w:ascii="Times New Roman" w:hAnsi="Times New Roman"/>
          <w:b w:val="0"/>
          <w:sz w:val="24"/>
          <w:szCs w:val="24"/>
        </w:rPr>
        <w:t>). This result indicates that the difference between reaction rates of NRR (</w:t>
      </w:r>
      <w:r w:rsidRPr="00250017">
        <w:rPr>
          <w:rFonts w:ascii="Times New Roman" w:hAnsi="Times New Roman"/>
          <w:b w:val="0"/>
          <w:i/>
          <w:sz w:val="24"/>
          <w:szCs w:val="24"/>
        </w:rPr>
        <w:t>r</w:t>
      </w:r>
      <w:r w:rsidRPr="00250017">
        <w:rPr>
          <w:rFonts w:ascii="Times New Roman" w:hAnsi="Times New Roman"/>
          <w:b w:val="0"/>
          <w:sz w:val="24"/>
          <w:szCs w:val="24"/>
          <w:vertAlign w:val="subscript"/>
        </w:rPr>
        <w:t>NRR</w:t>
      </w:r>
      <w:r w:rsidRPr="00250017">
        <w:rPr>
          <w:rFonts w:ascii="Times New Roman" w:hAnsi="Times New Roman"/>
          <w:b w:val="0"/>
          <w:sz w:val="24"/>
          <w:szCs w:val="24"/>
        </w:rPr>
        <w:t>) and that of HER (</w:t>
      </w:r>
      <w:r w:rsidRPr="00250017">
        <w:rPr>
          <w:rFonts w:ascii="Times New Roman" w:hAnsi="Times New Roman"/>
          <w:b w:val="0"/>
          <w:i/>
          <w:sz w:val="24"/>
          <w:szCs w:val="24"/>
        </w:rPr>
        <w:t>r</w:t>
      </w:r>
      <w:r w:rsidRPr="00250017">
        <w:rPr>
          <w:rFonts w:ascii="Times New Roman" w:hAnsi="Times New Roman"/>
          <w:b w:val="0"/>
          <w:sz w:val="24"/>
          <w:szCs w:val="24"/>
          <w:vertAlign w:val="subscript"/>
        </w:rPr>
        <w:t>HER</w:t>
      </w:r>
      <w:r w:rsidRPr="00250017">
        <w:rPr>
          <w:rFonts w:ascii="Times New Roman" w:hAnsi="Times New Roman"/>
          <w:b w:val="0"/>
          <w:sz w:val="24"/>
          <w:szCs w:val="24"/>
        </w:rPr>
        <w:t xml:space="preserve">) would increase with more negative potential. The decrease of relative </w:t>
      </w:r>
      <w:r w:rsidRPr="00250017">
        <w:rPr>
          <w:rFonts w:ascii="Times New Roman" w:hAnsi="Times New Roman"/>
          <w:b w:val="0"/>
          <w:i/>
          <w:sz w:val="24"/>
          <w:szCs w:val="24"/>
        </w:rPr>
        <w:t>r</w:t>
      </w:r>
      <w:r w:rsidRPr="00250017">
        <w:rPr>
          <w:rFonts w:ascii="Times New Roman" w:hAnsi="Times New Roman"/>
          <w:b w:val="0"/>
          <w:sz w:val="24"/>
          <w:szCs w:val="24"/>
          <w:vertAlign w:val="subscript"/>
        </w:rPr>
        <w:t>NRR</w:t>
      </w:r>
      <w:r w:rsidRPr="00250017">
        <w:rPr>
          <w:rFonts w:ascii="Times New Roman" w:hAnsi="Times New Roman"/>
          <w:b w:val="0"/>
          <w:sz w:val="24"/>
          <w:szCs w:val="24"/>
        </w:rPr>
        <w:t xml:space="preserve"> compared to </w:t>
      </w:r>
      <w:r w:rsidRPr="00250017">
        <w:rPr>
          <w:rFonts w:ascii="Times New Roman" w:hAnsi="Times New Roman"/>
          <w:b w:val="0"/>
          <w:i/>
          <w:sz w:val="24"/>
          <w:szCs w:val="24"/>
        </w:rPr>
        <w:t>r</w:t>
      </w:r>
      <w:r w:rsidRPr="00250017">
        <w:rPr>
          <w:rFonts w:ascii="Times New Roman" w:hAnsi="Times New Roman"/>
          <w:b w:val="0"/>
          <w:sz w:val="24"/>
          <w:szCs w:val="24"/>
          <w:vertAlign w:val="subscript"/>
        </w:rPr>
        <w:t>HER</w:t>
      </w:r>
      <w:r w:rsidRPr="00250017">
        <w:rPr>
          <w:rFonts w:ascii="Times New Roman" w:hAnsi="Times New Roman"/>
          <w:b w:val="0"/>
          <w:sz w:val="24"/>
          <w:szCs w:val="24"/>
        </w:rPr>
        <w:t xml:space="preserve"> thus also contributes to the decrease in faradaic efficiency with more negative potential, in addition to decreasing N</w:t>
      </w:r>
      <w:r w:rsidRPr="00250017">
        <w:rPr>
          <w:rFonts w:ascii="Times New Roman" w:hAnsi="Times New Roman"/>
          <w:b w:val="0"/>
          <w:sz w:val="24"/>
          <w:szCs w:val="24"/>
          <w:vertAlign w:val="subscript"/>
        </w:rPr>
        <w:t>2</w:t>
      </w:r>
      <w:r w:rsidRPr="00250017">
        <w:rPr>
          <w:rFonts w:ascii="Times New Roman" w:hAnsi="Times New Roman"/>
          <w:b w:val="0"/>
          <w:sz w:val="24"/>
          <w:szCs w:val="24"/>
        </w:rPr>
        <w:t xml:space="preserve"> coverage.</w:t>
      </w:r>
    </w:p>
    <w:p w:rsidR="00767CB7" w:rsidRPr="000E0603" w:rsidRDefault="00767CB7" w:rsidP="000E0603">
      <w:pPr>
        <w:rPr>
          <w:lang w:val="en-US" w:eastAsia="ko-KR"/>
        </w:rPr>
      </w:pPr>
    </w:p>
    <w:p w:rsidR="00226621" w:rsidRDefault="00224031" w:rsidP="00226621">
      <w:pPr>
        <w:keepNext/>
        <w:spacing w:line="480" w:lineRule="auto"/>
      </w:pPr>
      <w:r>
        <w:rPr>
          <w:noProof/>
          <w:lang w:val="en-US" w:eastAsia="ko-KR"/>
        </w:rPr>
        <w:drawing>
          <wp:inline distT="0" distB="0" distL="0" distR="0" wp14:anchorId="7DB58667" wp14:editId="37F216CD">
            <wp:extent cx="5731510" cy="233108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31085"/>
                    </a:xfrm>
                    <a:prstGeom prst="rect">
                      <a:avLst/>
                    </a:prstGeom>
                  </pic:spPr>
                </pic:pic>
              </a:graphicData>
            </a:graphic>
          </wp:inline>
        </w:drawing>
      </w:r>
    </w:p>
    <w:p w:rsidR="00226621" w:rsidRDefault="00226621" w:rsidP="00226621">
      <w:pPr>
        <w:pStyle w:val="a7"/>
        <w:jc w:val="left"/>
        <w:rPr>
          <w:rFonts w:ascii="Times New Roman" w:hAnsi="Times New Roman"/>
          <w:b w:val="0"/>
          <w:sz w:val="24"/>
          <w:szCs w:val="24"/>
        </w:rPr>
      </w:pPr>
      <w:bookmarkStart w:id="4" w:name="_Ref60240160"/>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767CB7">
        <w:rPr>
          <w:rFonts w:ascii="Times New Roman" w:hAnsi="Times New Roman"/>
          <w:noProof/>
          <w:sz w:val="24"/>
          <w:szCs w:val="24"/>
        </w:rPr>
        <w:t>8</w:t>
      </w:r>
      <w:r w:rsidRPr="00226621">
        <w:rPr>
          <w:rFonts w:ascii="Times New Roman" w:hAnsi="Times New Roman"/>
          <w:sz w:val="24"/>
          <w:szCs w:val="24"/>
        </w:rPr>
        <w:fldChar w:fldCharType="end"/>
      </w:r>
      <w:bookmarkEnd w:id="4"/>
      <w:r w:rsidRPr="00226621">
        <w:rPr>
          <w:rFonts w:ascii="Times New Roman" w:hAnsi="Times New Roman"/>
          <w:sz w:val="24"/>
          <w:szCs w:val="24"/>
        </w:rPr>
        <w:t xml:space="preserve"> | </w:t>
      </w:r>
      <w:r w:rsidR="00767CB7">
        <w:rPr>
          <w:rFonts w:ascii="Times New Roman" w:hAnsi="Times New Roman"/>
          <w:sz w:val="24"/>
          <w:szCs w:val="24"/>
        </w:rPr>
        <w:t xml:space="preserve">Potential-dependent changes in </w:t>
      </w:r>
      <w:r w:rsidR="00767CB7" w:rsidRPr="00767CB7">
        <w:rPr>
          <w:rFonts w:ascii="Times New Roman" w:hAnsi="Times New Roman"/>
          <w:sz w:val="24"/>
          <w:szCs w:val="24"/>
        </w:rPr>
        <w:t>∆∆</w:t>
      </w:r>
      <w:r w:rsidR="00767CB7" w:rsidRPr="000E0603">
        <w:rPr>
          <w:rFonts w:ascii="Times New Roman" w:hAnsi="Times New Roman"/>
          <w:i/>
          <w:sz w:val="24"/>
          <w:szCs w:val="24"/>
        </w:rPr>
        <w:t>G</w:t>
      </w:r>
      <w:r w:rsidR="00767CB7" w:rsidRPr="00767CB7">
        <w:rPr>
          <w:rFonts w:ascii="Times New Roman" w:hAnsi="Times New Roman"/>
          <w:sz w:val="24"/>
          <w:szCs w:val="24"/>
        </w:rPr>
        <w:t xml:space="preserve"> and ∆∆</w:t>
      </w:r>
      <w:r w:rsidR="00767CB7" w:rsidRPr="000E0603">
        <w:rPr>
          <w:rFonts w:ascii="Times New Roman" w:hAnsi="Times New Roman"/>
          <w:i/>
          <w:sz w:val="24"/>
          <w:szCs w:val="24"/>
        </w:rPr>
        <w:t>G</w:t>
      </w:r>
      <w:r w:rsidR="00767CB7" w:rsidRPr="000E0603">
        <w:rPr>
          <w:rFonts w:ascii="Times New Roman" w:hAnsi="Times New Roman"/>
          <w:sz w:val="24"/>
          <w:szCs w:val="24"/>
          <w:vertAlign w:val="subscript"/>
        </w:rPr>
        <w:t>a</w:t>
      </w:r>
      <w:r w:rsidR="00767CB7" w:rsidRPr="000E0603">
        <w:rPr>
          <w:rFonts w:ascii="Times New Roman" w:hAnsi="Times New Roman"/>
          <w:sz w:val="24"/>
          <w:szCs w:val="24"/>
          <w:vertAlign w:val="superscript"/>
        </w:rPr>
        <w:t>‡</w:t>
      </w:r>
      <w:r w:rsidR="00767CB7">
        <w:rPr>
          <w:rFonts w:ascii="Times New Roman" w:hAnsi="Times New Roman"/>
          <w:sz w:val="24"/>
          <w:szCs w:val="24"/>
        </w:rPr>
        <w:t xml:space="preserve"> under acidic condition</w:t>
      </w:r>
      <w:r w:rsidR="00767CB7" w:rsidRPr="00767CB7">
        <w:rPr>
          <w:rFonts w:ascii="Times New Roman" w:hAnsi="Times New Roman"/>
          <w:sz w:val="24"/>
          <w:szCs w:val="24"/>
        </w:rPr>
        <w:t>.</w:t>
      </w:r>
      <w:r w:rsidR="00767CB7">
        <w:rPr>
          <w:rFonts w:ascii="Times New Roman" w:hAnsi="Times New Roman"/>
          <w:sz w:val="24"/>
          <w:szCs w:val="24"/>
        </w:rPr>
        <w:t xml:space="preserve">  </w:t>
      </w:r>
      <w:r w:rsidRPr="00226621">
        <w:rPr>
          <w:rFonts w:ascii="Times New Roman" w:hAnsi="Times New Roman"/>
          <w:b w:val="0"/>
          <w:sz w:val="24"/>
          <w:szCs w:val="24"/>
        </w:rPr>
        <w:t>Changes in (a) ∆</w:t>
      </w:r>
      <w:r w:rsidRPr="00226621">
        <w:rPr>
          <w:rFonts w:ascii="Times New Roman" w:hAnsi="Times New Roman"/>
          <w:b w:val="0"/>
          <w:i/>
          <w:sz w:val="24"/>
          <w:szCs w:val="24"/>
        </w:rPr>
        <w:t>G</w:t>
      </w:r>
      <w:r w:rsidRPr="00226621">
        <w:rPr>
          <w:rFonts w:ascii="Times New Roman" w:hAnsi="Times New Roman"/>
          <w:b w:val="0"/>
          <w:sz w:val="24"/>
          <w:szCs w:val="24"/>
        </w:rPr>
        <w:t>(*N</w:t>
      </w:r>
      <w:r w:rsidRPr="00226621">
        <w:rPr>
          <w:rFonts w:ascii="Times New Roman" w:hAnsi="Times New Roman"/>
          <w:b w:val="0"/>
          <w:sz w:val="24"/>
          <w:szCs w:val="24"/>
          <w:vertAlign w:val="subscript"/>
        </w:rPr>
        <w:t>2</w:t>
      </w:r>
      <w:r w:rsidRPr="00226621">
        <w:rPr>
          <w:rFonts w:ascii="Times New Roman" w:hAnsi="Times New Roman"/>
          <w:b w:val="0"/>
          <w:sz w:val="24"/>
          <w:szCs w:val="24"/>
        </w:rPr>
        <w:t>) - ∆</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(*H) and ∆</w:t>
      </w:r>
      <w:r w:rsidRPr="00226621">
        <w:rPr>
          <w:rFonts w:ascii="Times New Roman" w:hAnsi="Times New Roman"/>
          <w:b w:val="0"/>
          <w:i/>
          <w:sz w:val="24"/>
          <w:szCs w:val="24"/>
        </w:rPr>
        <w:t>G</w:t>
      </w:r>
      <w:r w:rsidRPr="00226621">
        <w:rPr>
          <w:rFonts w:ascii="Times New Roman" w:hAnsi="Times New Roman"/>
          <w:b w:val="0"/>
          <w:sz w:val="24"/>
          <w:szCs w:val="24"/>
        </w:rPr>
        <w:t>(*N</w:t>
      </w:r>
      <w:r w:rsidRPr="00226621">
        <w:rPr>
          <w:rFonts w:ascii="Times New Roman" w:hAnsi="Times New Roman"/>
          <w:b w:val="0"/>
          <w:sz w:val="24"/>
          <w:szCs w:val="24"/>
          <w:vertAlign w:val="subscript"/>
        </w:rPr>
        <w:t>2</w:t>
      </w:r>
      <w:r w:rsidRPr="00226621">
        <w:rPr>
          <w:rFonts w:ascii="Times New Roman" w:hAnsi="Times New Roman"/>
          <w:b w:val="0"/>
          <w:sz w:val="24"/>
          <w:szCs w:val="24"/>
        </w:rPr>
        <w:t>) - ∆</w:t>
      </w:r>
      <w:r w:rsidRPr="00226621">
        <w:rPr>
          <w:rFonts w:ascii="Times New Roman" w:hAnsi="Times New Roman"/>
          <w:b w:val="0"/>
          <w:i/>
          <w:sz w:val="24"/>
          <w:szCs w:val="24"/>
        </w:rPr>
        <w:t>G</w:t>
      </w:r>
      <w:r w:rsidRPr="00226621">
        <w:rPr>
          <w:rFonts w:ascii="Times New Roman" w:hAnsi="Times New Roman"/>
          <w:b w:val="0"/>
          <w:sz w:val="24"/>
          <w:szCs w:val="24"/>
        </w:rPr>
        <w:t>(*H) and (b) ∆</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(*NNH) - ∆</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(*H) and ∆</w:t>
      </w:r>
      <w:r w:rsidRPr="00226621">
        <w:rPr>
          <w:rFonts w:ascii="Times New Roman" w:hAnsi="Times New Roman"/>
          <w:b w:val="0"/>
          <w:i/>
          <w:sz w:val="24"/>
          <w:szCs w:val="24"/>
        </w:rPr>
        <w:t>G</w:t>
      </w:r>
      <w:r w:rsidRPr="00226621">
        <w:rPr>
          <w:rFonts w:ascii="Times New Roman" w:hAnsi="Times New Roman"/>
          <w:b w:val="0"/>
          <w:sz w:val="24"/>
          <w:szCs w:val="24"/>
        </w:rPr>
        <w:t>(*NNH) - ∆</w:t>
      </w:r>
      <w:r w:rsidRPr="00226621">
        <w:rPr>
          <w:rFonts w:ascii="Times New Roman" w:hAnsi="Times New Roman"/>
          <w:b w:val="0"/>
          <w:i/>
          <w:sz w:val="24"/>
          <w:szCs w:val="24"/>
        </w:rPr>
        <w:t>G</w:t>
      </w:r>
      <w:r w:rsidRPr="00226621">
        <w:rPr>
          <w:rFonts w:ascii="Times New Roman" w:hAnsi="Times New Roman"/>
          <w:b w:val="0"/>
          <w:sz w:val="24"/>
          <w:szCs w:val="24"/>
        </w:rPr>
        <w:t xml:space="preserve">(*H) by </w:t>
      </w:r>
      <w:r w:rsidRPr="00226621">
        <w:rPr>
          <w:rFonts w:ascii="Times New Roman" w:hAnsi="Times New Roman"/>
          <w:b w:val="0"/>
          <w:i/>
          <w:sz w:val="24"/>
          <w:szCs w:val="24"/>
        </w:rPr>
        <w:t>U</w:t>
      </w:r>
      <w:r w:rsidRPr="00226621">
        <w:rPr>
          <w:rFonts w:ascii="Times New Roman" w:hAnsi="Times New Roman"/>
          <w:b w:val="0"/>
          <w:sz w:val="24"/>
          <w:szCs w:val="24"/>
        </w:rPr>
        <w:t xml:space="preserve"> under acidic condition. Solvated H</w:t>
      </w:r>
      <w:r w:rsidRPr="00226621">
        <w:rPr>
          <w:rFonts w:ascii="Times New Roman" w:hAnsi="Times New Roman"/>
          <w:b w:val="0"/>
          <w:sz w:val="24"/>
          <w:szCs w:val="24"/>
          <w:vertAlign w:val="subscript"/>
        </w:rPr>
        <w:t>3</w:t>
      </w:r>
      <w:r w:rsidRPr="00226621">
        <w:rPr>
          <w:rFonts w:ascii="Times New Roman" w:hAnsi="Times New Roman"/>
          <w:b w:val="0"/>
          <w:sz w:val="24"/>
          <w:szCs w:val="24"/>
        </w:rPr>
        <w:t>O</w:t>
      </w:r>
      <w:r w:rsidRPr="00226621">
        <w:rPr>
          <w:rFonts w:ascii="Times New Roman" w:hAnsi="Times New Roman"/>
          <w:b w:val="0"/>
          <w:sz w:val="24"/>
          <w:szCs w:val="24"/>
          <w:vertAlign w:val="superscript"/>
        </w:rPr>
        <w:t>+</w:t>
      </w:r>
      <w:r w:rsidRPr="00226621">
        <w:rPr>
          <w:rFonts w:ascii="Times New Roman" w:hAnsi="Times New Roman"/>
          <w:b w:val="0"/>
          <w:sz w:val="24"/>
          <w:szCs w:val="24"/>
        </w:rPr>
        <w:t xml:space="preserve"> is used as a proton donor.</w:t>
      </w:r>
    </w:p>
    <w:p w:rsidR="00767CB7" w:rsidRDefault="00767CB7" w:rsidP="000E0603"/>
    <w:p w:rsidR="00767CB7" w:rsidRDefault="00767CB7" w:rsidP="000E0603"/>
    <w:p w:rsidR="00767CB7" w:rsidRDefault="00767CB7" w:rsidP="000E0603"/>
    <w:p w:rsidR="00767CB7" w:rsidRPr="000E0603" w:rsidRDefault="00767CB7" w:rsidP="000E0603"/>
    <w:p w:rsidR="00226621" w:rsidRDefault="00364B1D" w:rsidP="00226621">
      <w:pPr>
        <w:keepNext/>
        <w:spacing w:line="480" w:lineRule="auto"/>
      </w:pPr>
      <w:r>
        <w:rPr>
          <w:noProof/>
          <w:lang w:val="en-US" w:eastAsia="ko-KR"/>
        </w:rPr>
        <w:lastRenderedPageBreak/>
        <w:drawing>
          <wp:inline distT="0" distB="0" distL="0" distR="0" wp14:anchorId="1FBD35BD" wp14:editId="0998A95E">
            <wp:extent cx="6371590" cy="2584450"/>
            <wp:effectExtent l="0" t="0" r="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029"/>
                    <a:stretch/>
                  </pic:blipFill>
                  <pic:spPr bwMode="auto">
                    <a:xfrm>
                      <a:off x="0" y="0"/>
                      <a:ext cx="6371590" cy="2584450"/>
                    </a:xfrm>
                    <a:prstGeom prst="rect">
                      <a:avLst/>
                    </a:prstGeom>
                    <a:ln>
                      <a:noFill/>
                    </a:ln>
                    <a:extLst>
                      <a:ext uri="{53640926-AAD7-44D8-BBD7-CCE9431645EC}">
                        <a14:shadowObscured xmlns:a14="http://schemas.microsoft.com/office/drawing/2010/main"/>
                      </a:ext>
                    </a:extLst>
                  </pic:spPr>
                </pic:pic>
              </a:graphicData>
            </a:graphic>
          </wp:inline>
        </w:drawing>
      </w:r>
    </w:p>
    <w:p w:rsidR="00226621" w:rsidRPr="00226621" w:rsidRDefault="00226621" w:rsidP="00226621">
      <w:pPr>
        <w:pStyle w:val="a7"/>
        <w:spacing w:line="480" w:lineRule="auto"/>
        <w:rPr>
          <w:rFonts w:ascii="Times New Roman" w:hAnsi="Times New Roman"/>
          <w:sz w:val="24"/>
          <w:szCs w:val="24"/>
        </w:rPr>
      </w:pPr>
      <w:bookmarkStart w:id="5" w:name="_Ref60240064"/>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B05F54">
        <w:rPr>
          <w:rFonts w:ascii="Times New Roman" w:hAnsi="Times New Roman"/>
          <w:noProof/>
          <w:sz w:val="24"/>
          <w:szCs w:val="24"/>
        </w:rPr>
        <w:t>9</w:t>
      </w:r>
      <w:r w:rsidRPr="00226621">
        <w:rPr>
          <w:rFonts w:ascii="Times New Roman" w:hAnsi="Times New Roman"/>
          <w:sz w:val="24"/>
          <w:szCs w:val="24"/>
        </w:rPr>
        <w:fldChar w:fldCharType="end"/>
      </w:r>
      <w:bookmarkEnd w:id="5"/>
      <w:r w:rsidRPr="00226621">
        <w:rPr>
          <w:rFonts w:ascii="Times New Roman" w:hAnsi="Times New Roman"/>
          <w:sz w:val="24"/>
          <w:szCs w:val="24"/>
        </w:rPr>
        <w:t xml:space="preserve"> | </w:t>
      </w:r>
      <w:r w:rsidR="00767CB7">
        <w:rPr>
          <w:rFonts w:ascii="Times New Roman" w:hAnsi="Times New Roman"/>
          <w:sz w:val="24"/>
          <w:szCs w:val="24"/>
        </w:rPr>
        <w:t xml:space="preserve">Potential-dependent changes in </w:t>
      </w:r>
      <w:r w:rsidR="00767CB7" w:rsidRPr="00767CB7">
        <w:rPr>
          <w:rFonts w:ascii="Times New Roman" w:hAnsi="Times New Roman"/>
          <w:sz w:val="24"/>
          <w:szCs w:val="24"/>
        </w:rPr>
        <w:t>∆∆</w:t>
      </w:r>
      <w:r w:rsidR="00767CB7" w:rsidRPr="005E6863">
        <w:rPr>
          <w:rFonts w:ascii="Times New Roman" w:hAnsi="Times New Roman"/>
          <w:i/>
          <w:sz w:val="24"/>
          <w:szCs w:val="24"/>
        </w:rPr>
        <w:t>G</w:t>
      </w:r>
      <w:r w:rsidR="00767CB7" w:rsidRPr="00767CB7">
        <w:rPr>
          <w:rFonts w:ascii="Times New Roman" w:hAnsi="Times New Roman"/>
          <w:sz w:val="24"/>
          <w:szCs w:val="24"/>
        </w:rPr>
        <w:t xml:space="preserve"> and ∆∆</w:t>
      </w:r>
      <w:r w:rsidR="00767CB7" w:rsidRPr="005E6863">
        <w:rPr>
          <w:rFonts w:ascii="Times New Roman" w:hAnsi="Times New Roman"/>
          <w:i/>
          <w:sz w:val="24"/>
          <w:szCs w:val="24"/>
        </w:rPr>
        <w:t>G</w:t>
      </w:r>
      <w:r w:rsidR="00767CB7" w:rsidRPr="005E6863">
        <w:rPr>
          <w:rFonts w:ascii="Times New Roman" w:hAnsi="Times New Roman"/>
          <w:sz w:val="24"/>
          <w:szCs w:val="24"/>
          <w:vertAlign w:val="subscript"/>
        </w:rPr>
        <w:t>a</w:t>
      </w:r>
      <w:r w:rsidR="00767CB7" w:rsidRPr="005E6863">
        <w:rPr>
          <w:rFonts w:ascii="Times New Roman" w:hAnsi="Times New Roman"/>
          <w:sz w:val="24"/>
          <w:szCs w:val="24"/>
          <w:vertAlign w:val="superscript"/>
        </w:rPr>
        <w:t>‡</w:t>
      </w:r>
      <w:r w:rsidR="00767CB7">
        <w:rPr>
          <w:rFonts w:ascii="Times New Roman" w:hAnsi="Times New Roman"/>
          <w:sz w:val="24"/>
          <w:szCs w:val="24"/>
        </w:rPr>
        <w:t xml:space="preserve"> under </w:t>
      </w:r>
      <w:r w:rsidR="00EE5528">
        <w:rPr>
          <w:rFonts w:ascii="Times New Roman" w:hAnsi="Times New Roman"/>
          <w:sz w:val="24"/>
          <w:szCs w:val="24"/>
        </w:rPr>
        <w:t>alkaline</w:t>
      </w:r>
      <w:r w:rsidR="00767CB7">
        <w:rPr>
          <w:rFonts w:ascii="Times New Roman" w:hAnsi="Times New Roman"/>
          <w:sz w:val="24"/>
          <w:szCs w:val="24"/>
        </w:rPr>
        <w:t xml:space="preserve"> condition</w:t>
      </w:r>
      <w:r w:rsidR="00767CB7" w:rsidRPr="00767CB7">
        <w:rPr>
          <w:rFonts w:ascii="Times New Roman" w:hAnsi="Times New Roman"/>
          <w:sz w:val="24"/>
          <w:szCs w:val="24"/>
        </w:rPr>
        <w:t>.</w:t>
      </w:r>
      <w:r w:rsidR="00767CB7">
        <w:rPr>
          <w:rFonts w:ascii="Times New Roman" w:hAnsi="Times New Roman"/>
          <w:sz w:val="24"/>
          <w:szCs w:val="24"/>
        </w:rPr>
        <w:t xml:space="preserve"> </w:t>
      </w:r>
      <w:r w:rsidR="00767CB7">
        <w:rPr>
          <w:rFonts w:ascii="Times New Roman" w:hAnsi="Times New Roman"/>
          <w:b w:val="0"/>
          <w:sz w:val="24"/>
          <w:szCs w:val="24"/>
        </w:rPr>
        <w:t>C</w:t>
      </w:r>
      <w:r w:rsidRPr="00226621">
        <w:rPr>
          <w:rFonts w:ascii="Times New Roman" w:hAnsi="Times New Roman"/>
          <w:b w:val="0"/>
          <w:sz w:val="24"/>
          <w:szCs w:val="24"/>
        </w:rPr>
        <w:t xml:space="preserve">hanges in (a)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rPr>
        <w:t>(*N</w:t>
      </w:r>
      <w:r w:rsidRPr="00226621">
        <w:rPr>
          <w:rFonts w:ascii="Times New Roman" w:hAnsi="Times New Roman"/>
          <w:b w:val="0"/>
          <w:sz w:val="24"/>
          <w:szCs w:val="24"/>
          <w:vertAlign w:val="subscript"/>
        </w:rPr>
        <w:t>2</w:t>
      </w:r>
      <w:r w:rsidRPr="00226621">
        <w:rPr>
          <w:rFonts w:ascii="Times New Roman" w:hAnsi="Times New Roman"/>
          <w:b w:val="0"/>
          <w:sz w:val="24"/>
          <w:szCs w:val="24"/>
        </w:rPr>
        <w:t xml:space="preserve">) -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 xml:space="preserve">(*H) and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rPr>
        <w:t>(*N</w:t>
      </w:r>
      <w:r w:rsidRPr="00226621">
        <w:rPr>
          <w:rFonts w:ascii="Times New Roman" w:hAnsi="Times New Roman"/>
          <w:b w:val="0"/>
          <w:sz w:val="24"/>
          <w:szCs w:val="24"/>
          <w:vertAlign w:val="subscript"/>
        </w:rPr>
        <w:t>2</w:t>
      </w:r>
      <w:r w:rsidRPr="00226621">
        <w:rPr>
          <w:rFonts w:ascii="Times New Roman" w:hAnsi="Times New Roman"/>
          <w:b w:val="0"/>
          <w:sz w:val="24"/>
          <w:szCs w:val="24"/>
        </w:rPr>
        <w:t xml:space="preserve">) -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rPr>
        <w:t xml:space="preserve">(*H) by </w:t>
      </w:r>
      <w:r w:rsidRPr="00226621">
        <w:rPr>
          <w:rFonts w:ascii="Times New Roman" w:hAnsi="Times New Roman"/>
          <w:b w:val="0"/>
          <w:i/>
          <w:sz w:val="24"/>
          <w:szCs w:val="24"/>
        </w:rPr>
        <w:t>U</w:t>
      </w:r>
      <w:r w:rsidRPr="00226621">
        <w:rPr>
          <w:rFonts w:ascii="Times New Roman" w:hAnsi="Times New Roman"/>
          <w:b w:val="0"/>
          <w:sz w:val="24"/>
          <w:szCs w:val="24"/>
        </w:rPr>
        <w:t xml:space="preserve"> and (b) Changes in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 xml:space="preserve">(*NNH) -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vertAlign w:val="subscript"/>
        </w:rPr>
        <w:t>a</w:t>
      </w:r>
      <w:r w:rsidRPr="00226621">
        <w:rPr>
          <w:rFonts w:ascii="Times New Roman" w:hAnsi="Times New Roman"/>
          <w:b w:val="0"/>
          <w:sz w:val="24"/>
          <w:szCs w:val="24"/>
          <w:vertAlign w:val="superscript"/>
        </w:rPr>
        <w:t>‡</w:t>
      </w:r>
      <w:r w:rsidRPr="00226621">
        <w:rPr>
          <w:rFonts w:ascii="Times New Roman" w:hAnsi="Times New Roman"/>
          <w:b w:val="0"/>
          <w:sz w:val="24"/>
          <w:szCs w:val="24"/>
        </w:rPr>
        <w:t xml:space="preserve">(*H) and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rPr>
        <w:t xml:space="preserve">(*NNH) - </w:t>
      </w:r>
      <w:r w:rsidRPr="00226621">
        <w:rPr>
          <w:rFonts w:ascii="Times New Roman" w:eastAsia="바탕" w:hAnsi="Times New Roman"/>
          <w:b w:val="0"/>
          <w:sz w:val="24"/>
          <w:szCs w:val="24"/>
        </w:rPr>
        <w:t>∆</w:t>
      </w:r>
      <w:r w:rsidRPr="00226621">
        <w:rPr>
          <w:rFonts w:ascii="Times New Roman" w:hAnsi="Times New Roman"/>
          <w:b w:val="0"/>
          <w:i/>
          <w:sz w:val="24"/>
          <w:szCs w:val="24"/>
        </w:rPr>
        <w:t>G</w:t>
      </w:r>
      <w:r w:rsidRPr="00226621">
        <w:rPr>
          <w:rFonts w:ascii="Times New Roman" w:hAnsi="Times New Roman"/>
          <w:b w:val="0"/>
          <w:sz w:val="24"/>
          <w:szCs w:val="24"/>
        </w:rPr>
        <w:t xml:space="preserve">(*H) by </w:t>
      </w:r>
      <w:r w:rsidRPr="00226621">
        <w:rPr>
          <w:rFonts w:ascii="Times New Roman" w:hAnsi="Times New Roman"/>
          <w:b w:val="0"/>
          <w:i/>
          <w:sz w:val="24"/>
          <w:szCs w:val="24"/>
        </w:rPr>
        <w:t>U</w:t>
      </w:r>
      <w:r w:rsidRPr="00226621">
        <w:rPr>
          <w:rFonts w:ascii="Times New Roman" w:hAnsi="Times New Roman"/>
          <w:b w:val="0"/>
          <w:sz w:val="24"/>
          <w:szCs w:val="24"/>
        </w:rPr>
        <w:t xml:space="preserve"> under alkaline condition. All energies and </w:t>
      </w:r>
      <w:r w:rsidRPr="00226621">
        <w:rPr>
          <w:rFonts w:ascii="Times New Roman" w:hAnsi="Times New Roman"/>
          <w:b w:val="0"/>
          <w:i/>
          <w:sz w:val="24"/>
          <w:szCs w:val="24"/>
        </w:rPr>
        <w:t>U</w:t>
      </w:r>
      <w:r w:rsidRPr="00226621">
        <w:rPr>
          <w:rFonts w:ascii="Times New Roman" w:hAnsi="Times New Roman"/>
          <w:b w:val="0"/>
          <w:sz w:val="24"/>
          <w:szCs w:val="24"/>
        </w:rPr>
        <w:t xml:space="preserve"> are in RHE scale at pH = 13. H</w:t>
      </w:r>
      <w:r w:rsidRPr="00226621">
        <w:rPr>
          <w:rFonts w:ascii="Times New Roman" w:hAnsi="Times New Roman"/>
          <w:b w:val="0"/>
          <w:sz w:val="24"/>
          <w:szCs w:val="24"/>
          <w:vertAlign w:val="subscript"/>
        </w:rPr>
        <w:t>2</w:t>
      </w:r>
      <w:r w:rsidRPr="00226621">
        <w:rPr>
          <w:rFonts w:ascii="Times New Roman" w:hAnsi="Times New Roman"/>
          <w:b w:val="0"/>
          <w:sz w:val="24"/>
          <w:szCs w:val="24"/>
        </w:rPr>
        <w:t>O is used as a proton donor for obtaining activation energy.</w:t>
      </w:r>
    </w:p>
    <w:p w:rsidR="00250017" w:rsidRDefault="00250017" w:rsidP="00226621">
      <w:pPr>
        <w:pStyle w:val="a7"/>
        <w:jc w:val="left"/>
      </w:pPr>
    </w:p>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Default="00EE5528" w:rsidP="000E0603"/>
    <w:p w:rsidR="00EE5528" w:rsidRPr="000E0603" w:rsidRDefault="00EE5528" w:rsidP="000E0603"/>
    <w:p w:rsidR="00B05F54" w:rsidRPr="00250017" w:rsidRDefault="00B05F54" w:rsidP="00B05F54">
      <w:pPr>
        <w:pStyle w:val="10"/>
      </w:pPr>
      <w:r>
        <w:lastRenderedPageBreak/>
        <w:t xml:space="preserve">Supplementary Note </w:t>
      </w:r>
      <w:r w:rsidR="00767CB7">
        <w:t>5</w:t>
      </w:r>
      <w:r>
        <w:t xml:space="preserve">. </w:t>
      </w:r>
      <w:r w:rsidRPr="00250017">
        <w:t>Microkinetic Modeling</w:t>
      </w:r>
    </w:p>
    <w:p w:rsidR="00B05F54" w:rsidRDefault="00B05F54" w:rsidP="00B05F54">
      <w:pPr>
        <w:spacing w:line="480" w:lineRule="auto"/>
        <w:jc w:val="both"/>
      </w:pPr>
      <w:r w:rsidRPr="00250017">
        <w:t xml:space="preserve">In Wang </w:t>
      </w:r>
      <w:r w:rsidRPr="00260013">
        <w:rPr>
          <w:i/>
        </w:rPr>
        <w:t>et al</w:t>
      </w:r>
      <w:r w:rsidRPr="00250017">
        <w:t>.</w:t>
      </w:r>
      <w:r>
        <w:fldChar w:fldCharType="begin"/>
      </w:r>
      <w:r w:rsidR="00EF0312">
        <w:instrText xml:space="preserve"> ADDIN EN.CITE &lt;EndNote&gt;&lt;Cite&gt;&lt;Author&gt;Wang&lt;/Author&gt;&lt;Year&gt;2019&lt;/Year&gt;&lt;RecNum&gt;19&lt;/RecNum&gt;&lt;DisplayText&gt;&lt;style face="superscript"&gt;12&lt;/style&gt;&lt;/DisplayText&gt;&lt;record&gt;&lt;rec-number&gt;19&lt;/rec-number&gt;&lt;foreign-keys&gt;&lt;key app="EN" db-id="v9r55epa49ezwrerfv05rxzoafxrafzdw059" timestamp="1585036687"&gt;19&lt;/key&gt;&lt;/foreign-keys&gt;&lt;ref-type name="Journal Article"&gt;17&lt;/ref-type&gt;&lt;contributors&gt;&lt;authors&gt;&lt;author&gt;Wang, Mengfan&lt;/author&gt;&lt;author&gt;Liu, Sisi&lt;/author&gt;&lt;author&gt;Qian, Tao&lt;/author&gt;&lt;author&gt;Liu, Jie&lt;/author&gt;&lt;author&gt;Zhou, Jinqiu&lt;/author&gt;&lt;author&gt;Ji, Haoqing&lt;/author&gt;&lt;author&gt;Xiong, Jie&lt;/author&gt;&lt;author&gt;Zhong, Jun&lt;/author&gt;&lt;author&gt;Yan, Chenglin&lt;/author&gt;&lt;/authors&gt;&lt;/contributors&gt;&lt;titles&gt;&lt;title&gt;Over 56.55% Faradaic efficiency of ambient ammonia synthesis enabled by positively shifting the reaction potential&lt;/title&gt;&lt;secondary-title&gt;Nature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fldChar w:fldCharType="separate"/>
      </w:r>
      <w:r w:rsidR="00EF0312" w:rsidRPr="00EF0312">
        <w:rPr>
          <w:noProof/>
          <w:vertAlign w:val="superscript"/>
        </w:rPr>
        <w:t>12</w:t>
      </w:r>
      <w:r>
        <w:fldChar w:fldCharType="end"/>
      </w:r>
      <w:r w:rsidRPr="00250017">
        <w:t xml:space="preserve"> electrochemical ammonia synthesis performed with Fe-N-C where Fe is a single atom site. The synthesis is performed in an N</w:t>
      </w:r>
      <w:r w:rsidRPr="00250017">
        <w:rPr>
          <w:vertAlign w:val="subscript"/>
        </w:rPr>
        <w:t>2</w:t>
      </w:r>
      <w:r w:rsidRPr="00250017">
        <w:t xml:space="preserve"> gas flow and water batch system, where N</w:t>
      </w:r>
      <w:r w:rsidRPr="00250017">
        <w:rPr>
          <w:vertAlign w:val="subscript"/>
        </w:rPr>
        <w:t>2</w:t>
      </w:r>
      <w:r w:rsidRPr="00250017">
        <w:t xml:space="preserve"> gas is bubbled in 30 mL liquid, and the excess pressure in the gas is flown out of the system for sampling. To model this system, we set up the reactor as a mix of a continuous stirred tank reactor (CSTR) and a batch reactor. The gas is simulated in a CSTR which is in contact with the liquid i</w:t>
      </w:r>
      <w:bookmarkStart w:id="6" w:name="_GoBack"/>
      <w:bookmarkEnd w:id="6"/>
      <w:r w:rsidRPr="00250017">
        <w:t>n the batch reactor as shown in</w:t>
      </w:r>
      <w:r w:rsidR="00767CB7">
        <w:t xml:space="preserve"> </w:t>
      </w:r>
      <w:r w:rsidR="00D8194C">
        <w:t xml:space="preserve">Supplementary Fig. 10. </w:t>
      </w:r>
      <w:r w:rsidRPr="00250017">
        <w:t xml:space="preserve">In the synthesis, 1 mg of the catalyst is with 1.09 wt% Fe. We assumed </w:t>
      </w:r>
      <w:r>
        <w:t xml:space="preserve">that </w:t>
      </w:r>
      <w:r w:rsidRPr="00250017">
        <w:t>each Fe atom is a single atom catalyst</w:t>
      </w:r>
      <w:r>
        <w:t xml:space="preserve"> as evidenced by high-angle annular dark-field scanning transmission electron microscopy (HAADF-STEM) image</w:t>
      </w:r>
      <w:r w:rsidRPr="00250017">
        <w:t xml:space="preserve">. The reaction is performed </w:t>
      </w:r>
      <w:r>
        <w:t>at</w:t>
      </w:r>
      <w:r w:rsidRPr="00250017">
        <w:t xml:space="preserve"> 298 K with the N</w:t>
      </w:r>
      <w:r w:rsidRPr="00250017">
        <w:rPr>
          <w:vertAlign w:val="subscript"/>
        </w:rPr>
        <w:t>2</w:t>
      </w:r>
      <w:r w:rsidRPr="00250017">
        <w:t xml:space="preserve"> gas velocity of 1 cm</w:t>
      </w:r>
      <w:r w:rsidRPr="00250017">
        <w:rPr>
          <w:vertAlign w:val="superscript"/>
        </w:rPr>
        <w:t>3</w:t>
      </w:r>
      <w:r w:rsidRPr="00250017">
        <w:t>/s and 1 bar of pressure</w:t>
      </w:r>
      <w:r>
        <w:t xml:space="preserve"> at pH = 13 as in the experiment</w:t>
      </w:r>
      <w:r w:rsidRPr="00250017">
        <w:t xml:space="preserve">. The volume of the gas compartment (CSTR) is 10 mL. The synthesized ammonia is set to accumulate in liquid, the chemical potential of which is calculated using the vapor pressure of ammonia and ammonia gas energetics calculated using DFT. The list of species and reactions are shown in </w:t>
      </w:r>
      <w:r w:rsidR="00D8194C">
        <w:t>Supplementary Table 2</w:t>
      </w:r>
      <w:r w:rsidR="005844FB">
        <w:t xml:space="preserve"> and Supplementary Table 3.</w:t>
      </w:r>
      <w:r>
        <w:t xml:space="preserve"> </w:t>
      </w:r>
      <w:r w:rsidR="005844FB">
        <w:t>W</w:t>
      </w:r>
      <w:r>
        <w:t xml:space="preserve">e also included the water autoionization reaction with a rate constant of 2.4 × </w:t>
      </w:r>
      <w:r w:rsidRPr="00CE2EE2">
        <w:t>10</w:t>
      </w:r>
      <w:r>
        <w:rPr>
          <w:vertAlign w:val="superscript"/>
        </w:rPr>
        <w:t>-</w:t>
      </w:r>
      <w:r w:rsidRPr="00DC6D2D">
        <w:rPr>
          <w:vertAlign w:val="superscript"/>
        </w:rPr>
        <w:t>2</w:t>
      </w:r>
      <w:r>
        <w:t xml:space="preserve"> mol m</w:t>
      </w:r>
      <w:r>
        <w:rPr>
          <w:vertAlign w:val="superscript"/>
        </w:rPr>
        <w:t>-3</w:t>
      </w:r>
      <w:r>
        <w:t xml:space="preserve"> s</w:t>
      </w:r>
      <w:r>
        <w:rPr>
          <w:vertAlign w:val="superscript"/>
        </w:rPr>
        <w:t>-1</w:t>
      </w:r>
      <w:r>
        <w:t xml:space="preserve">. </w:t>
      </w:r>
      <w:r w:rsidRPr="00ED1822">
        <w:t>We</w:t>
      </w:r>
      <w:r>
        <w:t xml:space="preserve"> compute</w:t>
      </w:r>
      <w:r w:rsidRPr="00250017">
        <w:t xml:space="preserve"> the yield following the procedure described in Wang </w:t>
      </w:r>
      <w:r w:rsidRPr="00260013">
        <w:rPr>
          <w:i/>
        </w:rPr>
        <w:t>et al</w:t>
      </w:r>
      <w:r>
        <w:fldChar w:fldCharType="begin"/>
      </w:r>
      <w:r w:rsidR="00EF0312">
        <w:instrText xml:space="preserve"> ADDIN EN.CITE &lt;EndNote&gt;&lt;Cite&gt;&lt;Author&gt;Wang&lt;/Author&gt;&lt;Year&gt;2019&lt;/Year&gt;&lt;RecNum&gt;19&lt;/RecNum&gt;&lt;DisplayText&gt;&lt;style face="superscript"&gt;12&lt;/style&gt;&lt;/DisplayText&gt;&lt;record&gt;&lt;rec-number&gt;19&lt;/rec-number&gt;&lt;foreign-keys&gt;&lt;key app="EN" db-id="v9r55epa49ezwrerfv05rxzoafxrafzdw059" timestamp="1585036687"&gt;19&lt;/key&gt;&lt;/foreign-keys&gt;&lt;ref-type name="Journal Article"&gt;17&lt;/ref-type&gt;&lt;contributors&gt;&lt;authors&gt;&lt;author&gt;Wang, Mengfan&lt;/author&gt;&lt;author&gt;Liu, Sisi&lt;/author&gt;&lt;author&gt;Qian, Tao&lt;/author&gt;&lt;author&gt;Liu, Jie&lt;/author&gt;&lt;author&gt;Zhou, Jinqiu&lt;/author&gt;&lt;author&gt;Ji, Haoqing&lt;/author&gt;&lt;author&gt;Xiong, Jie&lt;/author&gt;&lt;author&gt;Zhong, Jun&lt;/author&gt;&lt;author&gt;Yan, Chenglin&lt;/author&gt;&lt;/authors&gt;&lt;/contributors&gt;&lt;titles&gt;&lt;title&gt;Over 56.55% Faradaic efficiency of ambient ammonia synthesis enabled by positively shifting the reaction potential&lt;/title&gt;&lt;secondary-title&gt;Nature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fldChar w:fldCharType="separate"/>
      </w:r>
      <w:r w:rsidR="00EF0312" w:rsidRPr="00EF0312">
        <w:rPr>
          <w:noProof/>
          <w:vertAlign w:val="superscript"/>
        </w:rPr>
        <w:t>12</w:t>
      </w:r>
      <w:r>
        <w:fldChar w:fldCharType="end"/>
      </w:r>
      <w:r>
        <w:t>.</w:t>
      </w:r>
      <w:r w:rsidRPr="00250017">
        <w:t xml:space="preserve"> Fo</w:t>
      </w:r>
      <w:r w:rsidRPr="00CE2EE2">
        <w:t xml:space="preserve">r </w:t>
      </w:r>
      <w:r w:rsidRPr="00CE2EE2">
        <w:rPr>
          <w:rFonts w:eastAsiaTheme="minorEastAsia"/>
          <w:lang w:val="en-US" w:eastAsia="ko-KR"/>
        </w:rPr>
        <w:t>Lü</w:t>
      </w:r>
      <w:r>
        <w:rPr>
          <w:rFonts w:ascii="AdvOT596495f2" w:eastAsiaTheme="minorEastAsia" w:hAnsi="AdvOT596495f2" w:cs="AdvOT596495f2"/>
          <w:sz w:val="21"/>
          <w:szCs w:val="21"/>
          <w:lang w:val="en-US" w:eastAsia="ko-KR"/>
        </w:rPr>
        <w:t xml:space="preserve"> </w:t>
      </w:r>
      <w:r w:rsidRPr="000C6E1A">
        <w:rPr>
          <w:i/>
        </w:rPr>
        <w:t>et al.</w:t>
      </w:r>
      <w:r>
        <w:fldChar w:fldCharType="begin"/>
      </w:r>
      <w:r w:rsidR="00EF0312">
        <w:instrText xml:space="preserve"> ADDIN EN.CITE &lt;EndNote&gt;&lt;Cite&gt;&lt;Author&gt;Lü&lt;/Author&gt;&lt;Year&gt;2019&lt;/Year&gt;&lt;RecNum&gt;93&lt;/RecNum&gt;&lt;DisplayText&gt;&lt;style face="superscript"&gt;13&lt;/style&gt;&lt;/DisplayText&gt;&lt;record&gt;&lt;rec-number&gt;93&lt;/rec-number&gt;&lt;foreign-keys&gt;&lt;key app="EN" db-id="v9r55epa49ezwrerfv05rxzoafxrafzdw059" timestamp="1603801217"&gt;93&lt;/key&gt;&lt;/foreign-keys&gt;&lt;ref-type name="Journal Article"&gt;17&lt;/ref-type&gt;&lt;contributors&gt;&lt;authors&gt;&lt;author&gt;Lü, Fang&lt;/author&gt;&lt;author&gt;Zhao, Shunzheng&lt;/author&gt;&lt;author&gt;Guo, Ruijie&lt;/author&gt;&lt;author&gt;He, Jia&lt;/author&gt;&lt;author&gt;Peng, Xianyun&lt;/author&gt;&lt;author&gt;Bao, Haihong&lt;/author&gt;&lt;author&gt;Fu, Jiantao&lt;/author&gt;&lt;author&gt;Han, Lili&lt;/author&gt;&lt;author&gt;Qi, Gaocan&lt;/author&gt;&lt;author&gt;Luo, Jun&lt;/author&gt;&lt;/authors&gt;&lt;/contributors&gt;&lt;titles&gt;&lt;title&gt;&lt;style face="normal" font="default" size="100%"&gt;Nitrogen-coordinated single Fe sites for efficient electrocatalytic N&lt;/style&gt;&lt;style face="subscript" font="default" size="100%"&gt;2&lt;/style&gt;&lt;style face="normal" font="default" size="100%"&gt; fixation in neutral media&lt;/style&gt;&lt;/title&gt;&lt;secondary-title&gt;Nano Energy&lt;/secondary-title&gt;&lt;/titles&gt;&lt;periodical&gt;&lt;full-title&gt;Nano Energy&lt;/full-title&gt;&lt;/periodical&gt;&lt;pages&gt;420-427&lt;/pages&gt;&lt;volume&gt;61&lt;/volume&gt;&lt;dates&gt;&lt;year&gt;2019&lt;/year&gt;&lt;/dates&gt;&lt;isbn&gt;2211-2855&lt;/isbn&gt;&lt;urls&gt;&lt;/urls&gt;&lt;/record&gt;&lt;/Cite&gt;&lt;/EndNote&gt;</w:instrText>
      </w:r>
      <w:r>
        <w:fldChar w:fldCharType="separate"/>
      </w:r>
      <w:r w:rsidR="00EF0312" w:rsidRPr="00EF0312">
        <w:rPr>
          <w:noProof/>
          <w:vertAlign w:val="superscript"/>
        </w:rPr>
        <w:t>13</w:t>
      </w:r>
      <w:r>
        <w:fldChar w:fldCharType="end"/>
      </w:r>
      <w:r>
        <w:t>, we also assume</w:t>
      </w:r>
      <w:r w:rsidRPr="00250017">
        <w:t xml:space="preserve"> that every </w:t>
      </w:r>
      <w:r>
        <w:t>Fe in Fe</w:t>
      </w:r>
      <w:r w:rsidRPr="00250017">
        <w:t>/NC is a single atom catalytic site</w:t>
      </w:r>
      <w:r>
        <w:t xml:space="preserve"> as HAADF-STEM image suggests</w:t>
      </w:r>
      <w:r w:rsidRPr="00250017">
        <w:t xml:space="preserve">. For the </w:t>
      </w:r>
      <w:r>
        <w:t>electrochemical measurement, 4.2 wt% Fe 1</w:t>
      </w:r>
      <w:r w:rsidRPr="00250017">
        <w:t xml:space="preserve"> mg catalyst is loaded to 1 cm</w:t>
      </w:r>
      <w:r w:rsidRPr="00250017">
        <w:rPr>
          <w:vertAlign w:val="superscript"/>
        </w:rPr>
        <w:t>2</w:t>
      </w:r>
      <w:r w:rsidRPr="00250017">
        <w:t xml:space="preserve"> carbon paper. Here, </w:t>
      </w:r>
      <w:r>
        <w:t xml:space="preserve">H-type electrochemical cell is used where the configuration can be assumed the same as </w:t>
      </w:r>
      <w:r w:rsidRPr="00250017">
        <w:t>in</w:t>
      </w:r>
      <w:r>
        <w:t xml:space="preserve"> </w:t>
      </w:r>
      <w:r w:rsidR="00D8194C">
        <w:t xml:space="preserve">Supplementary Fig. 10. </w:t>
      </w:r>
      <w:r w:rsidRPr="00250017">
        <w:rPr>
          <w:noProof/>
        </w:rPr>
        <w:t>The</w:t>
      </w:r>
      <w:r>
        <w:rPr>
          <w:noProof/>
        </w:rPr>
        <w:t xml:space="preserve"> reaction is performed at 298 K and pH = 7.2, with continuously fed</w:t>
      </w:r>
      <w:r w:rsidRPr="00250017">
        <w:rPr>
          <w:noProof/>
        </w:rPr>
        <w:t>1 bar N</w:t>
      </w:r>
      <w:r w:rsidRPr="00250017">
        <w:rPr>
          <w:noProof/>
          <w:vertAlign w:val="subscript"/>
        </w:rPr>
        <w:t>2</w:t>
      </w:r>
      <w:r w:rsidRPr="00250017">
        <w:rPr>
          <w:noProof/>
        </w:rPr>
        <w:t xml:space="preserve">. We assumed that the gas and liquid control volumes are the same </w:t>
      </w:r>
      <w:r>
        <w:rPr>
          <w:noProof/>
        </w:rPr>
        <w:t>as it was not specified.</w:t>
      </w:r>
      <w:r w:rsidRPr="00250017">
        <w:t xml:space="preserve"> </w:t>
      </w:r>
      <w:r>
        <w:t xml:space="preserve">Since the NRR measurement under the acidic condition has not been reported, we use same reaction conditions reported by </w:t>
      </w:r>
      <w:r w:rsidRPr="00250017">
        <w:t xml:space="preserve">Wang </w:t>
      </w:r>
      <w:r w:rsidRPr="00260013">
        <w:rPr>
          <w:i/>
        </w:rPr>
        <w:t>et al</w:t>
      </w:r>
      <w:r>
        <w:rPr>
          <w:i/>
        </w:rPr>
        <w:t>.</w:t>
      </w:r>
      <w:r>
        <w:fldChar w:fldCharType="begin"/>
      </w:r>
      <w:r w:rsidR="00EF0312">
        <w:instrText xml:space="preserve"> ADDIN EN.CITE &lt;EndNote&gt;&lt;Cite&gt;&lt;Author&gt;Wang&lt;/Author&gt;&lt;Year&gt;2019&lt;/Year&gt;&lt;RecNum&gt;19&lt;/RecNum&gt;&lt;DisplayText&gt;&lt;style face="superscript"&gt;12&lt;/style&gt;&lt;/DisplayText&gt;&lt;record&gt;&lt;rec-number&gt;19&lt;/rec-number&gt;&lt;foreign-keys&gt;&lt;key app="EN" db-id="v9r55epa49ezwrerfv05rxzoafxrafzdw059" timestamp="1585036687"&gt;19&lt;/key&gt;&lt;/foreign-keys&gt;&lt;ref-type name="Journal Article"&gt;17&lt;/ref-type&gt;&lt;contributors&gt;&lt;authors&gt;&lt;author&gt;Wang, Mengfan&lt;/author&gt;&lt;author&gt;Liu, Sisi&lt;/author&gt;&lt;author&gt;Qian, Tao&lt;/author&gt;&lt;author&gt;Liu, Jie&lt;/author&gt;&lt;author&gt;Zhou, Jinqiu&lt;/author&gt;&lt;author&gt;Ji, Haoqing&lt;/author&gt;&lt;author&gt;Xiong, Jie&lt;/author&gt;&lt;author&gt;Zhong, Jun&lt;/author&gt;&lt;author&gt;Yan, Chenglin&lt;/author&gt;&lt;/authors&gt;&lt;/contributors&gt;&lt;titles&gt;&lt;title&gt;Over 56.55% Faradaic efficiency of ambient ammonia synthesis enabled by positively shifting the reaction potential&lt;/title&gt;&lt;secondary-title&gt;Nature communications&lt;/secondary-title&gt;&lt;/titles&gt;&lt;periodical&gt;&lt;full-title&gt;Nature communications&lt;/full-title&gt;&lt;abbr-1&gt;Nat. Commun.&lt;/abbr-1&gt;&lt;/periodical&gt;&lt;pages&gt;1-8&lt;/pages&gt;&lt;volume&gt;10&lt;/volume&gt;&lt;number&gt;1&lt;/number&gt;&lt;dates&gt;&lt;year&gt;2019&lt;/year&gt;&lt;/dates&gt;&lt;isbn&gt;2041-1723&lt;/isbn&gt;&lt;urls&gt;&lt;/urls&gt;&lt;/record&gt;&lt;/Cite&gt;&lt;/EndNote&gt;</w:instrText>
      </w:r>
      <w:r>
        <w:fldChar w:fldCharType="separate"/>
      </w:r>
      <w:r w:rsidR="00EF0312" w:rsidRPr="00EF0312">
        <w:rPr>
          <w:noProof/>
          <w:vertAlign w:val="superscript"/>
        </w:rPr>
        <w:t>12</w:t>
      </w:r>
      <w:r>
        <w:fldChar w:fldCharType="end"/>
      </w:r>
      <w:r>
        <w:t xml:space="preserve"> for acidic conditions, but the proton donor and pH are changed into H</w:t>
      </w:r>
      <w:r w:rsidRPr="000115E3">
        <w:rPr>
          <w:vertAlign w:val="subscript"/>
        </w:rPr>
        <w:t>3</w:t>
      </w:r>
      <w:r>
        <w:t>O</w:t>
      </w:r>
      <w:r w:rsidRPr="000115E3">
        <w:rPr>
          <w:vertAlign w:val="superscript"/>
        </w:rPr>
        <w:t>+</w:t>
      </w:r>
      <w:r>
        <w:t xml:space="preserve"> and 0, respectively.</w:t>
      </w:r>
    </w:p>
    <w:p w:rsidR="00B05F54" w:rsidRDefault="00B05F54" w:rsidP="00B05F54">
      <w:pPr>
        <w:spacing w:line="480" w:lineRule="auto"/>
        <w:jc w:val="both"/>
      </w:pPr>
    </w:p>
    <w:p w:rsidR="00B05F54" w:rsidRDefault="00B05F54" w:rsidP="000E0603">
      <w:pPr>
        <w:keepNext/>
        <w:spacing w:line="480" w:lineRule="auto"/>
        <w:jc w:val="center"/>
      </w:pPr>
      <w:r>
        <w:rPr>
          <w:noProof/>
          <w:lang w:val="en-US" w:eastAsia="ko-KR"/>
        </w:rPr>
        <w:lastRenderedPageBreak/>
        <w:drawing>
          <wp:inline distT="0" distB="0" distL="0" distR="0" wp14:anchorId="593D6090" wp14:editId="22AE4BAE">
            <wp:extent cx="4554220" cy="14141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4220" cy="1414145"/>
                    </a:xfrm>
                    <a:prstGeom prst="rect">
                      <a:avLst/>
                    </a:prstGeom>
                    <a:noFill/>
                  </pic:spPr>
                </pic:pic>
              </a:graphicData>
            </a:graphic>
          </wp:inline>
        </w:drawing>
      </w:r>
    </w:p>
    <w:p w:rsidR="00B05F54" w:rsidRPr="00226621" w:rsidRDefault="00B05F54" w:rsidP="00B05F54">
      <w:pPr>
        <w:pStyle w:val="a7"/>
        <w:rPr>
          <w:rFonts w:ascii="Times New Roman" w:hAnsi="Times New Roman"/>
          <w:sz w:val="24"/>
          <w:szCs w:val="24"/>
        </w:rPr>
      </w:pPr>
      <w:bookmarkStart w:id="7" w:name="_Ref60504404"/>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767CB7">
        <w:rPr>
          <w:rFonts w:ascii="Times New Roman" w:hAnsi="Times New Roman"/>
          <w:noProof/>
          <w:sz w:val="24"/>
          <w:szCs w:val="24"/>
        </w:rPr>
        <w:t>10</w:t>
      </w:r>
      <w:r w:rsidRPr="00226621">
        <w:rPr>
          <w:rFonts w:ascii="Times New Roman" w:hAnsi="Times New Roman"/>
          <w:sz w:val="24"/>
          <w:szCs w:val="24"/>
        </w:rPr>
        <w:fldChar w:fldCharType="end"/>
      </w:r>
      <w:bookmarkEnd w:id="7"/>
      <w:r w:rsidRPr="00226621">
        <w:rPr>
          <w:rFonts w:ascii="Times New Roman" w:hAnsi="Times New Roman"/>
          <w:sz w:val="24"/>
          <w:szCs w:val="24"/>
        </w:rPr>
        <w:t xml:space="preserve"> | The reactor system of the microkinetic model.</w:t>
      </w:r>
      <w:r w:rsidRPr="00226621">
        <w:rPr>
          <w:rFonts w:ascii="Times New Roman" w:hAnsi="Times New Roman"/>
          <w:b w:val="0"/>
          <w:sz w:val="24"/>
          <w:szCs w:val="24"/>
        </w:rPr>
        <w:t xml:space="preserve"> Each box represents the control volume.</w:t>
      </w:r>
    </w:p>
    <w:p w:rsidR="00B05F54" w:rsidRDefault="00B05F54" w:rsidP="00B05F54">
      <w:pPr>
        <w:pStyle w:val="a7"/>
        <w:keepNext/>
        <w:spacing w:line="480" w:lineRule="auto"/>
        <w:rPr>
          <w:rFonts w:ascii="Times New Roman" w:hAnsi="Times New Roman"/>
          <w:sz w:val="24"/>
          <w:szCs w:val="24"/>
        </w:rPr>
      </w:pPr>
    </w:p>
    <w:p w:rsidR="00B05F54" w:rsidRPr="00F215BB" w:rsidRDefault="00B05F54" w:rsidP="00B05F54">
      <w:pPr>
        <w:pStyle w:val="a7"/>
        <w:keepNext/>
        <w:rPr>
          <w:rFonts w:ascii="Times New Roman" w:hAnsi="Times New Roman"/>
          <w:sz w:val="24"/>
          <w:szCs w:val="24"/>
        </w:rPr>
      </w:pPr>
      <w:bookmarkStart w:id="8" w:name="_Ref60504420"/>
      <w:r w:rsidRPr="00F215BB">
        <w:rPr>
          <w:rFonts w:ascii="Times New Roman" w:hAnsi="Times New Roman"/>
          <w:sz w:val="24"/>
          <w:szCs w:val="24"/>
        </w:rPr>
        <w:t xml:space="preserve">Supplementary Table </w:t>
      </w:r>
      <w:r w:rsidRPr="00F215BB">
        <w:rPr>
          <w:rFonts w:ascii="Times New Roman" w:hAnsi="Times New Roman"/>
          <w:sz w:val="24"/>
          <w:szCs w:val="24"/>
        </w:rPr>
        <w:fldChar w:fldCharType="begin"/>
      </w:r>
      <w:r w:rsidRPr="00F215BB">
        <w:rPr>
          <w:rFonts w:ascii="Times New Roman" w:hAnsi="Times New Roman"/>
          <w:sz w:val="24"/>
          <w:szCs w:val="24"/>
        </w:rPr>
        <w:instrText xml:space="preserve"> SEQ Supplementary_Table \* ARABIC </w:instrText>
      </w:r>
      <w:r w:rsidRPr="00F215BB">
        <w:rPr>
          <w:rFonts w:ascii="Times New Roman" w:hAnsi="Times New Roman"/>
          <w:sz w:val="24"/>
          <w:szCs w:val="24"/>
        </w:rPr>
        <w:fldChar w:fldCharType="separate"/>
      </w:r>
      <w:r w:rsidR="005844FB">
        <w:rPr>
          <w:rFonts w:ascii="Times New Roman" w:hAnsi="Times New Roman"/>
          <w:noProof/>
          <w:sz w:val="24"/>
          <w:szCs w:val="24"/>
        </w:rPr>
        <w:t>2</w:t>
      </w:r>
      <w:r w:rsidRPr="00F215BB">
        <w:rPr>
          <w:rFonts w:ascii="Times New Roman" w:hAnsi="Times New Roman"/>
          <w:sz w:val="24"/>
          <w:szCs w:val="24"/>
        </w:rPr>
        <w:fldChar w:fldCharType="end"/>
      </w:r>
      <w:bookmarkEnd w:id="8"/>
      <w:r w:rsidRPr="00F215BB">
        <w:rPr>
          <w:rFonts w:ascii="Times New Roman" w:hAnsi="Times New Roman"/>
          <w:sz w:val="24"/>
          <w:szCs w:val="24"/>
        </w:rPr>
        <w:t xml:space="preserve"> | List of species in the microkinetic model</w:t>
      </w:r>
    </w:p>
    <w:tbl>
      <w:tblPr>
        <w:tblStyle w:val="a8"/>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170"/>
      </w:tblGrid>
      <w:tr w:rsidR="00B05F54" w:rsidRPr="00250017" w:rsidTr="000E0603">
        <w:trPr>
          <w:jc w:val="center"/>
        </w:trPr>
        <w:tc>
          <w:tcPr>
            <w:tcW w:w="1345" w:type="dxa"/>
            <w:shd w:val="clear" w:color="auto" w:fill="D9D9D9"/>
          </w:tcPr>
          <w:p w:rsidR="00B05F54" w:rsidRPr="00250017" w:rsidRDefault="00B05F54" w:rsidP="000E0603">
            <w:pPr>
              <w:jc w:val="distribute"/>
            </w:pPr>
            <w:r w:rsidRPr="00250017">
              <w:t>Species</w:t>
            </w:r>
          </w:p>
        </w:tc>
        <w:tc>
          <w:tcPr>
            <w:tcW w:w="1170" w:type="dxa"/>
            <w:shd w:val="clear" w:color="auto" w:fill="D9D9D9"/>
          </w:tcPr>
          <w:p w:rsidR="00B05F54" w:rsidRPr="00250017" w:rsidRDefault="00B05F54" w:rsidP="000E0603">
            <w:pPr>
              <w:jc w:val="distribute"/>
            </w:pPr>
            <w:r w:rsidRPr="00250017">
              <w:t>Phase</w:t>
            </w:r>
          </w:p>
        </w:tc>
      </w:tr>
      <w:tr w:rsidR="00B05F54" w:rsidRPr="00250017" w:rsidTr="000E0603">
        <w:trPr>
          <w:jc w:val="center"/>
        </w:trPr>
        <w:tc>
          <w:tcPr>
            <w:tcW w:w="1345" w:type="dxa"/>
          </w:tcPr>
          <w:p w:rsidR="00B05F54" w:rsidRPr="00250017" w:rsidRDefault="00B05F54" w:rsidP="000E0603">
            <w:pPr>
              <w:jc w:val="distribute"/>
            </w:pPr>
            <w:r w:rsidRPr="00250017">
              <w:t>H</w:t>
            </w:r>
            <w:r w:rsidRPr="00250017">
              <w:rPr>
                <w:vertAlign w:val="subscript"/>
              </w:rPr>
              <w:t>2(g)</w:t>
            </w:r>
          </w:p>
        </w:tc>
        <w:tc>
          <w:tcPr>
            <w:tcW w:w="1170" w:type="dxa"/>
          </w:tcPr>
          <w:p w:rsidR="00B05F54" w:rsidRPr="00250017" w:rsidRDefault="00B05F54" w:rsidP="000E0603">
            <w:pPr>
              <w:jc w:val="distribute"/>
            </w:pPr>
            <w:r w:rsidRPr="00250017">
              <w:t>gas</w:t>
            </w:r>
          </w:p>
        </w:tc>
      </w:tr>
      <w:tr w:rsidR="00B05F54" w:rsidRPr="00250017" w:rsidTr="000E0603">
        <w:trPr>
          <w:jc w:val="center"/>
        </w:trPr>
        <w:tc>
          <w:tcPr>
            <w:tcW w:w="1345" w:type="dxa"/>
          </w:tcPr>
          <w:p w:rsidR="00B05F54" w:rsidRPr="00250017" w:rsidRDefault="00B05F54" w:rsidP="000E0603">
            <w:pPr>
              <w:jc w:val="distribute"/>
            </w:pPr>
            <w:r w:rsidRPr="00250017">
              <w:t>N</w:t>
            </w:r>
            <w:r w:rsidRPr="00250017">
              <w:rPr>
                <w:vertAlign w:val="subscript"/>
              </w:rPr>
              <w:t>2(g)</w:t>
            </w:r>
          </w:p>
        </w:tc>
        <w:tc>
          <w:tcPr>
            <w:tcW w:w="1170" w:type="dxa"/>
          </w:tcPr>
          <w:p w:rsidR="00B05F54" w:rsidRPr="00250017" w:rsidRDefault="00B05F54" w:rsidP="000E0603">
            <w:pPr>
              <w:jc w:val="distribute"/>
            </w:pPr>
            <w:r w:rsidRPr="00250017">
              <w:t>gas</w:t>
            </w:r>
          </w:p>
        </w:tc>
      </w:tr>
      <w:tr w:rsidR="00B05F54" w:rsidRPr="00250017" w:rsidTr="000E0603">
        <w:trPr>
          <w:jc w:val="center"/>
        </w:trPr>
        <w:tc>
          <w:tcPr>
            <w:tcW w:w="1345" w:type="dxa"/>
          </w:tcPr>
          <w:p w:rsidR="00B05F54" w:rsidRPr="00250017" w:rsidRDefault="00B05F54" w:rsidP="000E0603">
            <w:pPr>
              <w:jc w:val="distribute"/>
            </w:pPr>
            <w:r w:rsidRPr="00250017">
              <w:t>H</w:t>
            </w:r>
            <w:r w:rsidRPr="00250017">
              <w:rPr>
                <w:vertAlign w:val="superscript"/>
              </w:rPr>
              <w:t>+</w:t>
            </w:r>
            <w:r w:rsidRPr="00250017">
              <w:rPr>
                <w:vertAlign w:val="subscript"/>
              </w:rPr>
              <w:t>(aq)</w:t>
            </w:r>
          </w:p>
        </w:tc>
        <w:tc>
          <w:tcPr>
            <w:tcW w:w="1170" w:type="dxa"/>
          </w:tcPr>
          <w:p w:rsidR="00B05F54" w:rsidRPr="00250017" w:rsidRDefault="00B05F54" w:rsidP="000E0603">
            <w:pPr>
              <w:jc w:val="distribute"/>
            </w:pPr>
            <w:r w:rsidRPr="00250017">
              <w:t>liquid</w:t>
            </w:r>
          </w:p>
        </w:tc>
      </w:tr>
      <w:tr w:rsidR="00B05F54" w:rsidRPr="00250017" w:rsidTr="000E0603">
        <w:trPr>
          <w:jc w:val="center"/>
        </w:trPr>
        <w:tc>
          <w:tcPr>
            <w:tcW w:w="1345" w:type="dxa"/>
          </w:tcPr>
          <w:p w:rsidR="00B05F54" w:rsidRPr="00250017" w:rsidRDefault="00B05F54" w:rsidP="000E0603">
            <w:pPr>
              <w:jc w:val="distribute"/>
            </w:pPr>
            <w:r w:rsidRPr="00250017">
              <w:t>*NH</w:t>
            </w:r>
            <w:r w:rsidRPr="00250017">
              <w:rPr>
                <w:vertAlign w:val="subscript"/>
              </w:rPr>
              <w:t>3(aq)</w:t>
            </w:r>
          </w:p>
        </w:tc>
        <w:tc>
          <w:tcPr>
            <w:tcW w:w="1170" w:type="dxa"/>
          </w:tcPr>
          <w:p w:rsidR="00B05F54" w:rsidRPr="00250017" w:rsidRDefault="00B05F54" w:rsidP="000E0603">
            <w:pPr>
              <w:jc w:val="distribute"/>
            </w:pPr>
            <w:r w:rsidRPr="00250017">
              <w:t>liquid</w:t>
            </w:r>
          </w:p>
        </w:tc>
      </w:tr>
      <w:tr w:rsidR="00B05F54" w:rsidRPr="00250017" w:rsidTr="000E0603">
        <w:trPr>
          <w:jc w:val="center"/>
        </w:trPr>
        <w:tc>
          <w:tcPr>
            <w:tcW w:w="1345" w:type="dxa"/>
          </w:tcPr>
          <w:p w:rsidR="00B05F54" w:rsidRPr="00250017" w:rsidRDefault="00B05F54" w:rsidP="000E0603">
            <w:pPr>
              <w:jc w:val="distribute"/>
            </w:pPr>
            <w:r w:rsidRPr="00250017">
              <w:t>*H</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w:t>
            </w:r>
            <w:r w:rsidRPr="00250017">
              <w:rPr>
                <w:vertAlign w:val="subscript"/>
              </w:rPr>
              <w:t>2</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*NNH</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*NHNH</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*NHNH</w:t>
            </w:r>
            <w:r w:rsidRPr="00250017">
              <w:rPr>
                <w:vertAlign w:val="subscript"/>
              </w:rPr>
              <w:t>2</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*NH</w:t>
            </w:r>
            <w:r w:rsidRPr="00250017">
              <w:rPr>
                <w:vertAlign w:val="subscript"/>
              </w:rPr>
              <w:t>2</w:t>
            </w:r>
            <w:r w:rsidRPr="00250017">
              <w:t>NH</w:t>
            </w:r>
            <w:r w:rsidRPr="00250017">
              <w:rPr>
                <w:vertAlign w:val="subscript"/>
              </w:rPr>
              <w:t>2</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*NH</w:t>
            </w:r>
            <w:r w:rsidRPr="00250017">
              <w:rPr>
                <w:vertAlign w:val="subscript"/>
              </w:rPr>
              <w:t>2</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*NH</w:t>
            </w:r>
            <w:r w:rsidRPr="00250017">
              <w:rPr>
                <w:vertAlign w:val="subscript"/>
              </w:rPr>
              <w:t>3</w:t>
            </w:r>
          </w:p>
        </w:tc>
        <w:tc>
          <w:tcPr>
            <w:tcW w:w="1170" w:type="dxa"/>
          </w:tcPr>
          <w:p w:rsidR="00B05F54" w:rsidRPr="00250017" w:rsidRDefault="00B05F54" w:rsidP="000E0603">
            <w:pPr>
              <w:jc w:val="distribute"/>
            </w:pPr>
            <w:r w:rsidRPr="00250017">
              <w:t>surface</w:t>
            </w:r>
          </w:p>
        </w:tc>
      </w:tr>
      <w:tr w:rsidR="00B05F54" w:rsidRPr="00250017" w:rsidTr="000E0603">
        <w:trPr>
          <w:jc w:val="center"/>
        </w:trPr>
        <w:tc>
          <w:tcPr>
            <w:tcW w:w="1345" w:type="dxa"/>
          </w:tcPr>
          <w:p w:rsidR="00B05F54" w:rsidRPr="00250017" w:rsidRDefault="00B05F54" w:rsidP="000E0603">
            <w:pPr>
              <w:jc w:val="distribute"/>
            </w:pPr>
            <w:r w:rsidRPr="00250017">
              <w:t>*</w:t>
            </w:r>
          </w:p>
        </w:tc>
        <w:tc>
          <w:tcPr>
            <w:tcW w:w="1170" w:type="dxa"/>
          </w:tcPr>
          <w:p w:rsidR="00B05F54" w:rsidRPr="00250017" w:rsidRDefault="00B05F54" w:rsidP="000E0603">
            <w:pPr>
              <w:jc w:val="distribute"/>
            </w:pPr>
            <w:r w:rsidRPr="00250017">
              <w:t>surface</w:t>
            </w:r>
          </w:p>
        </w:tc>
      </w:tr>
    </w:tbl>
    <w:p w:rsidR="00B05F54" w:rsidRPr="00250017" w:rsidRDefault="00B05F54" w:rsidP="00B05F54">
      <w:pPr>
        <w:spacing w:line="480" w:lineRule="auto"/>
      </w:pPr>
    </w:p>
    <w:p w:rsidR="00B05F54" w:rsidRPr="00F215BB" w:rsidRDefault="00B05F54" w:rsidP="00B05F54">
      <w:pPr>
        <w:pStyle w:val="a7"/>
        <w:keepNext/>
        <w:spacing w:line="480" w:lineRule="auto"/>
        <w:rPr>
          <w:rFonts w:ascii="Times New Roman" w:hAnsi="Times New Roman"/>
          <w:sz w:val="24"/>
          <w:szCs w:val="24"/>
        </w:rPr>
      </w:pPr>
      <w:bookmarkStart w:id="9" w:name="_Ref60504424"/>
      <w:r w:rsidRPr="00F215BB">
        <w:rPr>
          <w:rFonts w:ascii="Times New Roman" w:hAnsi="Times New Roman"/>
          <w:sz w:val="24"/>
          <w:szCs w:val="24"/>
        </w:rPr>
        <w:t xml:space="preserve">Supplementary Table </w:t>
      </w:r>
      <w:r w:rsidRPr="00F215BB">
        <w:rPr>
          <w:rFonts w:ascii="Times New Roman" w:hAnsi="Times New Roman"/>
          <w:sz w:val="24"/>
          <w:szCs w:val="24"/>
        </w:rPr>
        <w:fldChar w:fldCharType="begin"/>
      </w:r>
      <w:r w:rsidRPr="00F215BB">
        <w:rPr>
          <w:rFonts w:ascii="Times New Roman" w:hAnsi="Times New Roman"/>
          <w:sz w:val="24"/>
          <w:szCs w:val="24"/>
        </w:rPr>
        <w:instrText xml:space="preserve"> SEQ Supplementary_Table \* ARABIC </w:instrText>
      </w:r>
      <w:r w:rsidRPr="00F215BB">
        <w:rPr>
          <w:rFonts w:ascii="Times New Roman" w:hAnsi="Times New Roman"/>
          <w:sz w:val="24"/>
          <w:szCs w:val="24"/>
        </w:rPr>
        <w:fldChar w:fldCharType="separate"/>
      </w:r>
      <w:r w:rsidR="005844FB">
        <w:rPr>
          <w:rFonts w:ascii="Times New Roman" w:hAnsi="Times New Roman"/>
          <w:noProof/>
          <w:sz w:val="24"/>
          <w:szCs w:val="24"/>
        </w:rPr>
        <w:t>3</w:t>
      </w:r>
      <w:r w:rsidRPr="00F215BB">
        <w:rPr>
          <w:rFonts w:ascii="Times New Roman" w:hAnsi="Times New Roman"/>
          <w:sz w:val="24"/>
          <w:szCs w:val="24"/>
        </w:rPr>
        <w:fldChar w:fldCharType="end"/>
      </w:r>
      <w:bookmarkEnd w:id="9"/>
      <w:r w:rsidRPr="00F215BB">
        <w:rPr>
          <w:rFonts w:ascii="Times New Roman" w:hAnsi="Times New Roman"/>
          <w:sz w:val="24"/>
          <w:szCs w:val="24"/>
        </w:rPr>
        <w:t xml:space="preserve"> | List of reactions in the microkinetic model</w:t>
      </w:r>
    </w:p>
    <w:tbl>
      <w:tblPr>
        <w:tblW w:w="6096" w:type="dxa"/>
        <w:jc w:val="center"/>
        <w:tblBorders>
          <w:top w:val="single" w:sz="4" w:space="0" w:color="auto"/>
          <w:bottom w:val="single" w:sz="4" w:space="0" w:color="auto"/>
        </w:tblBorders>
        <w:tblLook w:val="04A0" w:firstRow="1" w:lastRow="0" w:firstColumn="1" w:lastColumn="0" w:noHBand="0" w:noVBand="1"/>
      </w:tblPr>
      <w:tblGrid>
        <w:gridCol w:w="6096"/>
      </w:tblGrid>
      <w:tr w:rsidR="00B05F54" w:rsidRPr="00250017" w:rsidTr="000E0603">
        <w:trPr>
          <w:trHeight w:val="324"/>
          <w:jc w:val="center"/>
        </w:trPr>
        <w:tc>
          <w:tcPr>
            <w:tcW w:w="6096" w:type="dxa"/>
            <w:shd w:val="clear" w:color="auto" w:fill="D9D9D9"/>
            <w:noWrap/>
            <w:vAlign w:val="center"/>
          </w:tcPr>
          <w:p w:rsidR="00B05F54" w:rsidRPr="00250017" w:rsidRDefault="00B05F54" w:rsidP="000E0603">
            <w:r w:rsidRPr="00250017">
              <w:t>Reactions</w:t>
            </w:r>
          </w:p>
        </w:tc>
      </w:tr>
      <w:tr w:rsidR="00B05F54" w:rsidRPr="00250017" w:rsidTr="000E0603">
        <w:trPr>
          <w:trHeight w:val="324"/>
          <w:jc w:val="center"/>
        </w:trPr>
        <w:tc>
          <w:tcPr>
            <w:tcW w:w="6096" w:type="dxa"/>
            <w:shd w:val="clear" w:color="auto" w:fill="auto"/>
            <w:noWrap/>
            <w:vAlign w:val="center"/>
            <w:hideMark/>
          </w:tcPr>
          <w:p w:rsidR="00B05F54"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t xml:space="preserve"> </w:t>
            </w:r>
            <w:r w:rsidRPr="00250017">
              <w:t xml:space="preserve"> → </w:t>
            </w:r>
            <w:r>
              <w:t>H</w:t>
            </w:r>
            <w:r w:rsidRPr="004D2C6B">
              <w:rPr>
                <w:vertAlign w:val="superscript"/>
              </w:rPr>
              <w:t>+</w:t>
            </w:r>
            <w:r>
              <w:rPr>
                <w:vertAlign w:val="subscript"/>
              </w:rPr>
              <w:t>(aq)</w:t>
            </w:r>
            <w:r>
              <w:t xml:space="preserve"> + OH</w:t>
            </w:r>
            <w:r w:rsidRPr="004D2C6B">
              <w:rPr>
                <w:vertAlign w:val="superscript"/>
              </w:rPr>
              <w:t>-</w:t>
            </w:r>
            <w:r w:rsidRPr="00BA144B">
              <w:rPr>
                <w:vertAlign w:val="subscript"/>
              </w:rPr>
              <w:t>(aq)</w:t>
            </w:r>
          </w:p>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 → *H</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*H → H</w:t>
            </w:r>
            <w:r w:rsidRPr="00250017">
              <w:rPr>
                <w:vertAlign w:val="subscript"/>
              </w:rPr>
              <w:t>2(g)</w:t>
            </w:r>
            <w:r w:rsidRPr="00250017">
              <w:t xml:space="preserve"> + *</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N</w:t>
            </w:r>
            <w:r w:rsidRPr="00250017">
              <w:rPr>
                <w:vertAlign w:val="subscript"/>
              </w:rPr>
              <w:t>2(g)</w:t>
            </w:r>
            <w:r w:rsidRPr="00250017">
              <w:t xml:space="preserve"> + e</w:t>
            </w:r>
            <w:r w:rsidRPr="004D2C6B">
              <w:rPr>
                <w:vertAlign w:val="superscript"/>
              </w:rPr>
              <w:t>-</w:t>
            </w:r>
            <w:r w:rsidRPr="00250017">
              <w:t xml:space="preserve"> + * → *N</w:t>
            </w:r>
            <w:r w:rsidRPr="00250017">
              <w:rPr>
                <w:vertAlign w:val="subscript"/>
              </w:rPr>
              <w:t>2</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w:t>
            </w:r>
            <w:r w:rsidRPr="00250017">
              <w:rPr>
                <w:vertAlign w:val="subscript"/>
              </w:rPr>
              <w:t>2</w:t>
            </w:r>
            <w:r w:rsidRPr="00250017">
              <w:t xml:space="preserve"> → *NNH</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*NNH → *NHNH</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*NHNH → *NHNH</w:t>
            </w:r>
            <w:r w:rsidRPr="00250017">
              <w:rPr>
                <w:vertAlign w:val="subscript"/>
              </w:rPr>
              <w:t>2</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*NHNH</w:t>
            </w:r>
            <w:r w:rsidRPr="00250017">
              <w:rPr>
                <w:vertAlign w:val="subscript"/>
              </w:rPr>
              <w:t>2</w:t>
            </w:r>
            <w:r w:rsidRPr="00250017">
              <w:t xml:space="preserve"> → *NH</w:t>
            </w:r>
            <w:r w:rsidRPr="004D2C6B">
              <w:rPr>
                <w:vertAlign w:val="subscript"/>
              </w:rPr>
              <w:t>2</w:t>
            </w:r>
            <w:r w:rsidRPr="00250017">
              <w:t>NH</w:t>
            </w:r>
            <w:r w:rsidRPr="00250017">
              <w:rPr>
                <w:vertAlign w:val="subscript"/>
              </w:rPr>
              <w:t>2</w:t>
            </w:r>
            <w:r>
              <w:t xml:space="preserve"> + OH</w:t>
            </w:r>
            <w:r w:rsidRPr="004D2C6B">
              <w:rPr>
                <w:vertAlign w:val="superscript"/>
              </w:rPr>
              <w:t>-</w:t>
            </w:r>
            <w:r w:rsidRPr="00BA144B">
              <w:rPr>
                <w:vertAlign w:val="subscript"/>
              </w:rPr>
              <w:t xml:space="preserve"> (aq)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*NH</w:t>
            </w:r>
            <w:r w:rsidRPr="00250017">
              <w:rPr>
                <w:vertAlign w:val="subscript"/>
              </w:rPr>
              <w:t>2</w:t>
            </w:r>
            <w:r w:rsidRPr="00250017">
              <w:t>NH</w:t>
            </w:r>
            <w:r w:rsidRPr="00250017">
              <w:rPr>
                <w:vertAlign w:val="subscript"/>
              </w:rPr>
              <w:t>2</w:t>
            </w:r>
            <w:r w:rsidRPr="00250017">
              <w:t xml:space="preserve"> → *NH</w:t>
            </w:r>
            <w:r w:rsidRPr="00250017">
              <w:rPr>
                <w:vertAlign w:val="subscript"/>
              </w:rPr>
              <w:t>2</w:t>
            </w:r>
            <w:r w:rsidRPr="00250017">
              <w:t xml:space="preserve"> + NH</w:t>
            </w:r>
            <w:r w:rsidRPr="00250017">
              <w:rPr>
                <w:vertAlign w:val="subscript"/>
              </w:rPr>
              <w:t>3(aq)</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H</w:t>
            </w:r>
            <w:r>
              <w:rPr>
                <w:vertAlign w:val="subscript"/>
              </w:rPr>
              <w:t>2</w:t>
            </w:r>
            <w:r>
              <w:t>O</w:t>
            </w:r>
            <w:r w:rsidRPr="00250017">
              <w:rPr>
                <w:vertAlign w:val="subscript"/>
              </w:rPr>
              <w:t>(</w:t>
            </w:r>
            <w:r>
              <w:rPr>
                <w:vertAlign w:val="subscript"/>
              </w:rPr>
              <w:t>l</w:t>
            </w:r>
            <w:r w:rsidRPr="00250017">
              <w:rPr>
                <w:vertAlign w:val="subscript"/>
              </w:rPr>
              <w:t>)</w:t>
            </w:r>
            <w:r w:rsidRPr="00250017">
              <w:t xml:space="preserve"> + e</w:t>
            </w:r>
            <w:r w:rsidRPr="004D2C6B">
              <w:rPr>
                <w:vertAlign w:val="superscript"/>
              </w:rPr>
              <w:t>-</w:t>
            </w:r>
            <w:r w:rsidRPr="00250017">
              <w:t xml:space="preserve"> + *NH</w:t>
            </w:r>
            <w:r w:rsidRPr="00250017">
              <w:rPr>
                <w:vertAlign w:val="subscript"/>
              </w:rPr>
              <w:t>2</w:t>
            </w:r>
            <w:r w:rsidRPr="00250017">
              <w:t xml:space="preserve"> → *NH</w:t>
            </w:r>
            <w:r w:rsidRPr="00250017">
              <w:rPr>
                <w:vertAlign w:val="subscript"/>
              </w:rPr>
              <w:t>3</w:t>
            </w:r>
            <w:r>
              <w:t xml:space="preserve"> + OH</w:t>
            </w:r>
            <w:r w:rsidRPr="004D2C6B">
              <w:rPr>
                <w:vertAlign w:val="superscript"/>
              </w:rPr>
              <w:t>-</w:t>
            </w:r>
            <w:r w:rsidRPr="00BA144B">
              <w:rPr>
                <w:vertAlign w:val="subscript"/>
              </w:rPr>
              <w:t>(aq)</w:t>
            </w:r>
          </w:p>
        </w:tc>
      </w:tr>
      <w:tr w:rsidR="00B05F54" w:rsidRPr="00250017" w:rsidTr="000E0603">
        <w:trPr>
          <w:trHeight w:val="324"/>
          <w:jc w:val="center"/>
        </w:trPr>
        <w:tc>
          <w:tcPr>
            <w:tcW w:w="6096" w:type="dxa"/>
            <w:shd w:val="clear" w:color="auto" w:fill="auto"/>
            <w:noWrap/>
            <w:vAlign w:val="center"/>
            <w:hideMark/>
          </w:tcPr>
          <w:p w:rsidR="00B05F54" w:rsidRPr="00250017" w:rsidRDefault="00B05F54" w:rsidP="000E0603">
            <w:r w:rsidRPr="00250017">
              <w:t>*NH</w:t>
            </w:r>
            <w:r w:rsidRPr="00250017">
              <w:rPr>
                <w:vertAlign w:val="subscript"/>
              </w:rPr>
              <w:t>3</w:t>
            </w:r>
            <w:r w:rsidRPr="00250017">
              <w:t xml:space="preserve"> → NH</w:t>
            </w:r>
            <w:r w:rsidRPr="00250017">
              <w:rPr>
                <w:vertAlign w:val="subscript"/>
              </w:rPr>
              <w:t>3(aq)</w:t>
            </w:r>
            <w:r w:rsidRPr="00250017">
              <w:t>+*</w:t>
            </w:r>
          </w:p>
        </w:tc>
      </w:tr>
    </w:tbl>
    <w:p w:rsidR="00B05F54" w:rsidRDefault="00B05F54" w:rsidP="00B05F54">
      <w:pPr>
        <w:spacing w:line="480" w:lineRule="auto"/>
      </w:pPr>
    </w:p>
    <w:p w:rsidR="00767CB7" w:rsidRPr="00250017" w:rsidRDefault="00767CB7" w:rsidP="00B05F54">
      <w:pPr>
        <w:spacing w:line="480" w:lineRule="auto"/>
      </w:pPr>
    </w:p>
    <w:p w:rsidR="00B05F54" w:rsidRPr="00250017" w:rsidRDefault="00B05F54" w:rsidP="00B05F54">
      <w:pPr>
        <w:spacing w:line="480" w:lineRule="auto"/>
      </w:pPr>
      <w:r w:rsidRPr="00250017">
        <w:lastRenderedPageBreak/>
        <w:t>We compute the reaction constants using the transition state theory and thermodynamic equilibrium:</w:t>
      </w:r>
    </w:p>
    <w:p w:rsidR="00B05F54" w:rsidRPr="00250017" w:rsidRDefault="00B05F54" w:rsidP="00B05F54">
      <w:pPr>
        <w:spacing w:line="48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7762"/>
        <w:gridCol w:w="616"/>
      </w:tblGrid>
      <w:tr w:rsidR="00B05F54" w:rsidRPr="00250017" w:rsidTr="000E0603">
        <w:tc>
          <w:tcPr>
            <w:tcW w:w="619" w:type="dxa"/>
            <w:vAlign w:val="center"/>
          </w:tcPr>
          <w:p w:rsidR="00B05F54" w:rsidRPr="00250017" w:rsidRDefault="00B05F54" w:rsidP="000E0603">
            <w:pPr>
              <w:spacing w:line="480" w:lineRule="auto"/>
              <w:jc w:val="both"/>
            </w:pPr>
          </w:p>
        </w:tc>
        <w:tc>
          <w:tcPr>
            <w:tcW w:w="7762" w:type="dxa"/>
            <w:vAlign w:val="center"/>
          </w:tcPr>
          <w:p w:rsidR="00B05F54" w:rsidRPr="00250017" w:rsidRDefault="00016721" w:rsidP="000E0603">
            <w:pPr>
              <w:spacing w:line="480" w:lineRule="auto"/>
              <w:jc w:val="both"/>
              <w:rPr>
                <w:iCs/>
              </w:rPr>
            </w:pPr>
            <m:oMathPara>
              <m:oMath>
                <m:sSub>
                  <m:sSubPr>
                    <m:ctrlPr>
                      <w:rPr>
                        <w:rFonts w:ascii="Cambria Math" w:hAnsi="Cambria Math"/>
                        <w:i/>
                        <w:iCs/>
                      </w:rPr>
                    </m:ctrlPr>
                  </m:sSubPr>
                  <m:e>
                    <m:r>
                      <w:rPr>
                        <w:rFonts w:ascii="Cambria Math" w:hAnsi="Cambria Math"/>
                      </w:rPr>
                      <m:t>k</m:t>
                    </m:r>
                  </m:e>
                  <m:sub>
                    <m:r>
                      <m:rPr>
                        <m:sty m:val="p"/>
                      </m:rPr>
                      <w:rPr>
                        <w:rFonts w:ascii="Cambria Math" w:hAnsi="Cambria Math"/>
                      </w:rPr>
                      <m:t>f,</m:t>
                    </m:r>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m:rPr>
                            <m:sty m:val="p"/>
                          </m:rPr>
                          <w:rPr>
                            <w:rFonts w:ascii="Cambria Math" w:hAnsi="Cambria Math"/>
                          </w:rPr>
                          <m:t>b</m:t>
                        </m:r>
                      </m:sub>
                    </m:sSub>
                    <m:r>
                      <w:rPr>
                        <w:rFonts w:ascii="Cambria Math" w:hAnsi="Cambria Math"/>
                      </w:rPr>
                      <m:t>T</m:t>
                    </m:r>
                  </m:num>
                  <m:den>
                    <m:r>
                      <w:rPr>
                        <w:rFonts w:ascii="Cambria Math" w:hAnsi="Cambria Math"/>
                      </w:rPr>
                      <m:t>h</m:t>
                    </m:r>
                  </m:den>
                </m:f>
                <m:func>
                  <m:funcPr>
                    <m:ctrlPr>
                      <w:rPr>
                        <w:rFonts w:ascii="Cambria Math" w:hAnsi="Cambria Math"/>
                        <w:i/>
                        <w:iCs/>
                      </w:rPr>
                    </m:ctrlPr>
                  </m:funcPr>
                  <m:fName>
                    <m:r>
                      <m:rPr>
                        <m:sty m:val="p"/>
                      </m:rPr>
                      <w:rPr>
                        <w:rFonts w:ascii="Cambria Math" w:hAnsi="Cambria Math"/>
                      </w:rPr>
                      <m:t>exp</m:t>
                    </m:r>
                  </m:fName>
                  <m:e>
                    <m:d>
                      <m:dPr>
                        <m:ctrlPr>
                          <w:rPr>
                            <w:rFonts w:ascii="Cambria Math" w:hAnsi="Cambria Math"/>
                            <w:i/>
                            <w:iCs/>
                          </w:rPr>
                        </m:ctrlPr>
                      </m:dP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G</m:t>
                                </m:r>
                              </m:e>
                              <m:sub>
                                <m:r>
                                  <m:rPr>
                                    <m:sty m:val="p"/>
                                  </m:rPr>
                                  <w:rPr>
                                    <w:rFonts w:ascii="Cambria Math" w:hAnsi="Cambria Math"/>
                                  </w:rPr>
                                  <m:t>a,f,</m:t>
                                </m:r>
                                <m:r>
                                  <w:rPr>
                                    <w:rFonts w:ascii="Cambria Math" w:hAnsi="Cambria Math"/>
                                  </w:rPr>
                                  <m:t>i</m:t>
                                </m:r>
                              </m:sub>
                            </m:sSub>
                          </m:num>
                          <m:den>
                            <m:sSub>
                              <m:sSubPr>
                                <m:ctrlPr>
                                  <w:rPr>
                                    <w:rFonts w:ascii="Cambria Math" w:hAnsi="Cambria Math"/>
                                    <w:i/>
                                    <w:iCs/>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func>
              </m:oMath>
            </m:oMathPara>
          </w:p>
          <w:p w:rsidR="00B05F54" w:rsidRPr="00250017" w:rsidRDefault="00016721" w:rsidP="000E0603">
            <w:pPr>
              <w:spacing w:line="480" w:lineRule="auto"/>
              <w:jc w:val="both"/>
              <w:rPr>
                <w:iCs/>
              </w:rPr>
            </w:pPr>
            <m:oMathPara>
              <m:oMath>
                <m:sSub>
                  <m:sSubPr>
                    <m:ctrlPr>
                      <w:rPr>
                        <w:rFonts w:ascii="Cambria Math" w:hAnsi="Cambria Math"/>
                        <w:i/>
                        <w:iCs/>
                      </w:rPr>
                    </m:ctrlPr>
                  </m:sSubPr>
                  <m:e>
                    <m:r>
                      <w:rPr>
                        <w:rFonts w:ascii="Cambria Math" w:hAnsi="Cambria Math"/>
                      </w:rPr>
                      <m:t>k</m:t>
                    </m:r>
                  </m:e>
                  <m:sub>
                    <m:r>
                      <m:rPr>
                        <m:sty m:val="p"/>
                      </m:rPr>
                      <w:rPr>
                        <w:rFonts w:ascii="Cambria Math" w:hAnsi="Cambria Math"/>
                      </w:rPr>
                      <m:t>r,</m:t>
                    </m:r>
                    <m:r>
                      <w:rPr>
                        <w:rFonts w:ascii="Cambria Math" w:hAnsi="Cambria Math"/>
                      </w:rPr>
                      <m:t>i</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m:rPr>
                            <m:sty m:val="p"/>
                          </m:rPr>
                          <w:rPr>
                            <w:rFonts w:ascii="Cambria Math" w:hAnsi="Cambria Math"/>
                          </w:rPr>
                          <m:t>f,</m:t>
                        </m:r>
                        <m:r>
                          <w:rPr>
                            <w:rFonts w:ascii="Cambria Math" w:hAnsi="Cambria Math"/>
                          </w:rPr>
                          <m:t>i</m:t>
                        </m:r>
                      </m:sub>
                    </m:sSub>
                  </m:num>
                  <m:den>
                    <m:r>
                      <w:rPr>
                        <w:rFonts w:ascii="Cambria Math" w:hAnsi="Cambria Math"/>
                      </w:rPr>
                      <m:t>K</m:t>
                    </m:r>
                  </m:den>
                </m:f>
              </m:oMath>
            </m:oMathPara>
          </w:p>
          <w:p w:rsidR="00B05F54" w:rsidRPr="00250017" w:rsidRDefault="00016721" w:rsidP="000E0603">
            <w:pPr>
              <w:spacing w:line="480" w:lineRule="auto"/>
              <w:jc w:val="both"/>
              <w:rPr>
                <w:iCs/>
              </w:rPr>
            </w:pPr>
            <m:oMathPara>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func>
                  <m:funcPr>
                    <m:ctrlPr>
                      <w:rPr>
                        <w:rFonts w:ascii="Cambria Math" w:hAnsi="Cambria Math"/>
                        <w:i/>
                        <w:iCs/>
                      </w:rPr>
                    </m:ctrlPr>
                  </m:funcPr>
                  <m:fName>
                    <m:r>
                      <m:rPr>
                        <m:sty m:val="p"/>
                      </m:rPr>
                      <w:rPr>
                        <w:rFonts w:ascii="Cambria Math" w:hAnsi="Cambria Math"/>
                      </w:rPr>
                      <m:t>exp</m:t>
                    </m:r>
                  </m:fName>
                  <m:e>
                    <m:d>
                      <m:dPr>
                        <m:ctrlPr>
                          <w:rPr>
                            <w:rFonts w:ascii="Cambria Math" w:hAnsi="Cambria Math"/>
                            <w:i/>
                            <w:iCs/>
                          </w:rPr>
                        </m:ctrlPr>
                      </m:dPr>
                      <m:e>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m:t>
                                </m:r>
                              </m:e>
                              <m:sub>
                                <m:r>
                                  <m:rPr>
                                    <m:sty m:val="p"/>
                                  </m:rPr>
                                  <w:rPr>
                                    <w:rFonts w:ascii="Cambria Math" w:hAnsi="Cambria Math"/>
                                  </w:rPr>
                                  <m:t>r</m:t>
                                </m:r>
                              </m:sub>
                            </m:sSub>
                            <m:sSub>
                              <m:sSubPr>
                                <m:ctrlPr>
                                  <w:rPr>
                                    <w:rFonts w:ascii="Cambria Math" w:hAnsi="Cambria Math"/>
                                    <w:i/>
                                  </w:rPr>
                                </m:ctrlPr>
                              </m:sSubPr>
                              <m:e>
                                <m:r>
                                  <w:rPr>
                                    <w:rFonts w:ascii="Cambria Math" w:hAnsi="Cambria Math"/>
                                  </w:rPr>
                                  <m:t>G</m:t>
                                </m:r>
                              </m:e>
                              <m:sub>
                                <m:r>
                                  <w:rPr>
                                    <w:rFonts w:ascii="Cambria Math" w:hAnsi="Cambria Math"/>
                                  </w:rPr>
                                  <m:t>i</m:t>
                                </m:r>
                              </m:sub>
                            </m:sSub>
                          </m:num>
                          <m:den>
                            <m:sSub>
                              <m:sSubPr>
                                <m:ctrlPr>
                                  <w:rPr>
                                    <w:rFonts w:ascii="Cambria Math" w:hAnsi="Cambria Math"/>
                                    <w:i/>
                                    <w:iCs/>
                                  </w:rPr>
                                </m:ctrlPr>
                              </m:sSubPr>
                              <m:e>
                                <m:r>
                                  <w:rPr>
                                    <w:rFonts w:ascii="Cambria Math" w:hAnsi="Cambria Math"/>
                                  </w:rPr>
                                  <m:t>k</m:t>
                                </m:r>
                              </m:e>
                              <m:sub>
                                <m:r>
                                  <m:rPr>
                                    <m:sty m:val="p"/>
                                  </m:rPr>
                                  <w:rPr>
                                    <w:rFonts w:ascii="Cambria Math" w:hAnsi="Cambria Math"/>
                                  </w:rPr>
                                  <m:t>b</m:t>
                                </m:r>
                              </m:sub>
                            </m:sSub>
                            <m:r>
                              <w:rPr>
                                <w:rFonts w:ascii="Cambria Math" w:hAnsi="Cambria Math"/>
                              </w:rPr>
                              <m:t>T</m:t>
                            </m:r>
                          </m:den>
                        </m:f>
                      </m:e>
                    </m:d>
                  </m:e>
                </m:func>
              </m:oMath>
            </m:oMathPara>
          </w:p>
        </w:tc>
        <w:tc>
          <w:tcPr>
            <w:tcW w:w="616" w:type="dxa"/>
            <w:vAlign w:val="center"/>
          </w:tcPr>
          <w:p w:rsidR="00B05F54" w:rsidRPr="00250017" w:rsidRDefault="00B05F54" w:rsidP="000E0603">
            <w:pPr>
              <w:pStyle w:val="a7"/>
              <w:keepNext/>
              <w:spacing w:line="480" w:lineRule="auto"/>
              <w:rPr>
                <w:rFonts w:ascii="Times New Roman" w:hAnsi="Times New Roman"/>
                <w:sz w:val="24"/>
                <w:szCs w:val="24"/>
              </w:rPr>
            </w:pPr>
            <w:r>
              <w:rPr>
                <w:rFonts w:ascii="Times New Roman" w:hAnsi="Times New Roman"/>
                <w:sz w:val="24"/>
                <w:szCs w:val="24"/>
              </w:rPr>
              <w:t>(3</w:t>
            </w:r>
            <w:r w:rsidRPr="00250017">
              <w:rPr>
                <w:rFonts w:ascii="Times New Roman" w:hAnsi="Times New Roman"/>
                <w:sz w:val="24"/>
                <w:szCs w:val="24"/>
              </w:rPr>
              <w:t>)</w:t>
            </w:r>
          </w:p>
        </w:tc>
      </w:tr>
    </w:tbl>
    <w:p w:rsidR="00B05F54" w:rsidRPr="00250017" w:rsidRDefault="00B05F54" w:rsidP="00B05F54">
      <w:pPr>
        <w:pStyle w:val="a7"/>
        <w:spacing w:line="480" w:lineRule="auto"/>
        <w:rPr>
          <w:rFonts w:ascii="Times New Roman" w:hAnsi="Times New Roman"/>
          <w:sz w:val="24"/>
          <w:szCs w:val="24"/>
        </w:rPr>
      </w:pPr>
    </w:p>
    <w:p w:rsidR="00B05F54" w:rsidRPr="00250017" w:rsidRDefault="00B05F54" w:rsidP="00B05F54">
      <w:pPr>
        <w:spacing w:line="480" w:lineRule="auto"/>
        <w:jc w:val="both"/>
      </w:pPr>
      <w:r w:rsidRPr="00250017">
        <w:t xml:space="preserve">where </w:t>
      </w:r>
      <w:r w:rsidRPr="00250017">
        <w:rPr>
          <w:i/>
        </w:rPr>
        <w:t>k</w:t>
      </w:r>
      <w:r w:rsidRPr="00250017">
        <w:rPr>
          <w:i/>
          <w:vertAlign w:val="subscript"/>
        </w:rPr>
        <w:t>f,i</w:t>
      </w:r>
      <w:r w:rsidRPr="00250017">
        <w:t xml:space="preserve">, and </w:t>
      </w:r>
      <w:r w:rsidRPr="00250017">
        <w:rPr>
          <w:i/>
        </w:rPr>
        <w:t>k</w:t>
      </w:r>
      <w:r w:rsidRPr="00250017">
        <w:rPr>
          <w:i/>
          <w:vertAlign w:val="subscript"/>
        </w:rPr>
        <w:t>r,i</w:t>
      </w:r>
      <w:r w:rsidRPr="00250017">
        <w:t xml:space="preserve"> are the forward and reverse reaction constant of reaction </w:t>
      </w:r>
      <w:r w:rsidRPr="00250017">
        <w:rPr>
          <w:i/>
        </w:rPr>
        <w:t>i</w:t>
      </w:r>
      <w:r w:rsidRPr="00250017">
        <w:t xml:space="preserve">, </w:t>
      </w:r>
      <w:r w:rsidRPr="00250017">
        <w:rPr>
          <w:i/>
        </w:rPr>
        <w:t>K</w:t>
      </w:r>
      <w:r w:rsidRPr="00250017">
        <w:rPr>
          <w:i/>
          <w:vertAlign w:val="subscript"/>
        </w:rPr>
        <w:t xml:space="preserve">i </w:t>
      </w:r>
      <w:r w:rsidRPr="00250017">
        <w:t xml:space="preserve">is the equilibrium constant of reaction </w:t>
      </w:r>
      <w:r w:rsidRPr="00250017">
        <w:rPr>
          <w:i/>
        </w:rPr>
        <w:t>i</w:t>
      </w:r>
      <w:r w:rsidRPr="00250017">
        <w:t xml:space="preserve">, </w:t>
      </w:r>
      <w:r w:rsidRPr="00250017">
        <w:rPr>
          <w:i/>
        </w:rPr>
        <w:t>k</w:t>
      </w:r>
      <w:r w:rsidRPr="00250017">
        <w:rPr>
          <w:vertAlign w:val="subscript"/>
        </w:rPr>
        <w:t>b</w:t>
      </w:r>
      <w:r w:rsidRPr="00250017">
        <w:t xml:space="preserve"> is the Boltzmann constant, </w:t>
      </w:r>
      <w:r w:rsidRPr="00250017">
        <w:rPr>
          <w:i/>
        </w:rPr>
        <w:t>T</w:t>
      </w:r>
      <w:r w:rsidRPr="00250017">
        <w:t xml:space="preserve"> is the temperature, </w:t>
      </w:r>
      <w:r w:rsidRPr="00250017">
        <w:rPr>
          <w:i/>
        </w:rPr>
        <w:t>h</w:t>
      </w:r>
      <w:r w:rsidRPr="00250017">
        <w:t xml:space="preserve"> is the Planck constant </w:t>
      </w:r>
      <m:oMath>
        <m:sSub>
          <m:sSubPr>
            <m:ctrlPr>
              <w:rPr>
                <w:rFonts w:ascii="Cambria Math" w:hAnsi="Cambria Math"/>
                <w:i/>
                <w:iCs/>
              </w:rPr>
            </m:ctrlPr>
          </m:sSubPr>
          <m:e>
            <m:r>
              <w:rPr>
                <w:rFonts w:ascii="Cambria Math" w:hAnsi="Cambria Math"/>
              </w:rPr>
              <m:t>G</m:t>
            </m:r>
          </m:e>
          <m:sub>
            <m:r>
              <m:rPr>
                <m:sty m:val="p"/>
              </m:rPr>
              <w:rPr>
                <w:rFonts w:ascii="Cambria Math" w:hAnsi="Cambria Math"/>
              </w:rPr>
              <m:t>a,f,</m:t>
            </m:r>
            <m:r>
              <w:rPr>
                <w:rFonts w:ascii="Cambria Math" w:hAnsi="Cambria Math"/>
              </w:rPr>
              <m:t>i</m:t>
            </m:r>
          </m:sub>
        </m:sSub>
      </m:oMath>
      <w:r w:rsidRPr="00250017">
        <w:rPr>
          <w:iCs/>
        </w:rPr>
        <w:t xml:space="preserve"> is the Gibbs free energy of activation for reaction </w:t>
      </w:r>
      <w:r w:rsidRPr="00250017">
        <w:rPr>
          <w:i/>
          <w:iCs/>
        </w:rPr>
        <w:t>i</w:t>
      </w:r>
      <w:r w:rsidRPr="00250017">
        <w:rPr>
          <w:iCs/>
        </w:rPr>
        <w:t>, and ∆</w:t>
      </w:r>
      <w:r w:rsidRPr="00250017">
        <w:rPr>
          <w:iCs/>
          <w:vertAlign w:val="subscript"/>
        </w:rPr>
        <w:t>r</w:t>
      </w:r>
      <w:r w:rsidRPr="00250017">
        <w:rPr>
          <w:iCs/>
        </w:rPr>
        <w:t>G</w:t>
      </w:r>
      <w:r w:rsidRPr="00250017">
        <w:rPr>
          <w:i/>
          <w:iCs/>
          <w:vertAlign w:val="subscript"/>
        </w:rPr>
        <w:t>i</w:t>
      </w:r>
      <w:r w:rsidRPr="00250017">
        <w:rPr>
          <w:iCs/>
        </w:rPr>
        <w:t xml:space="preserve"> is the Gibbs free energy of reaction for reaction </w:t>
      </w:r>
      <w:r w:rsidRPr="00250017">
        <w:rPr>
          <w:i/>
          <w:iCs/>
        </w:rPr>
        <w:t>i</w:t>
      </w:r>
      <w:r w:rsidRPr="00250017">
        <w:rPr>
          <w:iCs/>
        </w:rPr>
        <w:t xml:space="preserve">. For the reactions where we have not computed transition sate, we assumed that the </w:t>
      </w:r>
      <m:oMath>
        <m:sSub>
          <m:sSubPr>
            <m:ctrlPr>
              <w:rPr>
                <w:rFonts w:ascii="Cambria Math" w:hAnsi="Cambria Math"/>
                <w:i/>
                <w:iCs/>
              </w:rPr>
            </m:ctrlPr>
          </m:sSubPr>
          <m:e>
            <m:r>
              <w:rPr>
                <w:rFonts w:ascii="Cambria Math" w:hAnsi="Cambria Math"/>
              </w:rPr>
              <m:t>G</m:t>
            </m:r>
          </m:e>
          <m:sub>
            <m:r>
              <m:rPr>
                <m:sty m:val="p"/>
              </m:rPr>
              <w:rPr>
                <w:rFonts w:ascii="Cambria Math" w:hAnsi="Cambria Math"/>
              </w:rPr>
              <m:t>a,f,</m:t>
            </m:r>
            <m:r>
              <w:rPr>
                <w:rFonts w:ascii="Cambria Math" w:hAnsi="Cambria Math"/>
              </w:rPr>
              <m:t>i</m:t>
            </m:r>
          </m:sub>
        </m:sSub>
      </m:oMath>
      <w:r w:rsidRPr="00250017">
        <w:rPr>
          <w:iCs/>
        </w:rPr>
        <w:t xml:space="preserve"> is 0 for exothermic reactions, and ∆</w:t>
      </w:r>
      <w:r w:rsidRPr="00250017">
        <w:rPr>
          <w:iCs/>
          <w:vertAlign w:val="subscript"/>
        </w:rPr>
        <w:t>r</w:t>
      </w:r>
      <w:r w:rsidRPr="00250017">
        <w:rPr>
          <w:iCs/>
        </w:rPr>
        <w:t>G</w:t>
      </w:r>
      <w:r w:rsidRPr="00250017">
        <w:rPr>
          <w:i/>
          <w:iCs/>
          <w:vertAlign w:val="subscript"/>
        </w:rPr>
        <w:t>i</w:t>
      </w:r>
      <w:r w:rsidRPr="00250017">
        <w:rPr>
          <w:iCs/>
        </w:rPr>
        <w:t xml:space="preserve"> for endothermic reactions. </w:t>
      </w:r>
      <w:r w:rsidRPr="00250017">
        <w:t>The rate is computed using the law of mass action and normalized to the surface site density:</w:t>
      </w:r>
    </w:p>
    <w:p w:rsidR="00B05F54" w:rsidRPr="00250017" w:rsidRDefault="00B05F54" w:rsidP="00B05F54">
      <w:pPr>
        <w:spacing w:line="480" w:lineRule="auto"/>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7762"/>
        <w:gridCol w:w="616"/>
      </w:tblGrid>
      <w:tr w:rsidR="00B05F54" w:rsidRPr="00250017" w:rsidTr="000E0603">
        <w:tc>
          <w:tcPr>
            <w:tcW w:w="619" w:type="dxa"/>
            <w:vAlign w:val="center"/>
          </w:tcPr>
          <w:p w:rsidR="00B05F54" w:rsidRPr="00250017" w:rsidRDefault="00B05F54" w:rsidP="000E0603">
            <w:pPr>
              <w:spacing w:line="480" w:lineRule="auto"/>
              <w:jc w:val="both"/>
            </w:pPr>
          </w:p>
        </w:tc>
        <w:tc>
          <w:tcPr>
            <w:tcW w:w="7762" w:type="dxa"/>
            <w:vAlign w:val="center"/>
          </w:tcPr>
          <w:p w:rsidR="00B05F54" w:rsidRPr="00250017" w:rsidRDefault="00016721" w:rsidP="000E0603">
            <w:pPr>
              <w:spacing w:line="480" w:lineRule="auto"/>
              <w:jc w:val="both"/>
              <w:rPr>
                <w:iCs/>
              </w:rPr>
            </w:pPr>
            <m:oMathPara>
              <m:oMath>
                <m:sSubSup>
                  <m:sSubSupPr>
                    <m:ctrlPr>
                      <w:rPr>
                        <w:rFonts w:ascii="Cambria Math" w:hAnsi="Cambria Math"/>
                        <w:iCs/>
                      </w:rPr>
                    </m:ctrlPr>
                  </m:sSubSupPr>
                  <m:e>
                    <m:r>
                      <w:rPr>
                        <w:rFonts w:ascii="Cambria Math" w:hAnsi="Cambria Math"/>
                      </w:rPr>
                      <m:t>r</m:t>
                    </m:r>
                  </m:e>
                  <m:sub>
                    <m:r>
                      <w:rPr>
                        <w:rFonts w:ascii="Cambria Math" w:hAnsi="Cambria Math"/>
                      </w:rPr>
                      <m:t>i</m:t>
                    </m:r>
                  </m:sub>
                  <m:sup>
                    <m:r>
                      <w:rPr>
                        <w:rFonts w:ascii="Cambria Math" w:hAnsi="Cambria Math"/>
                      </w:rPr>
                      <m:t>S</m:t>
                    </m:r>
                  </m:sup>
                </m:sSubSup>
                <m:r>
                  <w:rPr>
                    <w:rFonts w:ascii="Cambria Math" w:hAnsi="Cambria Math"/>
                  </w:rPr>
                  <m:t>=</m:t>
                </m:r>
                <m:sSub>
                  <m:sSubPr>
                    <m:ctrlPr>
                      <w:rPr>
                        <w:rFonts w:ascii="Cambria Math" w:hAnsi="Cambria Math"/>
                        <w:i/>
                        <w:iCs/>
                      </w:rPr>
                    </m:ctrlPr>
                  </m:sSubPr>
                  <m:e>
                    <m:r>
                      <w:rPr>
                        <w:rFonts w:ascii="Cambria Math" w:hAnsi="Cambria Math"/>
                      </w:rPr>
                      <m:t>k</m:t>
                    </m:r>
                  </m:e>
                  <m:sub>
                    <m:r>
                      <m:rPr>
                        <m:sty m:val="p"/>
                      </m:rPr>
                      <w:rPr>
                        <w:rFonts w:ascii="Cambria Math" w:hAnsi="Cambria Math"/>
                      </w:rPr>
                      <m:t>f</m:t>
                    </m:r>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σ</m:t>
                    </m:r>
                  </m:e>
                  <m:sub>
                    <m:r>
                      <m:rPr>
                        <m:sty m:val="p"/>
                      </m:rPr>
                      <w:rPr>
                        <w:rFonts w:ascii="Cambria Math" w:hAnsi="Cambria Math"/>
                      </w:rPr>
                      <m:t>den</m:t>
                    </m:r>
                  </m:sub>
                </m:sSub>
                <m:nary>
                  <m:naryPr>
                    <m:chr m:val="∏"/>
                    <m:limLoc m:val="subSup"/>
                    <m:supHide m:val="1"/>
                    <m:ctrlPr>
                      <w:rPr>
                        <w:rFonts w:ascii="Cambria Math" w:hAnsi="Cambria Math"/>
                        <w:i/>
                        <w:iCs/>
                      </w:rPr>
                    </m:ctrlPr>
                  </m:naryPr>
                  <m:sub>
                    <m:r>
                      <w:rPr>
                        <w:rFonts w:ascii="Cambria Math" w:hAnsi="Cambria Math"/>
                      </w:rPr>
                      <m:t>j</m:t>
                    </m:r>
                  </m:sub>
                  <m:sup/>
                  <m:e>
                    <m:sSup>
                      <m:sSupPr>
                        <m:ctrlPr>
                          <w:rPr>
                            <w:rFonts w:ascii="Cambria Math" w:hAnsi="Cambria Math"/>
                            <w:i/>
                            <w:iCs/>
                          </w:rPr>
                        </m:ctrlPr>
                      </m:sSupPr>
                      <m:e>
                        <m:r>
                          <w:rPr>
                            <w:rFonts w:ascii="Cambria Math" w:hAnsi="Cambria Math"/>
                          </w:rPr>
                          <m:t>α</m:t>
                        </m:r>
                      </m:e>
                      <m:sup>
                        <m:sSub>
                          <m:sSubPr>
                            <m:ctrlPr>
                              <w:rPr>
                                <w:rFonts w:ascii="Cambria Math" w:hAnsi="Cambria Math"/>
                                <w:i/>
                                <w:iCs/>
                              </w:rPr>
                            </m:ctrlPr>
                          </m:sSubPr>
                          <m:e>
                            <m:r>
                              <w:rPr>
                                <w:rFonts w:ascii="Cambria Math" w:hAnsi="Cambria Math"/>
                              </w:rPr>
                              <m:t>υ</m:t>
                            </m:r>
                          </m:e>
                          <m:sub>
                            <m:r>
                              <w:rPr>
                                <w:rFonts w:ascii="Cambria Math" w:hAnsi="Cambria Math"/>
                              </w:rPr>
                              <m:t>j</m:t>
                            </m:r>
                          </m:sub>
                        </m:sSub>
                      </m:sup>
                    </m:sSup>
                  </m:e>
                </m:nary>
                <m:r>
                  <w:rPr>
                    <w:rFonts w:ascii="Cambria Math" w:hAnsi="Cambria Math"/>
                  </w:rPr>
                  <m:t>-</m:t>
                </m:r>
                <m:sSub>
                  <m:sSubPr>
                    <m:ctrlPr>
                      <w:rPr>
                        <w:rFonts w:ascii="Cambria Math" w:hAnsi="Cambria Math"/>
                        <w:i/>
                        <w:iCs/>
                      </w:rPr>
                    </m:ctrlPr>
                  </m:sSubPr>
                  <m:e>
                    <m:r>
                      <w:rPr>
                        <w:rFonts w:ascii="Cambria Math" w:hAnsi="Cambria Math"/>
                      </w:rPr>
                      <m:t>k</m:t>
                    </m:r>
                  </m:e>
                  <m:sub>
                    <m:r>
                      <m:rPr>
                        <m:sty m:val="p"/>
                      </m:rPr>
                      <w:rPr>
                        <w:rFonts w:ascii="Cambria Math" w:hAnsi="Cambria Math"/>
                      </w:rPr>
                      <m:t>r</m:t>
                    </m:r>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σ</m:t>
                    </m:r>
                  </m:e>
                  <m:sub>
                    <m:r>
                      <m:rPr>
                        <m:sty m:val="p"/>
                      </m:rPr>
                      <w:rPr>
                        <w:rFonts w:ascii="Cambria Math" w:hAnsi="Cambria Math"/>
                      </w:rPr>
                      <m:t>den</m:t>
                    </m:r>
                  </m:sub>
                </m:sSub>
                <m:nary>
                  <m:naryPr>
                    <m:chr m:val="∏"/>
                    <m:limLoc m:val="subSup"/>
                    <m:supHide m:val="1"/>
                    <m:ctrlPr>
                      <w:rPr>
                        <w:rFonts w:ascii="Cambria Math" w:hAnsi="Cambria Math"/>
                        <w:i/>
                        <w:iCs/>
                      </w:rPr>
                    </m:ctrlPr>
                  </m:naryPr>
                  <m:sub>
                    <m:r>
                      <w:rPr>
                        <w:rFonts w:ascii="Cambria Math" w:hAnsi="Cambria Math"/>
                      </w:rPr>
                      <m:t>j</m:t>
                    </m:r>
                  </m:sub>
                  <m:sup/>
                  <m:e>
                    <m:sSup>
                      <m:sSupPr>
                        <m:ctrlPr>
                          <w:rPr>
                            <w:rFonts w:ascii="Cambria Math" w:hAnsi="Cambria Math"/>
                            <w:i/>
                            <w:iCs/>
                          </w:rPr>
                        </m:ctrlPr>
                      </m:sSupPr>
                      <m:e>
                        <m:r>
                          <w:rPr>
                            <w:rFonts w:ascii="Cambria Math" w:hAnsi="Cambria Math"/>
                          </w:rPr>
                          <m:t>α</m:t>
                        </m:r>
                      </m:e>
                      <m:sup>
                        <m:sSub>
                          <m:sSubPr>
                            <m:ctrlPr>
                              <w:rPr>
                                <w:rFonts w:ascii="Cambria Math" w:hAnsi="Cambria Math"/>
                                <w:i/>
                                <w:iCs/>
                              </w:rPr>
                            </m:ctrlPr>
                          </m:sSubPr>
                          <m:e>
                            <m:r>
                              <w:rPr>
                                <w:rFonts w:ascii="Cambria Math" w:hAnsi="Cambria Math"/>
                              </w:rPr>
                              <m:t>υ</m:t>
                            </m:r>
                          </m:e>
                          <m:sub>
                            <m:r>
                              <w:rPr>
                                <w:rFonts w:ascii="Cambria Math" w:hAnsi="Cambria Math"/>
                              </w:rPr>
                              <m:t>j</m:t>
                            </m:r>
                          </m:sub>
                        </m:sSub>
                      </m:sup>
                    </m:sSup>
                  </m:e>
                </m:nary>
              </m:oMath>
            </m:oMathPara>
          </w:p>
        </w:tc>
        <w:tc>
          <w:tcPr>
            <w:tcW w:w="616" w:type="dxa"/>
            <w:vAlign w:val="center"/>
          </w:tcPr>
          <w:p w:rsidR="00B05F54" w:rsidRPr="00250017" w:rsidRDefault="00B05F54" w:rsidP="000E0603">
            <w:pPr>
              <w:pStyle w:val="a7"/>
              <w:spacing w:line="480" w:lineRule="auto"/>
              <w:rPr>
                <w:rFonts w:ascii="Times New Roman" w:hAnsi="Times New Roman"/>
                <w:sz w:val="24"/>
                <w:szCs w:val="24"/>
              </w:rPr>
            </w:pPr>
            <w:r w:rsidRPr="00250017">
              <w:rPr>
                <w:rFonts w:ascii="Times New Roman" w:hAnsi="Times New Roman"/>
                <w:sz w:val="24"/>
                <w:szCs w:val="24"/>
              </w:rPr>
              <w:t>(</w:t>
            </w:r>
            <w:r>
              <w:rPr>
                <w:rFonts w:ascii="Times New Roman" w:hAnsi="Times New Roman"/>
                <w:sz w:val="24"/>
                <w:szCs w:val="24"/>
              </w:rPr>
              <w:t>4</w:t>
            </w:r>
            <w:r w:rsidRPr="00250017">
              <w:rPr>
                <w:rFonts w:ascii="Times New Roman" w:hAnsi="Times New Roman"/>
                <w:sz w:val="24"/>
                <w:szCs w:val="24"/>
              </w:rPr>
              <w:t>)</w:t>
            </w:r>
          </w:p>
        </w:tc>
      </w:tr>
    </w:tbl>
    <w:p w:rsidR="00B05F54" w:rsidRPr="00250017" w:rsidRDefault="00B05F54" w:rsidP="00B05F54">
      <w:pPr>
        <w:spacing w:line="480" w:lineRule="auto"/>
      </w:pPr>
    </w:p>
    <w:p w:rsidR="00B05F54" w:rsidRDefault="00B05F54" w:rsidP="00B05F54">
      <w:pPr>
        <w:spacing w:line="480" w:lineRule="auto"/>
      </w:pPr>
      <w:r w:rsidRPr="00250017">
        <w:t>The ordinary differential equations (ODEs) are set up following the implementation of CHEMKIN</w:t>
      </w:r>
      <w:r w:rsidRPr="00250017">
        <w:fldChar w:fldCharType="begin"/>
      </w:r>
      <w:r w:rsidR="00EF0312">
        <w:instrText xml:space="preserve"> ADDIN EN.CITE &lt;EndNote&gt;&lt;Cite&gt;&lt;Author&gt;Coltrin&lt;/Author&gt;&lt;Year&gt;1991&lt;/Year&gt;&lt;RecNum&gt;27&lt;/RecNum&gt;&lt;DisplayText&gt;&lt;style face="superscript"&gt;26&lt;/style&gt;&lt;/DisplayText&gt;&lt;record&gt;&lt;rec-number&gt;27&lt;/rec-number&gt;&lt;foreign-keys&gt;&lt;key app="EN" db-id="v9r55epa49ezwrerfv05rxzoafxrafzdw059" timestamp="1585047991"&gt;27&lt;/key&gt;&lt;/foreign-keys&gt;&lt;ref-type name="Report"&gt;27&lt;/ref-type&gt;&lt;contributors&gt;&lt;authors&gt;&lt;author&gt;Coltrin, Michael E&lt;/author&gt;&lt;author&gt;Kee, Robert J&lt;/author&gt;&lt;author&gt;Rupley, FM&lt;/author&gt;&lt;/authors&gt;&lt;/contributors&gt;&lt;titles&gt;&lt;title&gt;Surface CHEMKIN (Version 4. 0): A Fortran package for analyzing heterogeneous chemical kinetics at a solid-surface---gas-phase interface&lt;/title&gt;&lt;/titles&gt;&lt;dates&gt;&lt;year&gt;1991&lt;/year&gt;&lt;/dates&gt;&lt;publisher&gt;Sandia National Labs., Livermore, CA (United States)&lt;/publisher&gt;&lt;urls&gt;&lt;/urls&gt;&lt;/record&gt;&lt;/Cite&gt;&lt;/EndNote&gt;</w:instrText>
      </w:r>
      <w:r w:rsidRPr="00250017">
        <w:fldChar w:fldCharType="separate"/>
      </w:r>
      <w:r w:rsidR="00EF0312" w:rsidRPr="00EF0312">
        <w:rPr>
          <w:noProof/>
          <w:vertAlign w:val="superscript"/>
        </w:rPr>
        <w:t>26</w:t>
      </w:r>
      <w:r w:rsidRPr="00250017">
        <w:fldChar w:fldCharType="end"/>
      </w:r>
      <w:r w:rsidRPr="00250017">
        <w:t xml:space="preserve"> for CSTR (gas), batch (liquid) and surface species. We solved ODEs using MatLab software.</w:t>
      </w:r>
    </w:p>
    <w:p w:rsidR="00B05F54" w:rsidRDefault="00B05F54" w:rsidP="00B05F54">
      <w:pPr>
        <w:spacing w:line="480" w:lineRule="auto"/>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F215BB" w:rsidRPr="00F215BB" w:rsidRDefault="00F215BB" w:rsidP="00F215BB">
      <w:pPr>
        <w:pStyle w:val="a7"/>
        <w:keepNext/>
        <w:spacing w:line="480" w:lineRule="auto"/>
        <w:rPr>
          <w:rFonts w:ascii="Times New Roman" w:hAnsi="Times New Roman"/>
          <w:sz w:val="24"/>
          <w:szCs w:val="24"/>
        </w:rPr>
      </w:pPr>
      <w:r w:rsidRPr="00F215BB">
        <w:rPr>
          <w:rFonts w:ascii="Times New Roman" w:hAnsi="Times New Roman"/>
          <w:sz w:val="24"/>
          <w:szCs w:val="24"/>
        </w:rPr>
        <w:t xml:space="preserve">Supplementary Table </w:t>
      </w:r>
      <w:r w:rsidRPr="00F215BB">
        <w:rPr>
          <w:rFonts w:ascii="Times New Roman" w:hAnsi="Times New Roman"/>
          <w:sz w:val="24"/>
          <w:szCs w:val="24"/>
        </w:rPr>
        <w:fldChar w:fldCharType="begin"/>
      </w:r>
      <w:r w:rsidRPr="00F215BB">
        <w:rPr>
          <w:rFonts w:ascii="Times New Roman" w:hAnsi="Times New Roman"/>
          <w:sz w:val="24"/>
          <w:szCs w:val="24"/>
        </w:rPr>
        <w:instrText xml:space="preserve"> SEQ Supplementary_Table \* ARABIC </w:instrText>
      </w:r>
      <w:r w:rsidRPr="00F215BB">
        <w:rPr>
          <w:rFonts w:ascii="Times New Roman" w:hAnsi="Times New Roman"/>
          <w:sz w:val="24"/>
          <w:szCs w:val="24"/>
        </w:rPr>
        <w:fldChar w:fldCharType="separate"/>
      </w:r>
      <w:r w:rsidR="00767CB7">
        <w:rPr>
          <w:rFonts w:ascii="Times New Roman" w:hAnsi="Times New Roman"/>
          <w:noProof/>
          <w:sz w:val="24"/>
          <w:szCs w:val="24"/>
        </w:rPr>
        <w:t>4</w:t>
      </w:r>
      <w:r w:rsidRPr="00F215BB">
        <w:rPr>
          <w:rFonts w:ascii="Times New Roman" w:hAnsi="Times New Roman"/>
          <w:sz w:val="24"/>
          <w:szCs w:val="24"/>
        </w:rPr>
        <w:fldChar w:fldCharType="end"/>
      </w:r>
      <w:r w:rsidRPr="00F215BB">
        <w:rPr>
          <w:rFonts w:ascii="Times New Roman" w:hAnsi="Times New Roman"/>
          <w:sz w:val="24"/>
          <w:szCs w:val="24"/>
        </w:rPr>
        <w:t xml:space="preserve"> | Summary of </w:t>
      </w:r>
      <w:r w:rsidRPr="00F215BB">
        <w:rPr>
          <w:rFonts w:ascii="Times New Roman" w:hAnsi="Times New Roman"/>
          <w:i/>
          <w:sz w:val="24"/>
          <w:szCs w:val="24"/>
        </w:rPr>
        <w:t>U</w:t>
      </w:r>
      <w:r w:rsidRPr="00F215BB">
        <w:rPr>
          <w:rFonts w:ascii="Times New Roman" w:hAnsi="Times New Roman"/>
          <w:sz w:val="24"/>
          <w:szCs w:val="24"/>
          <w:vertAlign w:val="subscript"/>
        </w:rPr>
        <w:t>cross</w:t>
      </w:r>
      <w:r w:rsidRPr="00F215BB">
        <w:rPr>
          <w:rFonts w:ascii="Times New Roman" w:hAnsi="Times New Roman"/>
          <w:sz w:val="24"/>
          <w:szCs w:val="24"/>
        </w:rPr>
        <w:t xml:space="preserve">, </w:t>
      </w:r>
      <w:r w:rsidRPr="00F215BB">
        <w:rPr>
          <w:rFonts w:ascii="Times New Roman" w:hAnsi="Times New Roman"/>
          <w:i/>
          <w:sz w:val="24"/>
          <w:szCs w:val="24"/>
        </w:rPr>
        <w:t>U</w:t>
      </w:r>
      <w:r w:rsidRPr="00F215BB">
        <w:rPr>
          <w:rFonts w:ascii="Times New Roman" w:hAnsi="Times New Roman"/>
          <w:sz w:val="24"/>
          <w:szCs w:val="24"/>
        </w:rPr>
        <w:t xml:space="preserve"> at maximum </w:t>
      </w:r>
      <m:oMath>
        <m:sSub>
          <m:sSubPr>
            <m:ctrlPr>
              <w:rPr>
                <w:rFonts w:ascii="Cambria Math" w:hAnsi="Cambria Math"/>
                <w:sz w:val="24"/>
                <w:szCs w:val="24"/>
              </w:rPr>
            </m:ctrlPr>
          </m:sSubPr>
          <m:e>
            <m:r>
              <m:rPr>
                <m:sty m:val="bi"/>
              </m:rPr>
              <w:rPr>
                <w:rFonts w:ascii="Cambria Math" w:hAnsi="Cambria Math"/>
                <w:sz w:val="24"/>
                <w:szCs w:val="24"/>
              </w:rPr>
              <m:t>θ</m:t>
            </m:r>
          </m:e>
          <m:sub>
            <m:sSub>
              <m:sSubPr>
                <m:ctrlPr>
                  <w:rPr>
                    <w:rFonts w:ascii="Cambria Math" w:hAnsi="Cambria Math"/>
                    <w:sz w:val="24"/>
                    <w:szCs w:val="24"/>
                  </w:rPr>
                </m:ctrlPr>
              </m:sSubPr>
              <m:e>
                <m:r>
                  <m:rPr>
                    <m:sty m:val="b"/>
                  </m:rPr>
                  <w:rPr>
                    <w:rFonts w:ascii="Cambria Math" w:hAnsi="Cambria Math"/>
                    <w:sz w:val="24"/>
                    <w:szCs w:val="24"/>
                  </w:rPr>
                  <m:t>N</m:t>
                </m:r>
              </m:e>
              <m:sub>
                <m:r>
                  <m:rPr>
                    <m:sty m:val="b"/>
                  </m:rPr>
                  <w:rPr>
                    <w:rFonts w:ascii="Cambria Math" w:hAnsi="Cambria Math"/>
                    <w:sz w:val="24"/>
                    <w:szCs w:val="24"/>
                  </w:rPr>
                  <m:t>2</m:t>
                </m:r>
              </m:sub>
            </m:sSub>
          </m:sub>
        </m:sSub>
      </m:oMath>
      <w:r w:rsidRPr="00F215BB">
        <w:rPr>
          <w:rFonts w:ascii="Times New Roman" w:hAnsi="Times New Roman"/>
          <w:sz w:val="24"/>
          <w:szCs w:val="24"/>
        </w:rPr>
        <w:t xml:space="preserve"> and </w:t>
      </w:r>
      <w:r w:rsidRPr="00F215BB">
        <w:rPr>
          <w:rFonts w:ascii="Times New Roman" w:hAnsi="Times New Roman"/>
          <w:i/>
          <w:sz w:val="24"/>
          <w:szCs w:val="24"/>
        </w:rPr>
        <w:t>U</w:t>
      </w:r>
      <w:r w:rsidRPr="00F215BB">
        <w:rPr>
          <w:rFonts w:ascii="Times New Roman" w:hAnsi="Times New Roman"/>
          <w:sz w:val="24"/>
          <w:szCs w:val="24"/>
        </w:rPr>
        <w:t xml:space="preserve"> at maximum NH</w:t>
      </w:r>
      <w:r w:rsidRPr="00F215BB">
        <w:rPr>
          <w:rFonts w:ascii="Times New Roman" w:hAnsi="Times New Roman"/>
          <w:sz w:val="24"/>
          <w:szCs w:val="24"/>
          <w:vertAlign w:val="subscript"/>
        </w:rPr>
        <w:t>3</w:t>
      </w:r>
      <w:r w:rsidRPr="00F215BB">
        <w:rPr>
          <w:rFonts w:ascii="Times New Roman" w:hAnsi="Times New Roman"/>
          <w:sz w:val="24"/>
          <w:szCs w:val="24"/>
        </w:rPr>
        <w:t xml:space="preserve"> yield rate obtained on Fe@N</w:t>
      </w:r>
      <w:r w:rsidRPr="00F215BB">
        <w:rPr>
          <w:rFonts w:ascii="Times New Roman" w:hAnsi="Times New Roman"/>
          <w:sz w:val="24"/>
          <w:szCs w:val="24"/>
          <w:vertAlign w:val="subscript"/>
        </w:rPr>
        <w:t>4</w:t>
      </w:r>
      <w:r w:rsidRPr="00F215BB">
        <w:rPr>
          <w:rFonts w:ascii="Times New Roman" w:hAnsi="Times New Roman"/>
          <w:sz w:val="24"/>
          <w:szCs w:val="24"/>
        </w:rPr>
        <w:t xml:space="preserve"> by the CEP model and MKM simulations.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273"/>
        <w:gridCol w:w="2551"/>
        <w:gridCol w:w="3686"/>
      </w:tblGrid>
      <w:tr w:rsidR="006D7AB3" w:rsidTr="006D7AB3">
        <w:trPr>
          <w:trHeight w:val="814"/>
        </w:trPr>
        <w:tc>
          <w:tcPr>
            <w:tcW w:w="1413" w:type="dxa"/>
            <w:tcBorders>
              <w:top w:val="single" w:sz="4" w:space="0" w:color="auto"/>
              <w:bottom w:val="single" w:sz="4" w:space="0" w:color="auto"/>
            </w:tcBorders>
            <w:vAlign w:val="center"/>
          </w:tcPr>
          <w:p w:rsidR="006D7AB3" w:rsidRDefault="006D7AB3" w:rsidP="0079164A">
            <w:pPr>
              <w:jc w:val="center"/>
              <w:rPr>
                <w:lang w:val="en-US" w:eastAsia="ko-KR"/>
              </w:rPr>
            </w:pPr>
            <w:r>
              <w:rPr>
                <w:lang w:val="en-US" w:eastAsia="ko-KR"/>
              </w:rPr>
              <w:t>pH</w:t>
            </w:r>
          </w:p>
        </w:tc>
        <w:tc>
          <w:tcPr>
            <w:tcW w:w="2273" w:type="dxa"/>
            <w:tcBorders>
              <w:top w:val="single" w:sz="4" w:space="0" w:color="auto"/>
              <w:bottom w:val="single" w:sz="4" w:space="0" w:color="auto"/>
            </w:tcBorders>
            <w:vAlign w:val="center"/>
          </w:tcPr>
          <w:p w:rsidR="006D7AB3" w:rsidRDefault="006D7AB3" w:rsidP="0079164A">
            <w:pPr>
              <w:jc w:val="center"/>
              <w:rPr>
                <w:lang w:val="en-US" w:eastAsia="ko-KR"/>
              </w:rPr>
            </w:pPr>
            <w:r w:rsidRPr="0079164A">
              <w:rPr>
                <w:i/>
                <w:lang w:val="en-US" w:eastAsia="ko-KR"/>
              </w:rPr>
              <w:t>U</w:t>
            </w:r>
            <w:r w:rsidRPr="0079164A">
              <w:rPr>
                <w:vertAlign w:val="subscript"/>
                <w:lang w:val="en-US" w:eastAsia="ko-KR"/>
              </w:rPr>
              <w:t>cross</w:t>
            </w:r>
          </w:p>
          <w:p w:rsidR="006D7AB3" w:rsidRDefault="006D7AB3" w:rsidP="00967E81">
            <w:pPr>
              <w:jc w:val="center"/>
              <w:rPr>
                <w:lang w:val="en-US" w:eastAsia="ko-KR"/>
              </w:rPr>
            </w:pPr>
            <w:r>
              <w:rPr>
                <w:lang w:val="en-US" w:eastAsia="ko-KR"/>
              </w:rPr>
              <w:t>(V vs. RHE)</w:t>
            </w:r>
          </w:p>
        </w:tc>
        <w:tc>
          <w:tcPr>
            <w:tcW w:w="2551" w:type="dxa"/>
            <w:tcBorders>
              <w:top w:val="single" w:sz="4" w:space="0" w:color="auto"/>
              <w:bottom w:val="single" w:sz="4" w:space="0" w:color="auto"/>
            </w:tcBorders>
            <w:vAlign w:val="center"/>
          </w:tcPr>
          <w:p w:rsidR="006D7AB3" w:rsidRDefault="006D7AB3" w:rsidP="0079164A">
            <w:pPr>
              <w:jc w:val="center"/>
            </w:pPr>
            <w:r w:rsidRPr="0079164A">
              <w:rPr>
                <w:i/>
                <w:lang w:val="en-US" w:eastAsia="ko-KR"/>
              </w:rPr>
              <w:t>U</w:t>
            </w:r>
            <w:r>
              <w:rPr>
                <w:lang w:val="en-US" w:eastAsia="ko-KR"/>
              </w:rPr>
              <w:t xml:space="preserve"> at maximum </w:t>
            </w:r>
            <m:oMath>
              <m:sSub>
                <m:sSubPr>
                  <m:ctrlPr>
                    <w:rPr>
                      <w:rFonts w:ascii="Cambria Math" w:hAnsi="Cambria Math"/>
                    </w:rPr>
                  </m:ctrlPr>
                </m:sSubPr>
                <m:e>
                  <m:r>
                    <w:rPr>
                      <w:rFonts w:ascii="Cambria Math" w:hAnsi="Cambria Math"/>
                    </w:rPr>
                    <m:t>θ</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sub>
              </m:sSub>
            </m:oMath>
          </w:p>
          <w:p w:rsidR="006D7AB3" w:rsidRDefault="006D7AB3" w:rsidP="00967E81">
            <w:pPr>
              <w:jc w:val="center"/>
              <w:rPr>
                <w:lang w:val="en-US" w:eastAsia="ko-KR"/>
              </w:rPr>
            </w:pPr>
            <w:r>
              <w:t>(V vs. RHE)</w:t>
            </w:r>
          </w:p>
        </w:tc>
        <w:tc>
          <w:tcPr>
            <w:tcW w:w="3686" w:type="dxa"/>
            <w:tcBorders>
              <w:top w:val="single" w:sz="4" w:space="0" w:color="auto"/>
              <w:bottom w:val="single" w:sz="4" w:space="0" w:color="auto"/>
            </w:tcBorders>
            <w:vAlign w:val="center"/>
          </w:tcPr>
          <w:p w:rsidR="006D7AB3" w:rsidRDefault="006D7AB3" w:rsidP="0079164A">
            <w:pPr>
              <w:jc w:val="center"/>
              <w:rPr>
                <w:lang w:val="en-US" w:eastAsia="ko-KR"/>
              </w:rPr>
            </w:pPr>
            <w:r w:rsidRPr="0079164A">
              <w:rPr>
                <w:i/>
                <w:lang w:val="en-US" w:eastAsia="ko-KR"/>
              </w:rPr>
              <w:t>U</w:t>
            </w:r>
            <w:r>
              <w:rPr>
                <w:lang w:val="en-US" w:eastAsia="ko-KR"/>
              </w:rPr>
              <w:t xml:space="preserve"> at maximum NH</w:t>
            </w:r>
            <w:r w:rsidRPr="0079164A">
              <w:rPr>
                <w:vertAlign w:val="subscript"/>
                <w:lang w:val="en-US" w:eastAsia="ko-KR"/>
              </w:rPr>
              <w:t>3</w:t>
            </w:r>
            <w:r>
              <w:rPr>
                <w:lang w:val="en-US" w:eastAsia="ko-KR"/>
              </w:rPr>
              <w:t xml:space="preserve"> yield rate  </w:t>
            </w:r>
          </w:p>
          <w:p w:rsidR="006D7AB3" w:rsidRDefault="006D7AB3" w:rsidP="00967E81">
            <w:pPr>
              <w:jc w:val="center"/>
              <w:rPr>
                <w:lang w:val="en-US" w:eastAsia="ko-KR"/>
              </w:rPr>
            </w:pPr>
            <w:r>
              <w:rPr>
                <w:lang w:val="en-US" w:eastAsia="ko-KR"/>
              </w:rPr>
              <w:t>(V vs. RHE)</w:t>
            </w:r>
          </w:p>
        </w:tc>
      </w:tr>
      <w:tr w:rsidR="006D7AB3" w:rsidTr="006D7AB3">
        <w:trPr>
          <w:trHeight w:val="814"/>
        </w:trPr>
        <w:tc>
          <w:tcPr>
            <w:tcW w:w="1413" w:type="dxa"/>
            <w:tcBorders>
              <w:top w:val="single" w:sz="4" w:space="0" w:color="auto"/>
            </w:tcBorders>
            <w:vAlign w:val="center"/>
          </w:tcPr>
          <w:p w:rsidR="006D7AB3" w:rsidRDefault="006D7AB3" w:rsidP="0079164A">
            <w:pPr>
              <w:jc w:val="center"/>
              <w:rPr>
                <w:lang w:val="en-US" w:eastAsia="ko-KR"/>
              </w:rPr>
            </w:pPr>
            <w:r>
              <w:rPr>
                <w:lang w:val="en-US" w:eastAsia="ko-KR"/>
              </w:rPr>
              <w:t>13</w:t>
            </w:r>
          </w:p>
        </w:tc>
        <w:tc>
          <w:tcPr>
            <w:tcW w:w="2273" w:type="dxa"/>
            <w:tcBorders>
              <w:top w:val="single" w:sz="4" w:space="0" w:color="auto"/>
            </w:tcBorders>
            <w:vAlign w:val="center"/>
          </w:tcPr>
          <w:p w:rsidR="006D7AB3" w:rsidRDefault="006D7AB3" w:rsidP="00026523">
            <w:pPr>
              <w:jc w:val="center"/>
              <w:rPr>
                <w:lang w:val="en-US" w:eastAsia="ko-KR"/>
              </w:rPr>
            </w:pPr>
            <w:r>
              <w:rPr>
                <w:lang w:val="en-US" w:eastAsia="ko-KR"/>
              </w:rPr>
              <w:t>-0.15</w:t>
            </w:r>
          </w:p>
        </w:tc>
        <w:tc>
          <w:tcPr>
            <w:tcW w:w="2551" w:type="dxa"/>
            <w:tcBorders>
              <w:top w:val="single" w:sz="4" w:space="0" w:color="auto"/>
            </w:tcBorders>
            <w:vAlign w:val="center"/>
          </w:tcPr>
          <w:p w:rsidR="006D7AB3" w:rsidRDefault="006D7AB3" w:rsidP="00026523">
            <w:pPr>
              <w:jc w:val="center"/>
              <w:rPr>
                <w:lang w:val="en-US" w:eastAsia="ko-KR"/>
              </w:rPr>
            </w:pPr>
            <w:r>
              <w:rPr>
                <w:lang w:val="en-US" w:eastAsia="ko-KR"/>
              </w:rPr>
              <w:t>-0.15</w:t>
            </w:r>
          </w:p>
        </w:tc>
        <w:tc>
          <w:tcPr>
            <w:tcW w:w="3686" w:type="dxa"/>
            <w:tcBorders>
              <w:top w:val="single" w:sz="4" w:space="0" w:color="auto"/>
            </w:tcBorders>
            <w:vAlign w:val="center"/>
          </w:tcPr>
          <w:p w:rsidR="006D7AB3" w:rsidRDefault="006D7AB3" w:rsidP="00026523">
            <w:pPr>
              <w:jc w:val="center"/>
              <w:rPr>
                <w:lang w:val="en-US" w:eastAsia="ko-KR"/>
              </w:rPr>
            </w:pPr>
            <w:r>
              <w:rPr>
                <w:lang w:val="en-US" w:eastAsia="ko-KR"/>
              </w:rPr>
              <w:t>-0.25</w:t>
            </w:r>
          </w:p>
        </w:tc>
      </w:tr>
      <w:tr w:rsidR="006D7AB3" w:rsidTr="00B850BF">
        <w:trPr>
          <w:trHeight w:val="814"/>
        </w:trPr>
        <w:tc>
          <w:tcPr>
            <w:tcW w:w="1413" w:type="dxa"/>
            <w:vAlign w:val="center"/>
          </w:tcPr>
          <w:p w:rsidR="006D7AB3" w:rsidRDefault="006D7AB3" w:rsidP="0079164A">
            <w:pPr>
              <w:jc w:val="center"/>
              <w:rPr>
                <w:lang w:val="en-US" w:eastAsia="ko-KR"/>
              </w:rPr>
            </w:pPr>
            <w:r>
              <w:rPr>
                <w:lang w:val="en-US" w:eastAsia="ko-KR"/>
              </w:rPr>
              <w:t>7.2</w:t>
            </w:r>
          </w:p>
        </w:tc>
        <w:tc>
          <w:tcPr>
            <w:tcW w:w="2273" w:type="dxa"/>
            <w:vAlign w:val="center"/>
          </w:tcPr>
          <w:p w:rsidR="006D7AB3" w:rsidRDefault="006D7AB3" w:rsidP="006D7AB3">
            <w:pPr>
              <w:jc w:val="center"/>
              <w:rPr>
                <w:lang w:val="en-US" w:eastAsia="ko-KR"/>
              </w:rPr>
            </w:pPr>
            <w:r>
              <w:rPr>
                <w:lang w:val="en-US" w:eastAsia="ko-KR"/>
              </w:rPr>
              <w:t>-0.15</w:t>
            </w:r>
          </w:p>
        </w:tc>
        <w:tc>
          <w:tcPr>
            <w:tcW w:w="2551" w:type="dxa"/>
            <w:vAlign w:val="center"/>
          </w:tcPr>
          <w:p w:rsidR="006D7AB3" w:rsidRDefault="006D7AB3" w:rsidP="00026523">
            <w:pPr>
              <w:jc w:val="center"/>
              <w:rPr>
                <w:lang w:val="en-US" w:eastAsia="ko-KR"/>
              </w:rPr>
            </w:pPr>
            <w:r>
              <w:rPr>
                <w:lang w:val="en-US" w:eastAsia="ko-KR"/>
              </w:rPr>
              <w:t>-0.45</w:t>
            </w:r>
          </w:p>
        </w:tc>
        <w:tc>
          <w:tcPr>
            <w:tcW w:w="3686" w:type="dxa"/>
            <w:vAlign w:val="center"/>
          </w:tcPr>
          <w:p w:rsidR="006D7AB3" w:rsidRDefault="006D7AB3" w:rsidP="00026523">
            <w:pPr>
              <w:jc w:val="center"/>
              <w:rPr>
                <w:lang w:val="en-US" w:eastAsia="ko-KR"/>
              </w:rPr>
            </w:pPr>
            <w:r>
              <w:rPr>
                <w:lang w:val="en-US" w:eastAsia="ko-KR"/>
              </w:rPr>
              <w:t>-0.58</w:t>
            </w:r>
          </w:p>
        </w:tc>
      </w:tr>
      <w:tr w:rsidR="00B850BF" w:rsidTr="006D7AB3">
        <w:trPr>
          <w:trHeight w:val="814"/>
        </w:trPr>
        <w:tc>
          <w:tcPr>
            <w:tcW w:w="1413" w:type="dxa"/>
            <w:tcBorders>
              <w:bottom w:val="single" w:sz="4" w:space="0" w:color="auto"/>
            </w:tcBorders>
            <w:vAlign w:val="center"/>
          </w:tcPr>
          <w:p w:rsidR="00B850BF" w:rsidRDefault="00B850BF" w:rsidP="0079164A">
            <w:pPr>
              <w:jc w:val="center"/>
              <w:rPr>
                <w:lang w:val="en-US" w:eastAsia="ko-KR"/>
              </w:rPr>
            </w:pPr>
            <w:r>
              <w:rPr>
                <w:lang w:val="en-US" w:eastAsia="ko-KR"/>
              </w:rPr>
              <w:t>0</w:t>
            </w:r>
          </w:p>
        </w:tc>
        <w:tc>
          <w:tcPr>
            <w:tcW w:w="2273" w:type="dxa"/>
            <w:tcBorders>
              <w:bottom w:val="single" w:sz="4" w:space="0" w:color="auto"/>
            </w:tcBorders>
            <w:vAlign w:val="center"/>
          </w:tcPr>
          <w:p w:rsidR="00B850BF" w:rsidRDefault="00B850BF" w:rsidP="00B850BF">
            <w:pPr>
              <w:jc w:val="center"/>
              <w:rPr>
                <w:lang w:val="en-US" w:eastAsia="ko-KR"/>
              </w:rPr>
            </w:pPr>
            <w:r>
              <w:rPr>
                <w:lang w:val="en-US" w:eastAsia="ko-KR"/>
              </w:rPr>
              <w:t>-0.15</w:t>
            </w:r>
          </w:p>
        </w:tc>
        <w:tc>
          <w:tcPr>
            <w:tcW w:w="2551" w:type="dxa"/>
            <w:tcBorders>
              <w:bottom w:val="single" w:sz="4" w:space="0" w:color="auto"/>
            </w:tcBorders>
            <w:vAlign w:val="center"/>
          </w:tcPr>
          <w:p w:rsidR="00B850BF" w:rsidRDefault="00B850BF" w:rsidP="00026523">
            <w:pPr>
              <w:jc w:val="center"/>
              <w:rPr>
                <w:lang w:val="en-US" w:eastAsia="ko-KR"/>
              </w:rPr>
            </w:pPr>
            <w:r>
              <w:rPr>
                <w:lang w:val="en-US" w:eastAsia="ko-KR"/>
              </w:rPr>
              <w:t>-0.20</w:t>
            </w:r>
          </w:p>
        </w:tc>
        <w:tc>
          <w:tcPr>
            <w:tcW w:w="3686" w:type="dxa"/>
            <w:tcBorders>
              <w:bottom w:val="single" w:sz="4" w:space="0" w:color="auto"/>
            </w:tcBorders>
            <w:vAlign w:val="center"/>
          </w:tcPr>
          <w:p w:rsidR="00B850BF" w:rsidRDefault="00B850BF" w:rsidP="00026523">
            <w:pPr>
              <w:jc w:val="center"/>
              <w:rPr>
                <w:lang w:val="en-US" w:eastAsia="ko-KR"/>
              </w:rPr>
            </w:pPr>
            <w:r>
              <w:rPr>
                <w:lang w:val="en-US" w:eastAsia="ko-KR"/>
              </w:rPr>
              <w:t>-0.25</w:t>
            </w:r>
          </w:p>
        </w:tc>
      </w:tr>
    </w:tbl>
    <w:p w:rsidR="0079164A" w:rsidRDefault="0079164A" w:rsidP="0079164A">
      <w:pPr>
        <w:rPr>
          <w:lang w:val="en-US" w:eastAsia="ko-KR"/>
        </w:rPr>
      </w:pPr>
    </w:p>
    <w:p w:rsidR="0079164A" w:rsidRDefault="0079164A"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B05F54" w:rsidRDefault="00B05F54"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Default="00E04815" w:rsidP="0079164A">
      <w:pPr>
        <w:rPr>
          <w:lang w:val="en-US" w:eastAsia="ko-KR"/>
        </w:rPr>
      </w:pPr>
    </w:p>
    <w:p w:rsidR="00E04815" w:rsidRPr="00250017" w:rsidRDefault="00E04815" w:rsidP="00E04815">
      <w:pPr>
        <w:pStyle w:val="10"/>
      </w:pPr>
      <w:r>
        <w:lastRenderedPageBreak/>
        <w:t xml:space="preserve">Supplementary Note </w:t>
      </w:r>
      <w:r w:rsidR="0064175D">
        <w:t>6. Calculation</w:t>
      </w:r>
      <w:r>
        <w:t xml:space="preserve"> of </w:t>
      </w:r>
      <m:oMath>
        <m:r>
          <m:rPr>
            <m:sty m:val="b"/>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e</m:t>
                </m:r>
              </m:sub>
            </m:sSub>
          </m:e>
        </m:bar>
      </m:oMath>
      <w:r w:rsidRPr="00250017">
        <w:t xml:space="preserve"> </w:t>
      </w:r>
      <w:r>
        <w:t>and slope</w:t>
      </w:r>
    </w:p>
    <w:p w:rsidR="00463E11" w:rsidRDefault="00891663" w:rsidP="00E04815">
      <w:pPr>
        <w:spacing w:line="480" w:lineRule="auto"/>
      </w:pPr>
      <w:r>
        <w:t xml:space="preserve">The </w:t>
      </w:r>
      <w:r w:rsidRPr="00B95B08">
        <w:t>∆</w:t>
      </w:r>
      <w:r w:rsidRPr="00B95B08">
        <w:rPr>
          <w:i/>
        </w:rPr>
        <w:t>G</w:t>
      </w:r>
      <w:r>
        <w:t xml:space="preserve"> and </w:t>
      </w:r>
      <m:oMath>
        <m:sSub>
          <m:sSubPr>
            <m:ctrlPr>
              <w:rPr>
                <w:rFonts w:ascii="Cambria Math" w:hAnsi="Cambria Math"/>
              </w:rPr>
            </m:ctrlPr>
          </m:sSubPr>
          <m:e>
            <m:r>
              <w:rPr>
                <w:rFonts w:ascii="Cambria Math" w:hAnsi="Cambria Math"/>
              </w:rPr>
              <m:t>∆N</m:t>
            </m:r>
          </m:e>
          <m:sub>
            <m:r>
              <w:rPr>
                <w:rFonts w:ascii="Cambria Math" w:hAnsi="Cambria Math"/>
              </w:rPr>
              <m:t>e</m:t>
            </m:r>
          </m:sub>
        </m:sSub>
      </m:oMath>
      <w:r>
        <w:t xml:space="preserve"> at </w:t>
      </w:r>
      <w:r w:rsidRPr="00B95B08">
        <w:rPr>
          <w:i/>
        </w:rPr>
        <w:t>U</w:t>
      </w:r>
      <w:r w:rsidRPr="00AC2209">
        <w:t xml:space="preserve"> = 0, -0.5, -1 V (vs. SHE)</w:t>
      </w:r>
      <w:r w:rsidRPr="00B95B08">
        <w:t xml:space="preserve"> </w:t>
      </w:r>
      <w:r>
        <w:t xml:space="preserve"> are used to obtain the calculated slope and </w:t>
      </w:r>
      <m:oMath>
        <m:r>
          <m:rPr>
            <m:sty m:val="p"/>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w:rPr>
                    <w:rFonts w:ascii="Cambria Math" w:hAnsi="Cambria Math"/>
                  </w:rPr>
                  <m:t>N</m:t>
                </m:r>
              </m:e>
              <m:sub>
                <m:r>
                  <w:rPr>
                    <w:rFonts w:ascii="Cambria Math" w:hAnsi="Cambria Math"/>
                  </w:rPr>
                  <m:t>e</m:t>
                </m:r>
              </m:sub>
            </m:sSub>
          </m:e>
        </m:bar>
      </m:oMath>
      <w:r>
        <w:t xml:space="preserve">, respectively. </w:t>
      </w:r>
      <w:r w:rsidRPr="00980123">
        <w:t xml:space="preserve">Here, we use the number of electrons added </w:t>
      </w:r>
      <w:r>
        <w:t xml:space="preserve">(or extracted) </w:t>
      </w:r>
      <w:r w:rsidRPr="00980123">
        <w:t xml:space="preserve">to the slab model to tune the potential (or workfunction) of the slab surface as </w:t>
      </w:r>
      <m:oMath>
        <m:sSub>
          <m:sSubPr>
            <m:ctrlPr>
              <w:rPr>
                <w:rFonts w:ascii="Cambria Math" w:hAnsi="Cambria Math"/>
              </w:rPr>
            </m:ctrlPr>
          </m:sSubPr>
          <m:e>
            <m:r>
              <w:rPr>
                <w:rFonts w:ascii="Cambria Math" w:hAnsi="Cambria Math"/>
              </w:rPr>
              <m:t>N</m:t>
            </m:r>
          </m:e>
          <m:sub>
            <m:r>
              <w:rPr>
                <w:rFonts w:ascii="Cambria Math" w:hAnsi="Cambria Math"/>
              </w:rPr>
              <m:t>e</m:t>
            </m:r>
          </m:sub>
        </m:sSub>
      </m:oMath>
      <w:r w:rsidRPr="00980123">
        <w:t>.</w:t>
      </w:r>
      <w:r w:rsidR="00463E11">
        <w:t xml:space="preserve"> The charge neutrality is kept by </w:t>
      </w:r>
      <w:r w:rsidR="0033119A">
        <w:t xml:space="preserve">ionic countercharges </w:t>
      </w:r>
      <w:r w:rsidR="00463E11" w:rsidRPr="00463E11">
        <w:t>via the linearized Poisson-Boltzmann equation</w:t>
      </w:r>
      <w:r w:rsidR="0033119A">
        <w:t>.</w:t>
      </w:r>
    </w:p>
    <w:p w:rsidR="00E04815" w:rsidRPr="00250017" w:rsidRDefault="00E04815" w:rsidP="00E04815">
      <w:pPr>
        <w:spacing w:line="480" w:lineRule="auto"/>
      </w:pPr>
      <w:r w:rsidRPr="00250017">
        <w:t>We tested the effect of explicit water on ∆</w:t>
      </w:r>
      <w:r w:rsidRPr="00250017">
        <w:rPr>
          <w:i/>
        </w:rPr>
        <w:t>G</w:t>
      </w:r>
      <w:r w:rsidRPr="00250017">
        <w:t xml:space="preserve"> and </w:t>
      </w:r>
      <m:oMath>
        <m:r>
          <m:rPr>
            <m:sty m:val="p"/>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w:rPr>
                    <w:rFonts w:ascii="Cambria Math" w:hAnsi="Cambria Math"/>
                  </w:rPr>
                  <m:t>N</m:t>
                </m:r>
              </m:e>
              <m:sub>
                <m:r>
                  <w:rPr>
                    <w:rFonts w:ascii="Cambria Math" w:hAnsi="Cambria Math"/>
                  </w:rPr>
                  <m:t>e</m:t>
                </m:r>
              </m:sub>
            </m:sSub>
          </m:e>
        </m:bar>
      </m:oMath>
      <w:r w:rsidRPr="00250017">
        <w:t xml:space="preserve"> for *NNH and *H formation. The ∆</w:t>
      </w:r>
      <w:r w:rsidRPr="00250017">
        <w:rPr>
          <w:i/>
        </w:rPr>
        <w:t>G</w:t>
      </w:r>
      <w:r w:rsidRPr="00250017">
        <w:t xml:space="preserve"> does not change significantly by explicit water (</w:t>
      </w:r>
      <w:r>
        <w:rPr>
          <w:b/>
        </w:rPr>
        <w:fldChar w:fldCharType="begin"/>
      </w:r>
      <w:r>
        <w:instrText xml:space="preserve"> REF _Ref60240071 \h </w:instrText>
      </w:r>
      <w:r>
        <w:rPr>
          <w:b/>
        </w:rPr>
      </w:r>
      <w:r>
        <w:rPr>
          <w:b/>
        </w:rPr>
        <w:fldChar w:fldCharType="separate"/>
      </w:r>
      <w:r w:rsidRPr="00226621">
        <w:t xml:space="preserve">Supplementary Fig. </w:t>
      </w:r>
      <w:r>
        <w:rPr>
          <w:noProof/>
        </w:rPr>
        <w:t>11</w:t>
      </w:r>
      <w:r>
        <w:rPr>
          <w:b/>
        </w:rPr>
        <w:fldChar w:fldCharType="end"/>
      </w:r>
      <w:r w:rsidRPr="00CC388E">
        <w:t>a</w:t>
      </w:r>
      <w:r w:rsidRPr="00250017">
        <w:t>). Thus, the explicit water layer is not included in estimating the free energy diagram for NRR on Fe@N</w:t>
      </w:r>
      <w:r w:rsidRPr="00250017">
        <w:rPr>
          <w:vertAlign w:val="subscript"/>
        </w:rPr>
        <w:t>4</w:t>
      </w:r>
      <w:r>
        <w:t xml:space="preserve">. </w:t>
      </w:r>
      <w:r w:rsidRPr="00250017">
        <w:t xml:space="preserve">We also found that the </w:t>
      </w:r>
      <m:oMath>
        <m:r>
          <m:rPr>
            <m:sty m:val="p"/>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w:rPr>
                    <w:rFonts w:ascii="Cambria Math" w:hAnsi="Cambria Math"/>
                  </w:rPr>
                  <m:t>N</m:t>
                </m:r>
              </m:e>
              <m:sub>
                <m:r>
                  <w:rPr>
                    <w:rFonts w:ascii="Cambria Math" w:hAnsi="Cambria Math"/>
                  </w:rPr>
                  <m:t>e</m:t>
                </m:r>
              </m:sub>
            </m:sSub>
          </m:e>
        </m:bar>
      </m:oMath>
      <w:r w:rsidRPr="00250017">
        <w:t xml:space="preserve"> does not change by explicit water significantly (&lt; 0.05 e</w:t>
      </w:r>
      <w:r w:rsidRPr="00250017">
        <w:rPr>
          <w:vertAlign w:val="superscript"/>
        </w:rPr>
        <w:t>-</w:t>
      </w:r>
      <w:r w:rsidRPr="00250017">
        <w:t>) (</w:t>
      </w:r>
      <w:r>
        <w:rPr>
          <w:b/>
        </w:rPr>
        <w:fldChar w:fldCharType="begin"/>
      </w:r>
      <w:r>
        <w:instrText xml:space="preserve"> REF _Ref60240071 \h </w:instrText>
      </w:r>
      <w:r>
        <w:rPr>
          <w:b/>
        </w:rPr>
      </w:r>
      <w:r>
        <w:rPr>
          <w:b/>
        </w:rPr>
        <w:fldChar w:fldCharType="separate"/>
      </w:r>
      <w:r w:rsidRPr="00226621">
        <w:t xml:space="preserve">Supplementary Fig. </w:t>
      </w:r>
      <w:r>
        <w:rPr>
          <w:noProof/>
        </w:rPr>
        <w:t>11</w:t>
      </w:r>
      <w:r>
        <w:rPr>
          <w:b/>
        </w:rPr>
        <w:fldChar w:fldCharType="end"/>
      </w:r>
      <w:r w:rsidRPr="00CC388E">
        <w:t>b</w:t>
      </w:r>
      <w:r w:rsidRPr="00250017">
        <w:t>). Hence, the explicit water layer is not included in calculating ∆</w:t>
      </w:r>
      <w:r w:rsidRPr="00250017">
        <w:rPr>
          <w:i/>
        </w:rPr>
        <w:t>G</w:t>
      </w:r>
      <w:r w:rsidRPr="00250017">
        <w:t xml:space="preserve">, slope and </w:t>
      </w:r>
      <m:oMath>
        <m:r>
          <m:rPr>
            <m:sty m:val="p"/>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w:rPr>
                    <w:rFonts w:ascii="Cambria Math" w:hAnsi="Cambria Math"/>
                  </w:rPr>
                  <m:t>N</m:t>
                </m:r>
              </m:e>
              <m:sub>
                <m:r>
                  <w:rPr>
                    <w:rFonts w:ascii="Cambria Math" w:hAnsi="Cambria Math"/>
                  </w:rPr>
                  <m:t>e</m:t>
                </m:r>
              </m:sub>
            </m:sSub>
          </m:e>
        </m:bar>
      </m:oMath>
      <w:r w:rsidRPr="00250017">
        <w:t xml:space="preserve"> on Fe(110), Ru(0001), Rh(111), Fe@N</w:t>
      </w:r>
      <w:r w:rsidRPr="00250017">
        <w:rPr>
          <w:vertAlign w:val="subscript"/>
        </w:rPr>
        <w:t>3</w:t>
      </w:r>
      <w:r w:rsidRPr="00250017">
        <w:t>, Ru@NC</w:t>
      </w:r>
      <w:r w:rsidRPr="00250017">
        <w:rPr>
          <w:vertAlign w:val="subscript"/>
        </w:rPr>
        <w:t>2</w:t>
      </w:r>
      <w:r>
        <w:t>,</w:t>
      </w:r>
      <w:r w:rsidRPr="00250017">
        <w:t xml:space="preserve"> Ru@N</w:t>
      </w:r>
      <w:r w:rsidRPr="00250017">
        <w:rPr>
          <w:vertAlign w:val="subscript"/>
        </w:rPr>
        <w:t>3</w:t>
      </w:r>
      <w:r>
        <w:t xml:space="preserve"> and Ag@N</w:t>
      </w:r>
      <w:r w:rsidRPr="000C6E1A">
        <w:rPr>
          <w:vertAlign w:val="subscript"/>
        </w:rPr>
        <w:t>4</w:t>
      </w:r>
      <w:r>
        <w:t xml:space="preserve">. The </w:t>
      </w:r>
      <m:oMath>
        <m:r>
          <m:rPr>
            <m:sty m:val="p"/>
          </m:rPr>
          <w:rPr>
            <w:rFonts w:ascii="Cambria Math" w:hAnsi="Cambria Math"/>
          </w:rPr>
          <m:t>∆</m:t>
        </m:r>
        <m:bar>
          <m:barPr>
            <m:pos m:val="top"/>
            <m:ctrlPr>
              <w:rPr>
                <w:rFonts w:ascii="Cambria Math" w:hAnsi="Cambria Math"/>
              </w:rPr>
            </m:ctrlPr>
          </m:barPr>
          <m:e>
            <m:sSub>
              <m:sSubPr>
                <m:ctrlPr>
                  <w:rPr>
                    <w:rFonts w:ascii="Cambria Math" w:hAnsi="Cambria Math"/>
                    <w:i/>
                  </w:rPr>
                </m:ctrlPr>
              </m:sSubPr>
              <m:e>
                <m:r>
                  <w:rPr>
                    <w:rFonts w:ascii="Cambria Math" w:hAnsi="Cambria Math"/>
                  </w:rPr>
                  <m:t>N</m:t>
                </m:r>
              </m:e>
              <m:sub>
                <m:r>
                  <w:rPr>
                    <w:rFonts w:ascii="Cambria Math" w:hAnsi="Cambria Math"/>
                  </w:rPr>
                  <m:t>e</m:t>
                </m:r>
              </m:sub>
            </m:sSub>
          </m:e>
        </m:bar>
      </m:oMath>
      <w:r w:rsidRPr="00250017">
        <w:t xml:space="preserve"> </w:t>
      </w:r>
      <w:r>
        <w:t xml:space="preserve">and slope are obtained by using </w:t>
      </w:r>
      <w:r w:rsidRPr="00AC5303">
        <w:t>∆</w:t>
      </w:r>
      <w:r w:rsidRPr="00AC5303">
        <w:rPr>
          <w:i/>
        </w:rPr>
        <w:t>G</w:t>
      </w:r>
      <w:r>
        <w:t xml:space="preserve"> and </w:t>
      </w:r>
      <m:oMath>
        <m:sSub>
          <m:sSubPr>
            <m:ctrlPr>
              <w:rPr>
                <w:rFonts w:ascii="Cambria Math" w:hAnsi="Cambria Math"/>
              </w:rPr>
            </m:ctrlPr>
          </m:sSubPr>
          <m:e>
            <m:r>
              <w:rPr>
                <w:rFonts w:ascii="Cambria Math" w:hAnsi="Cambria Math"/>
              </w:rPr>
              <m:t>∆N</m:t>
            </m:r>
          </m:e>
          <m:sub>
            <m:r>
              <w:rPr>
                <w:rFonts w:ascii="Cambria Math" w:hAnsi="Cambria Math"/>
              </w:rPr>
              <m:t>e</m:t>
            </m:r>
          </m:sub>
        </m:sSub>
      </m:oMath>
      <w:r>
        <w:t xml:space="preserve"> at 0 V, -0.5 V, -1 V (vs. SHE).</w:t>
      </w:r>
    </w:p>
    <w:p w:rsidR="00250017" w:rsidRPr="00250017" w:rsidRDefault="00250017" w:rsidP="00250017">
      <w:pPr>
        <w:keepNext/>
        <w:spacing w:line="480" w:lineRule="auto"/>
      </w:pPr>
    </w:p>
    <w:p w:rsidR="00226621" w:rsidRDefault="00250017" w:rsidP="00226621">
      <w:pPr>
        <w:keepNext/>
        <w:spacing w:line="480" w:lineRule="auto"/>
      </w:pPr>
      <w:r w:rsidRPr="00250017">
        <w:rPr>
          <w:noProof/>
          <w:lang w:val="en-US" w:eastAsia="ko-KR"/>
        </w:rPr>
        <w:drawing>
          <wp:inline distT="0" distB="0" distL="0" distR="0" wp14:anchorId="5F9C1C68" wp14:editId="02FAB94C">
            <wp:extent cx="5734685" cy="2325370"/>
            <wp:effectExtent l="0" t="0" r="0" b="0"/>
            <wp:docPr id="14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685" cy="2325370"/>
                    </a:xfrm>
                    <a:prstGeom prst="rect">
                      <a:avLst/>
                    </a:prstGeom>
                    <a:noFill/>
                    <a:ln>
                      <a:noFill/>
                    </a:ln>
                  </pic:spPr>
                </pic:pic>
              </a:graphicData>
            </a:graphic>
          </wp:inline>
        </w:drawing>
      </w:r>
    </w:p>
    <w:p w:rsidR="00226621" w:rsidRPr="00226621" w:rsidRDefault="00226621" w:rsidP="00226621">
      <w:pPr>
        <w:pStyle w:val="a7"/>
        <w:spacing w:line="480" w:lineRule="auto"/>
        <w:rPr>
          <w:rFonts w:ascii="Times New Roman" w:hAnsi="Times New Roman"/>
          <w:sz w:val="24"/>
          <w:szCs w:val="24"/>
        </w:rPr>
      </w:pPr>
      <w:bookmarkStart w:id="10" w:name="_Ref60240071"/>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Pr>
          <w:rFonts w:ascii="Times New Roman" w:hAnsi="Times New Roman"/>
          <w:noProof/>
          <w:sz w:val="24"/>
          <w:szCs w:val="24"/>
        </w:rPr>
        <w:t>11</w:t>
      </w:r>
      <w:r w:rsidRPr="00226621">
        <w:rPr>
          <w:rFonts w:ascii="Times New Roman" w:hAnsi="Times New Roman"/>
          <w:sz w:val="24"/>
          <w:szCs w:val="24"/>
        </w:rPr>
        <w:fldChar w:fldCharType="end"/>
      </w:r>
      <w:bookmarkEnd w:id="10"/>
      <w:r w:rsidRPr="00226621">
        <w:rPr>
          <w:rFonts w:ascii="Times New Roman" w:hAnsi="Times New Roman"/>
          <w:sz w:val="24"/>
          <w:szCs w:val="24"/>
        </w:rPr>
        <w:t xml:space="preserve"> | </w:t>
      </w:r>
      <w:r w:rsidR="00E6094F">
        <w:rPr>
          <w:rFonts w:ascii="Times New Roman" w:hAnsi="Times New Roman"/>
          <w:sz w:val="24"/>
          <w:szCs w:val="24"/>
        </w:rPr>
        <w:t>Effect of explicit water on</w:t>
      </w:r>
      <w:r w:rsidR="00E6094F" w:rsidRPr="00E6094F">
        <w:rPr>
          <w:rFonts w:ascii="Times New Roman" w:hAnsi="Times New Roman"/>
          <w:sz w:val="24"/>
          <w:szCs w:val="24"/>
        </w:rPr>
        <w:t xml:space="preserve"> </w:t>
      </w:r>
      <w:r w:rsidR="00E6094F" w:rsidRPr="000E0603">
        <w:rPr>
          <w:rFonts w:ascii="Times New Roman" w:hAnsi="Times New Roman"/>
          <w:sz w:val="24"/>
          <w:szCs w:val="24"/>
        </w:rPr>
        <w:t>∆</w:t>
      </w:r>
      <w:r w:rsidR="00E6094F" w:rsidRPr="000E0603">
        <w:rPr>
          <w:rFonts w:ascii="Times New Roman" w:hAnsi="Times New Roman"/>
          <w:i/>
          <w:sz w:val="24"/>
          <w:szCs w:val="24"/>
        </w:rPr>
        <w:t>G</w:t>
      </w:r>
      <w:r w:rsidR="00E6094F" w:rsidRPr="000E0603">
        <w:rPr>
          <w:rFonts w:ascii="Times New Roman" w:hAnsi="Times New Roman"/>
          <w:sz w:val="24"/>
          <w:szCs w:val="24"/>
        </w:rPr>
        <w:t xml:space="preserve"> and </w:t>
      </w:r>
      <m:oMath>
        <m:r>
          <m:rPr>
            <m:sty m:val="b"/>
          </m:rPr>
          <w:rPr>
            <w:rFonts w:ascii="Cambria Math" w:hAnsi="Cambria Math"/>
            <w:sz w:val="24"/>
            <w:szCs w:val="24"/>
          </w:rPr>
          <m:t>∆</m:t>
        </m:r>
        <m:bar>
          <m:barPr>
            <m:pos m:val="top"/>
            <m:ctrlPr>
              <w:rPr>
                <w:rFonts w:ascii="Cambria Math" w:hAnsi="Cambria Math"/>
                <w:sz w:val="24"/>
                <w:szCs w:val="24"/>
              </w:rPr>
            </m:ctrlPr>
          </m:barPr>
          <m:e>
            <m:sSub>
              <m:sSubPr>
                <m:ctrlPr>
                  <w:rPr>
                    <w:rFonts w:ascii="Cambria Math" w:hAnsi="Cambria Math"/>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m:t>
                </m:r>
              </m:sub>
            </m:sSub>
          </m:e>
        </m:bar>
      </m:oMath>
      <w:r w:rsidR="00E6094F" w:rsidRPr="000E0603">
        <w:rPr>
          <w:rFonts w:ascii="Times New Roman" w:hAnsi="Times New Roman"/>
          <w:sz w:val="24"/>
          <w:szCs w:val="24"/>
        </w:rPr>
        <w:t>.</w:t>
      </w:r>
      <w:r w:rsidR="00E6094F">
        <w:rPr>
          <w:rFonts w:ascii="Times New Roman" w:hAnsi="Times New Roman"/>
          <w:sz w:val="24"/>
          <w:szCs w:val="24"/>
        </w:rPr>
        <w:t xml:space="preserve"> </w:t>
      </w:r>
      <w:r w:rsidRPr="00226621">
        <w:rPr>
          <w:rFonts w:ascii="Times New Roman" w:hAnsi="Times New Roman"/>
          <w:b w:val="0"/>
          <w:sz w:val="24"/>
          <w:szCs w:val="24"/>
        </w:rPr>
        <w:t>Change of</w:t>
      </w:r>
      <w:r w:rsidR="00E6094F">
        <w:rPr>
          <w:rFonts w:ascii="Times New Roman" w:hAnsi="Times New Roman"/>
          <w:b w:val="0"/>
          <w:sz w:val="24"/>
          <w:szCs w:val="24"/>
        </w:rPr>
        <w:t xml:space="preserve"> </w:t>
      </w:r>
      <w:r w:rsidRPr="00226621">
        <w:rPr>
          <w:rFonts w:ascii="Times New Roman" w:hAnsi="Times New Roman"/>
          <w:b w:val="0"/>
          <w:sz w:val="24"/>
          <w:szCs w:val="24"/>
        </w:rPr>
        <w:t>(a) ∆</w:t>
      </w:r>
      <w:r w:rsidRPr="00226621">
        <w:rPr>
          <w:rFonts w:ascii="Times New Roman" w:hAnsi="Times New Roman"/>
          <w:b w:val="0"/>
          <w:i/>
          <w:sz w:val="24"/>
          <w:szCs w:val="24"/>
        </w:rPr>
        <w:t>G</w:t>
      </w:r>
      <w:r w:rsidRPr="00226621">
        <w:rPr>
          <w:rFonts w:ascii="Times New Roman" w:hAnsi="Times New Roman"/>
          <w:b w:val="0"/>
          <w:sz w:val="24"/>
          <w:szCs w:val="24"/>
        </w:rPr>
        <w:t xml:space="preserve"> and (b) </w:t>
      </w:r>
      <m:oMath>
        <m:r>
          <m:rPr>
            <m:sty m:val="b"/>
          </m:rPr>
          <w:rPr>
            <w:rFonts w:ascii="Cambria Math" w:hAnsi="Cambria Math"/>
            <w:sz w:val="24"/>
            <w:szCs w:val="24"/>
          </w:rPr>
          <m:t>∆</m:t>
        </m:r>
        <m:bar>
          <m:barPr>
            <m:pos m:val="top"/>
            <m:ctrlPr>
              <w:rPr>
                <w:rFonts w:ascii="Cambria Math" w:hAnsi="Cambria Math"/>
                <w:b w:val="0"/>
                <w:sz w:val="24"/>
                <w:szCs w:val="24"/>
              </w:rPr>
            </m:ctrlPr>
          </m:barPr>
          <m:e>
            <m:sSub>
              <m:sSubPr>
                <m:ctrlPr>
                  <w:rPr>
                    <w:rFonts w:ascii="Cambria Math" w:hAnsi="Cambria Math"/>
                    <w:b w:val="0"/>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m:t>
                </m:r>
              </m:sub>
            </m:sSub>
          </m:e>
        </m:bar>
      </m:oMath>
      <w:r w:rsidRPr="00226621">
        <w:rPr>
          <w:rFonts w:ascii="Times New Roman" w:hAnsi="Times New Roman"/>
          <w:b w:val="0"/>
          <w:sz w:val="24"/>
          <w:szCs w:val="24"/>
        </w:rPr>
        <w:t xml:space="preserve"> on Fe@N</w:t>
      </w:r>
      <w:r w:rsidRPr="00226621">
        <w:rPr>
          <w:rFonts w:ascii="Times New Roman" w:hAnsi="Times New Roman"/>
          <w:b w:val="0"/>
          <w:sz w:val="24"/>
          <w:szCs w:val="24"/>
          <w:vertAlign w:val="subscript"/>
        </w:rPr>
        <w:t>4</w:t>
      </w:r>
      <w:r w:rsidRPr="00226621">
        <w:rPr>
          <w:rFonts w:ascii="Times New Roman" w:hAnsi="Times New Roman"/>
          <w:b w:val="0"/>
          <w:sz w:val="24"/>
          <w:szCs w:val="24"/>
        </w:rPr>
        <w:t xml:space="preserve"> with or without explicit water (acidic).</w:t>
      </w:r>
    </w:p>
    <w:p w:rsidR="00250017" w:rsidRPr="00250017" w:rsidRDefault="00250017" w:rsidP="00226621">
      <w:pPr>
        <w:pStyle w:val="a7"/>
        <w:jc w:val="left"/>
      </w:pPr>
    </w:p>
    <w:p w:rsidR="00226621" w:rsidRDefault="00250017" w:rsidP="00226621">
      <w:pPr>
        <w:keepNext/>
        <w:spacing w:line="480" w:lineRule="auto"/>
      </w:pPr>
      <w:r w:rsidRPr="00250017">
        <w:rPr>
          <w:noProof/>
          <w:lang w:val="en-US" w:eastAsia="ko-KR"/>
        </w:rPr>
        <w:lastRenderedPageBreak/>
        <w:drawing>
          <wp:inline distT="0" distB="0" distL="0" distR="0" wp14:anchorId="67A34138" wp14:editId="7D09EC6A">
            <wp:extent cx="5513070" cy="7907020"/>
            <wp:effectExtent l="0" t="0" r="0" b="0"/>
            <wp:docPr id="132" name="그림 132" descr="figu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igure-test"/>
                    <pic:cNvPicPr>
                      <a:picLocks noChangeAspect="1" noChangeArrowheads="1"/>
                    </pic:cNvPicPr>
                  </pic:nvPicPr>
                  <pic:blipFill>
                    <a:blip r:embed="rId19">
                      <a:extLst>
                        <a:ext uri="{28A0092B-C50C-407E-A947-70E740481C1C}">
                          <a14:useLocalDpi xmlns:a14="http://schemas.microsoft.com/office/drawing/2010/main" val="0"/>
                        </a:ext>
                      </a:extLst>
                    </a:blip>
                    <a:srcRect b="8884"/>
                    <a:stretch>
                      <a:fillRect/>
                    </a:stretch>
                  </pic:blipFill>
                  <pic:spPr bwMode="auto">
                    <a:xfrm>
                      <a:off x="0" y="0"/>
                      <a:ext cx="5513070" cy="7907020"/>
                    </a:xfrm>
                    <a:prstGeom prst="rect">
                      <a:avLst/>
                    </a:prstGeom>
                    <a:noFill/>
                    <a:ln>
                      <a:noFill/>
                    </a:ln>
                  </pic:spPr>
                </pic:pic>
              </a:graphicData>
            </a:graphic>
          </wp:inline>
        </w:drawing>
      </w:r>
    </w:p>
    <w:p w:rsidR="00226621" w:rsidRPr="00226621" w:rsidRDefault="00226621" w:rsidP="00226621">
      <w:pPr>
        <w:pStyle w:val="a7"/>
        <w:spacing w:line="480" w:lineRule="auto"/>
        <w:rPr>
          <w:rFonts w:ascii="Times New Roman" w:hAnsi="Times New Roman"/>
          <w:b w:val="0"/>
          <w:sz w:val="24"/>
          <w:szCs w:val="24"/>
        </w:rPr>
      </w:pPr>
      <w:r w:rsidRPr="00226621">
        <w:rPr>
          <w:rFonts w:ascii="Times New Roman" w:hAnsi="Times New Roman"/>
          <w:sz w:val="24"/>
          <w:szCs w:val="24"/>
        </w:rPr>
        <w:t xml:space="preserve">Supplementary Fig. </w:t>
      </w:r>
      <w:r w:rsidRPr="00226621">
        <w:rPr>
          <w:rFonts w:ascii="Times New Roman" w:hAnsi="Times New Roman"/>
          <w:sz w:val="24"/>
          <w:szCs w:val="24"/>
        </w:rPr>
        <w:fldChar w:fldCharType="begin"/>
      </w:r>
      <w:r w:rsidRPr="00226621">
        <w:rPr>
          <w:rFonts w:ascii="Times New Roman" w:hAnsi="Times New Roman"/>
          <w:sz w:val="24"/>
          <w:szCs w:val="24"/>
        </w:rPr>
        <w:instrText xml:space="preserve"> SEQ Supplementary_Fig. \* ARABIC </w:instrText>
      </w:r>
      <w:r w:rsidRPr="00226621">
        <w:rPr>
          <w:rFonts w:ascii="Times New Roman" w:hAnsi="Times New Roman"/>
          <w:sz w:val="24"/>
          <w:szCs w:val="24"/>
        </w:rPr>
        <w:fldChar w:fldCharType="separate"/>
      </w:r>
      <w:r w:rsidR="008771BB">
        <w:rPr>
          <w:rFonts w:ascii="Times New Roman" w:hAnsi="Times New Roman"/>
          <w:noProof/>
          <w:sz w:val="24"/>
          <w:szCs w:val="24"/>
        </w:rPr>
        <w:t>12</w:t>
      </w:r>
      <w:r w:rsidRPr="00226621">
        <w:rPr>
          <w:rFonts w:ascii="Times New Roman" w:hAnsi="Times New Roman"/>
          <w:sz w:val="24"/>
          <w:szCs w:val="24"/>
        </w:rPr>
        <w:fldChar w:fldCharType="end"/>
      </w:r>
      <w:r w:rsidRPr="00226621">
        <w:rPr>
          <w:rFonts w:ascii="Times New Roman" w:hAnsi="Times New Roman"/>
          <w:sz w:val="24"/>
          <w:szCs w:val="24"/>
        </w:rPr>
        <w:t xml:space="preserve"> | The top-view of the optimized structures for *H, *N</w:t>
      </w:r>
      <w:r w:rsidRPr="00226621">
        <w:rPr>
          <w:rFonts w:ascii="Times New Roman" w:hAnsi="Times New Roman"/>
          <w:sz w:val="24"/>
          <w:szCs w:val="24"/>
          <w:vertAlign w:val="subscript"/>
        </w:rPr>
        <w:t>2</w:t>
      </w:r>
      <w:r w:rsidRPr="00226621">
        <w:rPr>
          <w:rFonts w:ascii="Times New Roman" w:hAnsi="Times New Roman"/>
          <w:sz w:val="24"/>
          <w:szCs w:val="24"/>
        </w:rPr>
        <w:t xml:space="preserve"> and *NNH on Fe(110), Ru(0001), Rh(111), Fe@N</w:t>
      </w:r>
      <w:r w:rsidRPr="00226621">
        <w:rPr>
          <w:rFonts w:ascii="Times New Roman" w:hAnsi="Times New Roman"/>
          <w:sz w:val="24"/>
          <w:szCs w:val="24"/>
          <w:vertAlign w:val="subscript"/>
        </w:rPr>
        <w:t>3</w:t>
      </w:r>
      <w:r w:rsidRPr="00226621">
        <w:rPr>
          <w:rFonts w:ascii="Times New Roman" w:hAnsi="Times New Roman"/>
          <w:sz w:val="24"/>
          <w:szCs w:val="24"/>
        </w:rPr>
        <w:t>, Ru@NC</w:t>
      </w:r>
      <w:r w:rsidRPr="00226621">
        <w:rPr>
          <w:rFonts w:ascii="Times New Roman" w:hAnsi="Times New Roman"/>
          <w:sz w:val="24"/>
          <w:szCs w:val="24"/>
          <w:vertAlign w:val="subscript"/>
        </w:rPr>
        <w:t>2</w:t>
      </w:r>
      <w:r w:rsidRPr="00226621">
        <w:rPr>
          <w:rFonts w:ascii="Times New Roman" w:hAnsi="Times New Roman"/>
          <w:sz w:val="24"/>
          <w:szCs w:val="24"/>
        </w:rPr>
        <w:t>, and Ru@N</w:t>
      </w:r>
      <w:r w:rsidRPr="00226621">
        <w:rPr>
          <w:rFonts w:ascii="Times New Roman" w:hAnsi="Times New Roman"/>
          <w:sz w:val="24"/>
          <w:szCs w:val="24"/>
          <w:vertAlign w:val="subscript"/>
        </w:rPr>
        <w:t>3</w:t>
      </w:r>
      <w:r w:rsidRPr="00226621">
        <w:rPr>
          <w:rFonts w:ascii="Times New Roman" w:hAnsi="Times New Roman"/>
          <w:sz w:val="24"/>
          <w:szCs w:val="24"/>
        </w:rPr>
        <w:t>.</w:t>
      </w:r>
      <w:r w:rsidRPr="00226621">
        <w:rPr>
          <w:rFonts w:ascii="Times New Roman" w:hAnsi="Times New Roman"/>
          <w:b w:val="0"/>
          <w:sz w:val="24"/>
          <w:szCs w:val="24"/>
        </w:rPr>
        <w:t xml:space="preserve"> On the metal surfaces, top site adsorption is considered for *N</w:t>
      </w:r>
      <w:r w:rsidRPr="00226621">
        <w:rPr>
          <w:rFonts w:ascii="Times New Roman" w:hAnsi="Times New Roman"/>
          <w:b w:val="0"/>
          <w:sz w:val="24"/>
          <w:szCs w:val="24"/>
          <w:vertAlign w:val="subscript"/>
        </w:rPr>
        <w:t>2</w:t>
      </w:r>
      <w:r w:rsidRPr="00226621">
        <w:rPr>
          <w:rFonts w:ascii="Times New Roman" w:hAnsi="Times New Roman"/>
          <w:b w:val="0"/>
          <w:sz w:val="24"/>
          <w:szCs w:val="24"/>
        </w:rPr>
        <w:t xml:space="preserve"> and *NNH, while the hollow-site is considered for *H.</w:t>
      </w:r>
    </w:p>
    <w:p w:rsidR="00250017" w:rsidRPr="00250017" w:rsidRDefault="00EF0312" w:rsidP="00EF0312">
      <w:pPr>
        <w:pStyle w:val="10"/>
      </w:pPr>
      <w:r>
        <w:lastRenderedPageBreak/>
        <w:t>References</w:t>
      </w:r>
    </w:p>
    <w:p w:rsidR="00EF0312" w:rsidRPr="00EF0312" w:rsidRDefault="00250017"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fldChar w:fldCharType="begin"/>
      </w:r>
      <w:r w:rsidRPr="00EF0312">
        <w:rPr>
          <w:rFonts w:ascii="Times New Roman" w:hAnsi="Times New Roman" w:cs="Times New Roman"/>
          <w:sz w:val="24"/>
        </w:rPr>
        <w:instrText xml:space="preserve"> ADDIN EN.REFLIST </w:instrText>
      </w:r>
      <w:r w:rsidRPr="00EF0312">
        <w:rPr>
          <w:rFonts w:ascii="Times New Roman" w:hAnsi="Times New Roman" w:cs="Times New Roman"/>
          <w:sz w:val="24"/>
        </w:rPr>
        <w:fldChar w:fldCharType="separate"/>
      </w:r>
      <w:r w:rsidR="00EF0312" w:rsidRPr="00EF0312">
        <w:rPr>
          <w:rFonts w:ascii="Times New Roman" w:hAnsi="Times New Roman" w:cs="Times New Roman"/>
          <w:sz w:val="24"/>
        </w:rPr>
        <w:t>1.</w:t>
      </w:r>
      <w:r w:rsidR="00EF0312" w:rsidRPr="00EF0312">
        <w:rPr>
          <w:rFonts w:ascii="Times New Roman" w:hAnsi="Times New Roman" w:cs="Times New Roman"/>
          <w:sz w:val="24"/>
        </w:rPr>
        <w:tab/>
        <w:t>Liu, H.-M.</w:t>
      </w:r>
      <w:r w:rsidR="00EF0312" w:rsidRPr="00EF0312">
        <w:rPr>
          <w:rFonts w:ascii="Times New Roman" w:hAnsi="Times New Roman" w:cs="Times New Roman"/>
          <w:i/>
          <w:sz w:val="24"/>
        </w:rPr>
        <w:t xml:space="preserve"> et al.</w:t>
      </w:r>
      <w:r w:rsidR="00EF0312" w:rsidRPr="00EF0312">
        <w:rPr>
          <w:rFonts w:ascii="Times New Roman" w:hAnsi="Times New Roman" w:cs="Times New Roman"/>
          <w:sz w:val="24"/>
        </w:rPr>
        <w:t xml:space="preserve"> Surfactant-free atomically ultrathin rhodium nanosheet nanoassemblies for efficient nitrogen electroreduction. </w:t>
      </w:r>
      <w:r w:rsidR="00EF0312" w:rsidRPr="00EF0312">
        <w:rPr>
          <w:rFonts w:ascii="Times New Roman" w:hAnsi="Times New Roman" w:cs="Times New Roman"/>
          <w:i/>
          <w:sz w:val="24"/>
        </w:rPr>
        <w:t>J. Mater. Chem. A</w:t>
      </w:r>
      <w:r w:rsidR="00EF0312" w:rsidRPr="00EF0312">
        <w:rPr>
          <w:rFonts w:ascii="Times New Roman" w:hAnsi="Times New Roman" w:cs="Times New Roman"/>
          <w:sz w:val="24"/>
        </w:rPr>
        <w:t xml:space="preserve"> </w:t>
      </w:r>
      <w:r w:rsidR="00EF0312" w:rsidRPr="00EF0312">
        <w:rPr>
          <w:rFonts w:ascii="Times New Roman" w:hAnsi="Times New Roman" w:cs="Times New Roman"/>
          <w:b/>
          <w:sz w:val="24"/>
        </w:rPr>
        <w:t>6</w:t>
      </w:r>
      <w:r w:rsidR="00EF0312" w:rsidRPr="00EF0312">
        <w:rPr>
          <w:rFonts w:ascii="Times New Roman" w:hAnsi="Times New Roman" w:cs="Times New Roman"/>
          <w:sz w:val="24"/>
        </w:rPr>
        <w:t>, 3211-3217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w:t>
      </w:r>
      <w:r w:rsidRPr="00EF0312">
        <w:rPr>
          <w:rFonts w:ascii="Times New Roman" w:hAnsi="Times New Roman" w:cs="Times New Roman"/>
          <w:sz w:val="24"/>
        </w:rPr>
        <w:tab/>
        <w:t>Yang, D., Chen, T. &amp; Wang, Z. Electrochemical reduction of aqueous nitrogen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at a low overpotential on (110)-oriented Mo nanofilm. </w:t>
      </w:r>
      <w:r w:rsidRPr="00EF0312">
        <w:rPr>
          <w:rFonts w:ascii="Times New Roman" w:hAnsi="Times New Roman" w:cs="Times New Roman"/>
          <w:i/>
          <w:sz w:val="24"/>
        </w:rPr>
        <w:t>J. Mater. Chem. A</w:t>
      </w:r>
      <w:r w:rsidRPr="00EF0312">
        <w:rPr>
          <w:rFonts w:ascii="Times New Roman" w:hAnsi="Times New Roman" w:cs="Times New Roman"/>
          <w:sz w:val="24"/>
        </w:rPr>
        <w:t xml:space="preserve"> </w:t>
      </w:r>
      <w:r w:rsidRPr="00EF0312">
        <w:rPr>
          <w:rFonts w:ascii="Times New Roman" w:hAnsi="Times New Roman" w:cs="Times New Roman"/>
          <w:b/>
          <w:sz w:val="24"/>
        </w:rPr>
        <w:t>5</w:t>
      </w:r>
      <w:r w:rsidRPr="00EF0312">
        <w:rPr>
          <w:rFonts w:ascii="Times New Roman" w:hAnsi="Times New Roman" w:cs="Times New Roman"/>
          <w:sz w:val="24"/>
        </w:rPr>
        <w:t>, 18967-18971 (2017).</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3.</w:t>
      </w:r>
      <w:r w:rsidRPr="00EF0312">
        <w:rPr>
          <w:rFonts w:ascii="Times New Roman" w:hAnsi="Times New Roman" w:cs="Times New Roman"/>
          <w:sz w:val="24"/>
        </w:rPr>
        <w:tab/>
        <w:t>Hu, L.</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Ambient electrochemical ammonia synthesis with high selectivity on Fe/Fe oxide catalyst. </w:t>
      </w:r>
      <w:r w:rsidRPr="00EF0312">
        <w:rPr>
          <w:rFonts w:ascii="Times New Roman" w:hAnsi="Times New Roman" w:cs="Times New Roman"/>
          <w:i/>
          <w:sz w:val="24"/>
        </w:rPr>
        <w:t>ACS Catal.</w:t>
      </w:r>
      <w:r w:rsidRPr="00EF0312">
        <w:rPr>
          <w:rFonts w:ascii="Times New Roman" w:hAnsi="Times New Roman" w:cs="Times New Roman"/>
          <w:sz w:val="24"/>
        </w:rPr>
        <w:t xml:space="preserve"> </w:t>
      </w:r>
      <w:r w:rsidRPr="00EF0312">
        <w:rPr>
          <w:rFonts w:ascii="Times New Roman" w:hAnsi="Times New Roman" w:cs="Times New Roman"/>
          <w:b/>
          <w:sz w:val="24"/>
        </w:rPr>
        <w:t>8</w:t>
      </w:r>
      <w:r w:rsidRPr="00EF0312">
        <w:rPr>
          <w:rFonts w:ascii="Times New Roman" w:hAnsi="Times New Roman" w:cs="Times New Roman"/>
          <w:sz w:val="24"/>
        </w:rPr>
        <w:t>, 9312-9319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4.</w:t>
      </w:r>
      <w:r w:rsidRPr="00EF0312">
        <w:rPr>
          <w:rFonts w:ascii="Times New Roman" w:hAnsi="Times New Roman" w:cs="Times New Roman"/>
          <w:sz w:val="24"/>
        </w:rPr>
        <w:tab/>
        <w:t>Wang, D.</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Energy‐Efficient Nitrogen Reduction to Ammonia at Low Overpotential in Aqueous Electrolyte under Ambient Conditions. </w:t>
      </w:r>
      <w:r w:rsidRPr="00EF0312">
        <w:rPr>
          <w:rFonts w:ascii="Times New Roman" w:hAnsi="Times New Roman" w:cs="Times New Roman"/>
          <w:i/>
          <w:sz w:val="24"/>
        </w:rPr>
        <w:t>ChemSusChem</w:t>
      </w:r>
      <w:r w:rsidRPr="00EF0312">
        <w:rPr>
          <w:rFonts w:ascii="Times New Roman" w:hAnsi="Times New Roman" w:cs="Times New Roman"/>
          <w:sz w:val="24"/>
        </w:rPr>
        <w:t xml:space="preserve"> </w:t>
      </w:r>
      <w:r w:rsidRPr="00EF0312">
        <w:rPr>
          <w:rFonts w:ascii="Times New Roman" w:hAnsi="Times New Roman" w:cs="Times New Roman"/>
          <w:b/>
          <w:sz w:val="24"/>
        </w:rPr>
        <w:t>11</w:t>
      </w:r>
      <w:r w:rsidRPr="00EF0312">
        <w:rPr>
          <w:rFonts w:ascii="Times New Roman" w:hAnsi="Times New Roman" w:cs="Times New Roman"/>
          <w:sz w:val="24"/>
        </w:rPr>
        <w:t>, 3416-3422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5.</w:t>
      </w:r>
      <w:r w:rsidRPr="00EF0312">
        <w:rPr>
          <w:rFonts w:ascii="Times New Roman" w:hAnsi="Times New Roman" w:cs="Times New Roman"/>
          <w:sz w:val="24"/>
        </w:rPr>
        <w:tab/>
        <w:t>Bao, D.</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Electrochemical reduction of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under ambient conditions for artificial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fixation and renewable energy storage using N</w:t>
      </w:r>
      <w:r w:rsidRPr="00EF0312">
        <w:rPr>
          <w:rFonts w:ascii="Times New Roman" w:hAnsi="Times New Roman" w:cs="Times New Roman"/>
          <w:sz w:val="24"/>
          <w:vertAlign w:val="subscript"/>
        </w:rPr>
        <w:t>2</w:t>
      </w:r>
      <w:r w:rsidRPr="00EF0312">
        <w:rPr>
          <w:rFonts w:ascii="Times New Roman" w:hAnsi="Times New Roman" w:cs="Times New Roman"/>
          <w:sz w:val="24"/>
        </w:rPr>
        <w:t>/NH</w:t>
      </w:r>
      <w:r w:rsidRPr="00EF0312">
        <w:rPr>
          <w:rFonts w:ascii="Times New Roman" w:hAnsi="Times New Roman" w:cs="Times New Roman"/>
          <w:sz w:val="24"/>
          <w:vertAlign w:val="subscript"/>
        </w:rPr>
        <w:t>3</w:t>
      </w:r>
      <w:r w:rsidRPr="00EF0312">
        <w:rPr>
          <w:rFonts w:ascii="Times New Roman" w:hAnsi="Times New Roman" w:cs="Times New Roman"/>
          <w:sz w:val="24"/>
        </w:rPr>
        <w:t xml:space="preserve"> cycle. </w:t>
      </w:r>
      <w:r w:rsidRPr="00EF0312">
        <w:rPr>
          <w:rFonts w:ascii="Times New Roman" w:hAnsi="Times New Roman" w:cs="Times New Roman"/>
          <w:i/>
          <w:sz w:val="24"/>
        </w:rPr>
        <w:t>Adv. Mater.</w:t>
      </w:r>
      <w:r w:rsidRPr="00EF0312">
        <w:rPr>
          <w:rFonts w:ascii="Times New Roman" w:hAnsi="Times New Roman" w:cs="Times New Roman"/>
          <w:sz w:val="24"/>
        </w:rPr>
        <w:t xml:space="preserve"> </w:t>
      </w:r>
      <w:r w:rsidRPr="00EF0312">
        <w:rPr>
          <w:rFonts w:ascii="Times New Roman" w:hAnsi="Times New Roman" w:cs="Times New Roman"/>
          <w:b/>
          <w:sz w:val="24"/>
        </w:rPr>
        <w:t>29</w:t>
      </w:r>
      <w:r w:rsidRPr="00EF0312">
        <w:rPr>
          <w:rFonts w:ascii="Times New Roman" w:hAnsi="Times New Roman" w:cs="Times New Roman"/>
          <w:sz w:val="24"/>
        </w:rPr>
        <w:t>, 1604799 (2017).</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6.</w:t>
      </w:r>
      <w:r w:rsidRPr="00EF0312">
        <w:rPr>
          <w:rFonts w:ascii="Times New Roman" w:hAnsi="Times New Roman" w:cs="Times New Roman"/>
          <w:sz w:val="24"/>
        </w:rPr>
        <w:tab/>
        <w:t>Tao, H.</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Nitrogen fixation by Ru single-atom electrocatalytic reduction. </w:t>
      </w:r>
      <w:r w:rsidRPr="00EF0312">
        <w:rPr>
          <w:rFonts w:ascii="Times New Roman" w:hAnsi="Times New Roman" w:cs="Times New Roman"/>
          <w:i/>
          <w:sz w:val="24"/>
        </w:rPr>
        <w:t>Chem</w:t>
      </w:r>
      <w:r w:rsidRPr="00EF0312">
        <w:rPr>
          <w:rFonts w:ascii="Times New Roman" w:hAnsi="Times New Roman" w:cs="Times New Roman"/>
          <w:sz w:val="24"/>
        </w:rPr>
        <w:t xml:space="preserve"> </w:t>
      </w:r>
      <w:r w:rsidRPr="00EF0312">
        <w:rPr>
          <w:rFonts w:ascii="Times New Roman" w:hAnsi="Times New Roman" w:cs="Times New Roman"/>
          <w:b/>
          <w:sz w:val="24"/>
        </w:rPr>
        <w:t>5</w:t>
      </w:r>
      <w:r w:rsidRPr="00EF0312">
        <w:rPr>
          <w:rFonts w:ascii="Times New Roman" w:hAnsi="Times New Roman" w:cs="Times New Roman"/>
          <w:sz w:val="24"/>
        </w:rPr>
        <w:t>, 204-214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7.</w:t>
      </w:r>
      <w:r w:rsidRPr="00EF0312">
        <w:rPr>
          <w:rFonts w:ascii="Times New Roman" w:hAnsi="Times New Roman" w:cs="Times New Roman"/>
          <w:sz w:val="24"/>
        </w:rPr>
        <w:tab/>
        <w:t xml:space="preserve">Zhang, X., Kong, R.-M., Du, H., Xia, L. &amp; Qu, F. Highly efficient electrochemical ammonia synthesis via nitrogen reduction reactions on a VN nanowire array under ambient conditions. </w:t>
      </w:r>
      <w:r w:rsidRPr="00EF0312">
        <w:rPr>
          <w:rFonts w:ascii="Times New Roman" w:hAnsi="Times New Roman" w:cs="Times New Roman"/>
          <w:i/>
          <w:sz w:val="24"/>
        </w:rPr>
        <w:t>Chem. Commun.</w:t>
      </w:r>
      <w:r w:rsidRPr="00EF0312">
        <w:rPr>
          <w:rFonts w:ascii="Times New Roman" w:hAnsi="Times New Roman" w:cs="Times New Roman"/>
          <w:sz w:val="24"/>
        </w:rPr>
        <w:t xml:space="preserve"> </w:t>
      </w:r>
      <w:r w:rsidRPr="00EF0312">
        <w:rPr>
          <w:rFonts w:ascii="Times New Roman" w:hAnsi="Times New Roman" w:cs="Times New Roman"/>
          <w:b/>
          <w:sz w:val="24"/>
        </w:rPr>
        <w:t>54</w:t>
      </w:r>
      <w:r w:rsidRPr="00EF0312">
        <w:rPr>
          <w:rFonts w:ascii="Times New Roman" w:hAnsi="Times New Roman" w:cs="Times New Roman"/>
          <w:sz w:val="24"/>
        </w:rPr>
        <w:t>, 5323-5325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8.</w:t>
      </w:r>
      <w:r w:rsidRPr="00EF0312">
        <w:rPr>
          <w:rFonts w:ascii="Times New Roman" w:hAnsi="Times New Roman" w:cs="Times New Roman"/>
          <w:sz w:val="24"/>
        </w:rPr>
        <w:tab/>
        <w:t>Yang, X.</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Mechanistic insights into electrochemical nitrogen reduction reaction on vanadium nitride nanoparticles. </w:t>
      </w:r>
      <w:r w:rsidRPr="00EF0312">
        <w:rPr>
          <w:rFonts w:ascii="Times New Roman" w:hAnsi="Times New Roman" w:cs="Times New Roman"/>
          <w:i/>
          <w:sz w:val="24"/>
        </w:rPr>
        <w:t>J. Am. Chem. Soc.</w:t>
      </w:r>
      <w:r w:rsidRPr="00EF0312">
        <w:rPr>
          <w:rFonts w:ascii="Times New Roman" w:hAnsi="Times New Roman" w:cs="Times New Roman"/>
          <w:sz w:val="24"/>
        </w:rPr>
        <w:t xml:space="preserve"> </w:t>
      </w:r>
      <w:r w:rsidRPr="00EF0312">
        <w:rPr>
          <w:rFonts w:ascii="Times New Roman" w:hAnsi="Times New Roman" w:cs="Times New Roman"/>
          <w:b/>
          <w:sz w:val="24"/>
        </w:rPr>
        <w:t>140</w:t>
      </w:r>
      <w:r w:rsidRPr="00EF0312">
        <w:rPr>
          <w:rFonts w:ascii="Times New Roman" w:hAnsi="Times New Roman" w:cs="Times New Roman"/>
          <w:sz w:val="24"/>
        </w:rPr>
        <w:t>, 13387-13391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9.</w:t>
      </w:r>
      <w:r w:rsidRPr="00EF0312">
        <w:rPr>
          <w:rFonts w:ascii="Times New Roman" w:hAnsi="Times New Roman" w:cs="Times New Roman"/>
          <w:sz w:val="24"/>
        </w:rPr>
        <w:tab/>
        <w:t>Ren, X.</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Electrochemical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fixation to NH</w:t>
      </w:r>
      <w:r w:rsidRPr="00EF0312">
        <w:rPr>
          <w:rFonts w:ascii="Times New Roman" w:hAnsi="Times New Roman" w:cs="Times New Roman"/>
          <w:sz w:val="24"/>
          <w:vertAlign w:val="subscript"/>
        </w:rPr>
        <w:t>3</w:t>
      </w:r>
      <w:r w:rsidRPr="00EF0312">
        <w:rPr>
          <w:rFonts w:ascii="Times New Roman" w:hAnsi="Times New Roman" w:cs="Times New Roman"/>
          <w:sz w:val="24"/>
        </w:rPr>
        <w:t xml:space="preserve"> under ambient conditions: Mo</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N nanorod as a highly efficient and selective catalyst. </w:t>
      </w:r>
      <w:r w:rsidRPr="00EF0312">
        <w:rPr>
          <w:rFonts w:ascii="Times New Roman" w:hAnsi="Times New Roman" w:cs="Times New Roman"/>
          <w:i/>
          <w:sz w:val="24"/>
        </w:rPr>
        <w:t>Chem. Commun.</w:t>
      </w:r>
      <w:r w:rsidRPr="00EF0312">
        <w:rPr>
          <w:rFonts w:ascii="Times New Roman" w:hAnsi="Times New Roman" w:cs="Times New Roman"/>
          <w:sz w:val="24"/>
        </w:rPr>
        <w:t xml:space="preserve"> </w:t>
      </w:r>
      <w:r w:rsidRPr="00EF0312">
        <w:rPr>
          <w:rFonts w:ascii="Times New Roman" w:hAnsi="Times New Roman" w:cs="Times New Roman"/>
          <w:b/>
          <w:sz w:val="24"/>
        </w:rPr>
        <w:t>54</w:t>
      </w:r>
      <w:r w:rsidRPr="00EF0312">
        <w:rPr>
          <w:rFonts w:ascii="Times New Roman" w:hAnsi="Times New Roman" w:cs="Times New Roman"/>
          <w:sz w:val="24"/>
        </w:rPr>
        <w:t>, 8474-8477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10.</w:t>
      </w:r>
      <w:r w:rsidRPr="00EF0312">
        <w:rPr>
          <w:rFonts w:ascii="Times New Roman" w:hAnsi="Times New Roman" w:cs="Times New Roman"/>
          <w:sz w:val="24"/>
        </w:rPr>
        <w:tab/>
        <w:t>Xu, X.</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1 T-phase molybdenum sulfide nanodots enable efficient electrocatalytic nitrogen fixation under ambient conditions. </w:t>
      </w:r>
      <w:r w:rsidRPr="00EF0312">
        <w:rPr>
          <w:rFonts w:ascii="Times New Roman" w:hAnsi="Times New Roman" w:cs="Times New Roman"/>
          <w:i/>
          <w:sz w:val="24"/>
        </w:rPr>
        <w:t>Appl. Catal. B</w:t>
      </w:r>
      <w:r w:rsidRPr="00EF0312">
        <w:rPr>
          <w:rFonts w:ascii="Times New Roman" w:hAnsi="Times New Roman" w:cs="Times New Roman"/>
          <w:sz w:val="24"/>
        </w:rPr>
        <w:t>, 118984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11.</w:t>
      </w:r>
      <w:r w:rsidRPr="00EF0312">
        <w:rPr>
          <w:rFonts w:ascii="Times New Roman" w:hAnsi="Times New Roman" w:cs="Times New Roman"/>
          <w:sz w:val="24"/>
        </w:rPr>
        <w:tab/>
        <w:t>Wang, Y.</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Rational design of Fe–N/C hybrid for enhanced nitrogen reduction electrocatalysis under ambient conditions in aqueous solution. </w:t>
      </w:r>
      <w:r w:rsidRPr="00EF0312">
        <w:rPr>
          <w:rFonts w:ascii="Times New Roman" w:hAnsi="Times New Roman" w:cs="Times New Roman"/>
          <w:i/>
          <w:sz w:val="24"/>
        </w:rPr>
        <w:t>ACS Catal.</w:t>
      </w:r>
      <w:r w:rsidRPr="00EF0312">
        <w:rPr>
          <w:rFonts w:ascii="Times New Roman" w:hAnsi="Times New Roman" w:cs="Times New Roman"/>
          <w:sz w:val="24"/>
        </w:rPr>
        <w:t xml:space="preserve"> </w:t>
      </w:r>
      <w:r w:rsidRPr="00EF0312">
        <w:rPr>
          <w:rFonts w:ascii="Times New Roman" w:hAnsi="Times New Roman" w:cs="Times New Roman"/>
          <w:b/>
          <w:sz w:val="24"/>
        </w:rPr>
        <w:t>9</w:t>
      </w:r>
      <w:r w:rsidRPr="00EF0312">
        <w:rPr>
          <w:rFonts w:ascii="Times New Roman" w:hAnsi="Times New Roman" w:cs="Times New Roman"/>
          <w:sz w:val="24"/>
        </w:rPr>
        <w:t>, 336-344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12.</w:t>
      </w:r>
      <w:r w:rsidRPr="00EF0312">
        <w:rPr>
          <w:rFonts w:ascii="Times New Roman" w:hAnsi="Times New Roman" w:cs="Times New Roman"/>
          <w:sz w:val="24"/>
        </w:rPr>
        <w:tab/>
        <w:t>Wang, M.</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Over 56.55% Faradaic efficiency of ambient ammonia synthesis enabled by positively shifting the reaction potential. </w:t>
      </w:r>
      <w:r w:rsidRPr="00EF0312">
        <w:rPr>
          <w:rFonts w:ascii="Times New Roman" w:hAnsi="Times New Roman" w:cs="Times New Roman"/>
          <w:i/>
          <w:sz w:val="24"/>
        </w:rPr>
        <w:t>Nat. Commun.</w:t>
      </w:r>
      <w:r w:rsidRPr="00EF0312">
        <w:rPr>
          <w:rFonts w:ascii="Times New Roman" w:hAnsi="Times New Roman" w:cs="Times New Roman"/>
          <w:sz w:val="24"/>
        </w:rPr>
        <w:t xml:space="preserve"> </w:t>
      </w:r>
      <w:r w:rsidRPr="00EF0312">
        <w:rPr>
          <w:rFonts w:ascii="Times New Roman" w:hAnsi="Times New Roman" w:cs="Times New Roman"/>
          <w:b/>
          <w:sz w:val="24"/>
        </w:rPr>
        <w:t>10</w:t>
      </w:r>
      <w:r w:rsidRPr="00EF0312">
        <w:rPr>
          <w:rFonts w:ascii="Times New Roman" w:hAnsi="Times New Roman" w:cs="Times New Roman"/>
          <w:sz w:val="24"/>
        </w:rPr>
        <w:t>, 1-8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13.</w:t>
      </w:r>
      <w:r w:rsidRPr="00EF0312">
        <w:rPr>
          <w:rFonts w:ascii="Times New Roman" w:hAnsi="Times New Roman" w:cs="Times New Roman"/>
          <w:sz w:val="24"/>
        </w:rPr>
        <w:tab/>
        <w:t>Lü, F.</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Nitrogen-coordinated single Fe sites for efficient electrocatalytic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fixation in neutral media. </w:t>
      </w:r>
      <w:r w:rsidRPr="00EF0312">
        <w:rPr>
          <w:rFonts w:ascii="Times New Roman" w:hAnsi="Times New Roman" w:cs="Times New Roman"/>
          <w:i/>
          <w:sz w:val="24"/>
        </w:rPr>
        <w:t>Nano Energy</w:t>
      </w:r>
      <w:r w:rsidRPr="00EF0312">
        <w:rPr>
          <w:rFonts w:ascii="Times New Roman" w:hAnsi="Times New Roman" w:cs="Times New Roman"/>
          <w:sz w:val="24"/>
        </w:rPr>
        <w:t xml:space="preserve"> </w:t>
      </w:r>
      <w:r w:rsidRPr="00EF0312">
        <w:rPr>
          <w:rFonts w:ascii="Times New Roman" w:hAnsi="Times New Roman" w:cs="Times New Roman"/>
          <w:b/>
          <w:sz w:val="24"/>
        </w:rPr>
        <w:t>61</w:t>
      </w:r>
      <w:r w:rsidRPr="00EF0312">
        <w:rPr>
          <w:rFonts w:ascii="Times New Roman" w:hAnsi="Times New Roman" w:cs="Times New Roman"/>
          <w:sz w:val="24"/>
        </w:rPr>
        <w:t>, 420-427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14.</w:t>
      </w:r>
      <w:r w:rsidRPr="00EF0312">
        <w:rPr>
          <w:rFonts w:ascii="Times New Roman" w:hAnsi="Times New Roman" w:cs="Times New Roman"/>
          <w:sz w:val="24"/>
        </w:rPr>
        <w:tab/>
        <w:t>Chen, Y.</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Highly Productive Electrosynthesis of Ammonia by Admolecule-Targeting Single Ag Sites. </w:t>
      </w:r>
      <w:r w:rsidRPr="00EF0312">
        <w:rPr>
          <w:rFonts w:ascii="Times New Roman" w:hAnsi="Times New Roman" w:cs="Times New Roman"/>
          <w:i/>
          <w:sz w:val="24"/>
        </w:rPr>
        <w:t>ACS Nano</w:t>
      </w:r>
      <w:r w:rsidRPr="00EF0312">
        <w:rPr>
          <w:rFonts w:ascii="Times New Roman" w:hAnsi="Times New Roman" w:cs="Times New Roman"/>
          <w:sz w:val="24"/>
        </w:rPr>
        <w:t xml:space="preserve"> </w:t>
      </w:r>
      <w:r w:rsidRPr="00EF0312">
        <w:rPr>
          <w:rFonts w:ascii="Times New Roman" w:hAnsi="Times New Roman" w:cs="Times New Roman"/>
          <w:b/>
          <w:sz w:val="24"/>
        </w:rPr>
        <w:t>14</w:t>
      </w:r>
      <w:r w:rsidRPr="00EF0312">
        <w:rPr>
          <w:rFonts w:ascii="Times New Roman" w:hAnsi="Times New Roman" w:cs="Times New Roman"/>
          <w:sz w:val="24"/>
        </w:rPr>
        <w:t>, 6938-6946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15.</w:t>
      </w:r>
      <w:r w:rsidRPr="00EF0312">
        <w:rPr>
          <w:rFonts w:ascii="Times New Roman" w:hAnsi="Times New Roman" w:cs="Times New Roman"/>
          <w:sz w:val="24"/>
        </w:rPr>
        <w:tab/>
        <w:t>wang, h.</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Bionic Design of Mo (IV) Doped FeS2 Catalyst for Electroreduction of Dinitrogen to Ammonia. </w:t>
      </w:r>
      <w:r w:rsidRPr="00EF0312">
        <w:rPr>
          <w:rFonts w:ascii="Times New Roman" w:hAnsi="Times New Roman" w:cs="Times New Roman"/>
          <w:i/>
          <w:sz w:val="24"/>
        </w:rPr>
        <w:t>ACS Catal.</w:t>
      </w:r>
      <w:r w:rsidRPr="00EF0312">
        <w:rPr>
          <w:rFonts w:ascii="Times New Roman" w:hAnsi="Times New Roman" w:cs="Times New Roman"/>
          <w:sz w:val="24"/>
        </w:rPr>
        <w:t xml:space="preserve"> </w:t>
      </w:r>
      <w:r w:rsidRPr="00EF0312">
        <w:rPr>
          <w:rFonts w:ascii="Times New Roman" w:hAnsi="Times New Roman" w:cs="Times New Roman"/>
          <w:b/>
          <w:sz w:val="24"/>
        </w:rPr>
        <w:t>10</w:t>
      </w:r>
      <w:r w:rsidRPr="00EF0312">
        <w:rPr>
          <w:rFonts w:ascii="Times New Roman" w:hAnsi="Times New Roman" w:cs="Times New Roman"/>
          <w:sz w:val="24"/>
        </w:rPr>
        <w:t>, 4914−4921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16.</w:t>
      </w:r>
      <w:r w:rsidRPr="00EF0312">
        <w:rPr>
          <w:rFonts w:ascii="Times New Roman" w:hAnsi="Times New Roman" w:cs="Times New Roman"/>
          <w:sz w:val="24"/>
        </w:rPr>
        <w:tab/>
        <w:t>Han, Z.</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Activated TiO</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with tuned vacancy for efficient electrochemical nitrogen reduction. </w:t>
      </w:r>
      <w:r w:rsidRPr="00EF0312">
        <w:rPr>
          <w:rFonts w:ascii="Times New Roman" w:hAnsi="Times New Roman" w:cs="Times New Roman"/>
          <w:i/>
          <w:sz w:val="24"/>
        </w:rPr>
        <w:t>Appl. Catal. B</w:t>
      </w:r>
      <w:r w:rsidRPr="00EF0312">
        <w:rPr>
          <w:rFonts w:ascii="Times New Roman" w:hAnsi="Times New Roman" w:cs="Times New Roman"/>
          <w:sz w:val="24"/>
        </w:rPr>
        <w:t xml:space="preserve"> </w:t>
      </w:r>
      <w:r w:rsidRPr="00EF0312">
        <w:rPr>
          <w:rFonts w:ascii="Times New Roman" w:hAnsi="Times New Roman" w:cs="Times New Roman"/>
          <w:b/>
          <w:sz w:val="24"/>
        </w:rPr>
        <w:t>257</w:t>
      </w:r>
      <w:r w:rsidRPr="00EF0312">
        <w:rPr>
          <w:rFonts w:ascii="Times New Roman" w:hAnsi="Times New Roman" w:cs="Times New Roman"/>
          <w:sz w:val="24"/>
        </w:rPr>
        <w:t>, 117896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17.</w:t>
      </w:r>
      <w:r w:rsidRPr="00EF0312">
        <w:rPr>
          <w:rFonts w:ascii="Times New Roman" w:hAnsi="Times New Roman" w:cs="Times New Roman"/>
          <w:sz w:val="24"/>
        </w:rPr>
        <w:tab/>
        <w:t>Mukherjee, S.</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Metal-organic framework-derived nitrogen-doped highly disordered carbon for electrochemical ammonia synthesis using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and H</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O in alkaline electrolytes. </w:t>
      </w:r>
      <w:r w:rsidRPr="00EF0312">
        <w:rPr>
          <w:rFonts w:ascii="Times New Roman" w:hAnsi="Times New Roman" w:cs="Times New Roman"/>
          <w:i/>
          <w:sz w:val="24"/>
        </w:rPr>
        <w:t>Nano Energy</w:t>
      </w:r>
      <w:r w:rsidRPr="00EF0312">
        <w:rPr>
          <w:rFonts w:ascii="Times New Roman" w:hAnsi="Times New Roman" w:cs="Times New Roman"/>
          <w:sz w:val="24"/>
        </w:rPr>
        <w:t xml:space="preserve"> </w:t>
      </w:r>
      <w:r w:rsidRPr="00EF0312">
        <w:rPr>
          <w:rFonts w:ascii="Times New Roman" w:hAnsi="Times New Roman" w:cs="Times New Roman"/>
          <w:b/>
          <w:sz w:val="24"/>
        </w:rPr>
        <w:t>48</w:t>
      </w:r>
      <w:r w:rsidRPr="00EF0312">
        <w:rPr>
          <w:rFonts w:ascii="Times New Roman" w:hAnsi="Times New Roman" w:cs="Times New Roman"/>
          <w:sz w:val="24"/>
        </w:rPr>
        <w:t>, 217-226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18.</w:t>
      </w:r>
      <w:r w:rsidRPr="00EF0312">
        <w:rPr>
          <w:rFonts w:ascii="Times New Roman" w:hAnsi="Times New Roman" w:cs="Times New Roman"/>
          <w:sz w:val="24"/>
        </w:rPr>
        <w:tab/>
        <w:t>Yu, X.</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Boron-doped graphene for electrocatalytic N</w:t>
      </w:r>
      <w:r w:rsidRPr="00EF0312">
        <w:rPr>
          <w:rFonts w:ascii="Times New Roman" w:hAnsi="Times New Roman" w:cs="Times New Roman"/>
          <w:sz w:val="24"/>
          <w:vertAlign w:val="subscript"/>
        </w:rPr>
        <w:t>2</w:t>
      </w:r>
      <w:r w:rsidRPr="00EF0312">
        <w:rPr>
          <w:rFonts w:ascii="Times New Roman" w:hAnsi="Times New Roman" w:cs="Times New Roman"/>
          <w:sz w:val="24"/>
        </w:rPr>
        <w:t xml:space="preserve"> reduction. </w:t>
      </w:r>
      <w:r w:rsidRPr="00EF0312">
        <w:rPr>
          <w:rFonts w:ascii="Times New Roman" w:hAnsi="Times New Roman" w:cs="Times New Roman"/>
          <w:i/>
          <w:sz w:val="24"/>
        </w:rPr>
        <w:t>Joule</w:t>
      </w:r>
      <w:r w:rsidRPr="00EF0312">
        <w:rPr>
          <w:rFonts w:ascii="Times New Roman" w:hAnsi="Times New Roman" w:cs="Times New Roman"/>
          <w:sz w:val="24"/>
        </w:rPr>
        <w:t xml:space="preserve"> </w:t>
      </w:r>
      <w:r w:rsidRPr="00EF0312">
        <w:rPr>
          <w:rFonts w:ascii="Times New Roman" w:hAnsi="Times New Roman" w:cs="Times New Roman"/>
          <w:b/>
          <w:sz w:val="24"/>
        </w:rPr>
        <w:t>2</w:t>
      </w:r>
      <w:r w:rsidRPr="00EF0312">
        <w:rPr>
          <w:rFonts w:ascii="Times New Roman" w:hAnsi="Times New Roman" w:cs="Times New Roman"/>
          <w:sz w:val="24"/>
        </w:rPr>
        <w:t>, 1610-1622 (2018).</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19.</w:t>
      </w:r>
      <w:r w:rsidRPr="00EF0312">
        <w:rPr>
          <w:rFonts w:ascii="Times New Roman" w:hAnsi="Times New Roman" w:cs="Times New Roman"/>
          <w:sz w:val="24"/>
        </w:rPr>
        <w:tab/>
        <w:t>Zhang, M.</w:t>
      </w:r>
      <w:r w:rsidRPr="00EF0312">
        <w:rPr>
          <w:rFonts w:ascii="Times New Roman" w:hAnsi="Times New Roman" w:cs="Times New Roman"/>
          <w:i/>
          <w:sz w:val="24"/>
        </w:rPr>
        <w:t xml:space="preserve"> et al.</w:t>
      </w:r>
      <w:r w:rsidRPr="00EF0312">
        <w:rPr>
          <w:rFonts w:ascii="Times New Roman" w:hAnsi="Times New Roman" w:cs="Times New Roman"/>
          <w:sz w:val="24"/>
        </w:rPr>
        <w:t xml:space="preserve"> Reduced graphene oxides with engineered defects enable efficient electrochemical reduction of dinitrogen to ammonia in wide pH range. </w:t>
      </w:r>
      <w:r w:rsidRPr="00EF0312">
        <w:rPr>
          <w:rFonts w:ascii="Times New Roman" w:hAnsi="Times New Roman" w:cs="Times New Roman"/>
          <w:i/>
          <w:sz w:val="24"/>
        </w:rPr>
        <w:t>Nano Energy</w:t>
      </w:r>
      <w:r w:rsidRPr="00EF0312">
        <w:rPr>
          <w:rFonts w:ascii="Times New Roman" w:hAnsi="Times New Roman" w:cs="Times New Roman"/>
          <w:sz w:val="24"/>
        </w:rPr>
        <w:t xml:space="preserve"> </w:t>
      </w:r>
      <w:r w:rsidRPr="00EF0312">
        <w:rPr>
          <w:rFonts w:ascii="Times New Roman" w:hAnsi="Times New Roman" w:cs="Times New Roman"/>
          <w:b/>
          <w:sz w:val="24"/>
        </w:rPr>
        <w:t>68</w:t>
      </w:r>
      <w:r w:rsidRPr="00EF0312">
        <w:rPr>
          <w:rFonts w:ascii="Times New Roman" w:hAnsi="Times New Roman" w:cs="Times New Roman"/>
          <w:sz w:val="24"/>
        </w:rPr>
        <w:t>, 104323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20.</w:t>
      </w:r>
      <w:r w:rsidRPr="00EF0312">
        <w:rPr>
          <w:rFonts w:ascii="Times New Roman" w:hAnsi="Times New Roman" w:cs="Times New Roman"/>
          <w:sz w:val="24"/>
        </w:rPr>
        <w:tab/>
        <w:t>Lindgren, P., Kastlunger, G. &amp; Peterson, A. A. A Challenge to the G</w:t>
      </w:r>
      <w:r w:rsidRPr="00EF0312">
        <w:rPr>
          <w:rFonts w:ascii="바탕" w:eastAsia="바탕" w:hAnsi="바탕" w:cs="바탕" w:hint="eastAsia"/>
          <w:sz w:val="24"/>
        </w:rPr>
        <w:t>∼</w:t>
      </w:r>
      <w:r w:rsidRPr="00EF0312">
        <w:rPr>
          <w:rFonts w:ascii="Times New Roman" w:hAnsi="Times New Roman" w:cs="Times New Roman"/>
          <w:sz w:val="24"/>
        </w:rPr>
        <w:t xml:space="preserve"> 0 Interpretation of Hydrogen Evolution. </w:t>
      </w:r>
      <w:r w:rsidRPr="00EF0312">
        <w:rPr>
          <w:rFonts w:ascii="Times New Roman" w:hAnsi="Times New Roman" w:cs="Times New Roman"/>
          <w:i/>
          <w:sz w:val="24"/>
        </w:rPr>
        <w:t>ACS Catal.</w:t>
      </w:r>
      <w:r w:rsidRPr="00EF0312">
        <w:rPr>
          <w:rFonts w:ascii="Times New Roman" w:hAnsi="Times New Roman" w:cs="Times New Roman"/>
          <w:sz w:val="24"/>
        </w:rPr>
        <w:t xml:space="preserve"> </w:t>
      </w:r>
      <w:r w:rsidRPr="00EF0312">
        <w:rPr>
          <w:rFonts w:ascii="Times New Roman" w:hAnsi="Times New Roman" w:cs="Times New Roman"/>
          <w:b/>
          <w:sz w:val="24"/>
        </w:rPr>
        <w:t>10</w:t>
      </w:r>
      <w:r w:rsidRPr="00EF0312">
        <w:rPr>
          <w:rFonts w:ascii="Times New Roman" w:hAnsi="Times New Roman" w:cs="Times New Roman"/>
          <w:sz w:val="24"/>
        </w:rPr>
        <w:t>, 121-128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21.</w:t>
      </w:r>
      <w:r w:rsidRPr="00EF0312">
        <w:rPr>
          <w:rFonts w:ascii="Times New Roman" w:hAnsi="Times New Roman" w:cs="Times New Roman"/>
          <w:sz w:val="24"/>
        </w:rPr>
        <w:tab/>
        <w:t xml:space="preserve">Hörmann, N. G., Andreussi, O. &amp; Marzari, N. Grand canonical simulations of electrochemical interfaces in implicit solvation models. </w:t>
      </w:r>
      <w:r w:rsidRPr="00EF0312">
        <w:rPr>
          <w:rFonts w:ascii="Times New Roman" w:hAnsi="Times New Roman" w:cs="Times New Roman"/>
          <w:i/>
          <w:sz w:val="24"/>
        </w:rPr>
        <w:t>J. Chem. Phys.</w:t>
      </w:r>
      <w:r w:rsidRPr="00EF0312">
        <w:rPr>
          <w:rFonts w:ascii="Times New Roman" w:hAnsi="Times New Roman" w:cs="Times New Roman"/>
          <w:sz w:val="24"/>
        </w:rPr>
        <w:t xml:space="preserve"> </w:t>
      </w:r>
      <w:r w:rsidRPr="00EF0312">
        <w:rPr>
          <w:rFonts w:ascii="Times New Roman" w:hAnsi="Times New Roman" w:cs="Times New Roman"/>
          <w:b/>
          <w:sz w:val="24"/>
        </w:rPr>
        <w:t>150</w:t>
      </w:r>
      <w:r w:rsidRPr="00EF0312">
        <w:rPr>
          <w:rFonts w:ascii="Times New Roman" w:hAnsi="Times New Roman" w:cs="Times New Roman"/>
          <w:sz w:val="24"/>
        </w:rPr>
        <w:t>, 041730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22.</w:t>
      </w:r>
      <w:r w:rsidRPr="00EF0312">
        <w:rPr>
          <w:rFonts w:ascii="Times New Roman" w:hAnsi="Times New Roman" w:cs="Times New Roman"/>
          <w:sz w:val="24"/>
        </w:rPr>
        <w:tab/>
        <w:t xml:space="preserve">Lamoureux, P. S., Singh, A. R. &amp; Chan, K. pH effects on hydrogen evolution and oxidation over Pt (111): Insights from first-principles. </w:t>
      </w:r>
      <w:r w:rsidRPr="00EF0312">
        <w:rPr>
          <w:rFonts w:ascii="Times New Roman" w:hAnsi="Times New Roman" w:cs="Times New Roman"/>
          <w:i/>
          <w:sz w:val="24"/>
        </w:rPr>
        <w:t>ACS Catal.</w:t>
      </w:r>
      <w:r w:rsidRPr="00EF0312">
        <w:rPr>
          <w:rFonts w:ascii="Times New Roman" w:hAnsi="Times New Roman" w:cs="Times New Roman"/>
          <w:sz w:val="24"/>
        </w:rPr>
        <w:t xml:space="preserve"> </w:t>
      </w:r>
      <w:r w:rsidRPr="00EF0312">
        <w:rPr>
          <w:rFonts w:ascii="Times New Roman" w:hAnsi="Times New Roman" w:cs="Times New Roman"/>
          <w:b/>
          <w:sz w:val="24"/>
        </w:rPr>
        <w:t>9</w:t>
      </w:r>
      <w:r w:rsidRPr="00EF0312">
        <w:rPr>
          <w:rFonts w:ascii="Times New Roman" w:hAnsi="Times New Roman" w:cs="Times New Roman"/>
          <w:sz w:val="24"/>
        </w:rPr>
        <w:t>, 6194-6201 (2019).</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23.</w:t>
      </w:r>
      <w:r w:rsidRPr="00EF0312">
        <w:rPr>
          <w:rFonts w:ascii="Times New Roman" w:hAnsi="Times New Roman" w:cs="Times New Roman"/>
          <w:sz w:val="24"/>
        </w:rPr>
        <w:tab/>
        <w:t xml:space="preserve">Garcia-Ratés, M. &amp; López, N. Multigrid-based methodology for implicit solvation models in periodic DFT. </w:t>
      </w:r>
      <w:r w:rsidRPr="00EF0312">
        <w:rPr>
          <w:rFonts w:ascii="Times New Roman" w:hAnsi="Times New Roman" w:cs="Times New Roman"/>
          <w:i/>
          <w:sz w:val="24"/>
        </w:rPr>
        <w:t>J. Chem. Theory Comput.</w:t>
      </w:r>
      <w:r w:rsidRPr="00EF0312">
        <w:rPr>
          <w:rFonts w:ascii="Times New Roman" w:hAnsi="Times New Roman" w:cs="Times New Roman"/>
          <w:sz w:val="24"/>
        </w:rPr>
        <w:t xml:space="preserve"> </w:t>
      </w:r>
      <w:r w:rsidRPr="00EF0312">
        <w:rPr>
          <w:rFonts w:ascii="Times New Roman" w:hAnsi="Times New Roman" w:cs="Times New Roman"/>
          <w:b/>
          <w:sz w:val="24"/>
        </w:rPr>
        <w:t>12</w:t>
      </w:r>
      <w:r w:rsidRPr="00EF0312">
        <w:rPr>
          <w:rFonts w:ascii="Times New Roman" w:hAnsi="Times New Roman" w:cs="Times New Roman"/>
          <w:sz w:val="24"/>
        </w:rPr>
        <w:t>, 1331-1341 (2016).</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lastRenderedPageBreak/>
        <w:t>24.</w:t>
      </w:r>
      <w:r w:rsidRPr="00EF0312">
        <w:rPr>
          <w:rFonts w:ascii="Times New Roman" w:hAnsi="Times New Roman" w:cs="Times New Roman"/>
          <w:sz w:val="24"/>
        </w:rPr>
        <w:tab/>
        <w:t xml:space="preserve">Liu, L., Liu, Y. &amp; Liu, C. Enhancing the understanding of hydrogen evolution and oxidation reactions on Pt (111) through ab initio simulation of electrode/electrolyte kinetics. </w:t>
      </w:r>
      <w:r w:rsidRPr="00EF0312">
        <w:rPr>
          <w:rFonts w:ascii="Times New Roman" w:hAnsi="Times New Roman" w:cs="Times New Roman"/>
          <w:i/>
          <w:sz w:val="24"/>
        </w:rPr>
        <w:t>J. Am. Chem. Soc.</w:t>
      </w:r>
      <w:r w:rsidRPr="00EF0312">
        <w:rPr>
          <w:rFonts w:ascii="Times New Roman" w:hAnsi="Times New Roman" w:cs="Times New Roman"/>
          <w:sz w:val="24"/>
        </w:rPr>
        <w:t xml:space="preserve"> </w:t>
      </w:r>
      <w:r w:rsidRPr="00EF0312">
        <w:rPr>
          <w:rFonts w:ascii="Times New Roman" w:hAnsi="Times New Roman" w:cs="Times New Roman"/>
          <w:b/>
          <w:sz w:val="24"/>
        </w:rPr>
        <w:t>142</w:t>
      </w:r>
      <w:r w:rsidRPr="00EF0312">
        <w:rPr>
          <w:rFonts w:ascii="Times New Roman" w:hAnsi="Times New Roman" w:cs="Times New Roman"/>
          <w:sz w:val="24"/>
        </w:rPr>
        <w:t>, 4985-4989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25.</w:t>
      </w:r>
      <w:r w:rsidRPr="00EF0312">
        <w:rPr>
          <w:rFonts w:ascii="Times New Roman" w:hAnsi="Times New Roman" w:cs="Times New Roman"/>
          <w:sz w:val="24"/>
        </w:rPr>
        <w:tab/>
        <w:t xml:space="preserve">Gauthier, J. A., Chen, L. D., Bajdich, M. &amp; Chan, K. Implications of the fractional charge of hydroxide at the electrochemical interface. </w:t>
      </w:r>
      <w:r w:rsidRPr="00EF0312">
        <w:rPr>
          <w:rFonts w:ascii="Times New Roman" w:hAnsi="Times New Roman" w:cs="Times New Roman"/>
          <w:i/>
          <w:sz w:val="24"/>
        </w:rPr>
        <w:t>Phys. Chem. Chem. Phys.</w:t>
      </w:r>
      <w:r w:rsidRPr="00EF0312">
        <w:rPr>
          <w:rFonts w:ascii="Times New Roman" w:hAnsi="Times New Roman" w:cs="Times New Roman"/>
          <w:sz w:val="24"/>
        </w:rPr>
        <w:t xml:space="preserve"> </w:t>
      </w:r>
      <w:r w:rsidRPr="00EF0312">
        <w:rPr>
          <w:rFonts w:ascii="Times New Roman" w:hAnsi="Times New Roman" w:cs="Times New Roman"/>
          <w:b/>
          <w:sz w:val="24"/>
        </w:rPr>
        <w:t>22</w:t>
      </w:r>
      <w:r w:rsidRPr="00EF0312">
        <w:rPr>
          <w:rFonts w:ascii="Times New Roman" w:hAnsi="Times New Roman" w:cs="Times New Roman"/>
          <w:sz w:val="24"/>
        </w:rPr>
        <w:t>, 6964-6969 (2020).</w:t>
      </w:r>
    </w:p>
    <w:p w:rsidR="00EF0312" w:rsidRPr="00EF0312" w:rsidRDefault="00EF0312" w:rsidP="00EF0312">
      <w:pPr>
        <w:pStyle w:val="EndNoteBibliography"/>
        <w:ind w:left="720" w:hanging="720"/>
        <w:rPr>
          <w:rFonts w:ascii="Times New Roman" w:hAnsi="Times New Roman" w:cs="Times New Roman"/>
          <w:sz w:val="24"/>
        </w:rPr>
      </w:pPr>
      <w:r w:rsidRPr="00EF0312">
        <w:rPr>
          <w:rFonts w:ascii="Times New Roman" w:hAnsi="Times New Roman" w:cs="Times New Roman"/>
          <w:sz w:val="24"/>
        </w:rPr>
        <w:t>26.</w:t>
      </w:r>
      <w:r w:rsidRPr="00EF0312">
        <w:rPr>
          <w:rFonts w:ascii="Times New Roman" w:hAnsi="Times New Roman" w:cs="Times New Roman"/>
          <w:sz w:val="24"/>
        </w:rPr>
        <w:tab/>
        <w:t>Coltrin, M. E., Kee, R. J. &amp; Rupley, F. Surface CHEMKIN (Version 4. 0): A Fortran package for analyzing heterogeneous chemical kinetics at a solid-surface---gas-phase interface. (Sandia National Labs., Livermore, CA (United States), 1991).</w:t>
      </w:r>
    </w:p>
    <w:p w:rsidR="00250017" w:rsidRPr="00EF0312" w:rsidRDefault="00250017" w:rsidP="00250017">
      <w:pPr>
        <w:pStyle w:val="EndNoteBibliography"/>
        <w:spacing w:line="480" w:lineRule="auto"/>
        <w:rPr>
          <w:rFonts w:ascii="Times New Roman" w:hAnsi="Times New Roman" w:cs="Times New Roman"/>
          <w:sz w:val="24"/>
        </w:rPr>
      </w:pPr>
      <w:r w:rsidRPr="00EF0312">
        <w:rPr>
          <w:rFonts w:ascii="Times New Roman" w:hAnsi="Times New Roman" w:cs="Times New Roman"/>
          <w:sz w:val="24"/>
        </w:rPr>
        <w:fldChar w:fldCharType="end"/>
      </w:r>
    </w:p>
    <w:p w:rsidR="002D17CA" w:rsidRPr="00250017" w:rsidRDefault="002D17CA" w:rsidP="00250017">
      <w:pPr>
        <w:spacing w:line="480" w:lineRule="auto"/>
      </w:pPr>
    </w:p>
    <w:sectPr w:rsidR="002D17CA" w:rsidRPr="00250017" w:rsidSect="00E748E8">
      <w:type w:val="continuous"/>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721" w:rsidRDefault="00016721" w:rsidP="00250017">
      <w:r>
        <w:separator/>
      </w:r>
    </w:p>
  </w:endnote>
  <w:endnote w:type="continuationSeparator" w:id="0">
    <w:p w:rsidR="00016721" w:rsidRDefault="00016721" w:rsidP="0025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dvP4C4E74">
    <w:altName w:val="전주 완판본 각B"/>
    <w:panose1 w:val="00000000000000000000"/>
    <w:charset w:val="81"/>
    <w:family w:val="auto"/>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AdvOTdd3b7348.I+03">
    <w:altName w:val="전주 완판본 각B"/>
    <w:panose1 w:val="00000000000000000000"/>
    <w:charset w:val="81"/>
    <w:family w:val="auto"/>
    <w:notTrueType/>
    <w:pitch w:val="default"/>
    <w:sig w:usb0="00000001" w:usb1="09060000" w:usb2="00000010" w:usb3="00000000" w:csb0="00080000" w:csb1="00000000"/>
  </w:font>
  <w:font w:name="AdvOT1ef757c0+03">
    <w:altName w:val="전주 완판본 각B"/>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721" w:rsidRDefault="00016721" w:rsidP="00250017">
      <w:r>
        <w:separator/>
      </w:r>
    </w:p>
  </w:footnote>
  <w:footnote w:type="continuationSeparator" w:id="0">
    <w:p w:rsidR="00016721" w:rsidRDefault="00016721" w:rsidP="002500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xMTUyt7QwMzA1sTBW0lEKTi0uzszPAykwtKwFABlU9botAAAA"/>
    <w:docVar w:name="EN.InstantFormat" w:val="&lt;ENInstantFormat&gt;&lt;Enabled&gt;1&lt;/Enabled&gt;&lt;ScanUnformatted&gt;1&lt;/ScanUnformatted&gt;&lt;ScanChanges&gt;1&lt;/ScanChanges&gt;&lt;Suspended&gt;0&lt;/Suspended&gt;&lt;/ENInstantFormat&gt;"/>
    <w:docVar w:name="EN.Layout" w:val="&lt;ENLayout&gt;&lt;Style&gt;Nature Commun&lt;/Style&gt;&lt;LeftDelim&gt;{&lt;/LeftDelim&gt;&lt;RightDelim&gt;}&lt;/RightDelim&gt;&lt;FontName&gt;Arial&lt;/FontName&gt;&lt;FontSize&gt;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r55epa49ezwrerfv05rxzoafxrafzdw059&quot;&gt;NRR CEP FeN4&lt;record-ids&gt;&lt;item&gt;11&lt;/item&gt;&lt;item&gt;12&lt;/item&gt;&lt;item&gt;13&lt;/item&gt;&lt;item&gt;14&lt;/item&gt;&lt;item&gt;18&lt;/item&gt;&lt;item&gt;19&lt;/item&gt;&lt;item&gt;27&lt;/item&gt;&lt;item&gt;42&lt;/item&gt;&lt;item&gt;43&lt;/item&gt;&lt;item&gt;44&lt;/item&gt;&lt;item&gt;49&lt;/item&gt;&lt;item&gt;50&lt;/item&gt;&lt;item&gt;51&lt;/item&gt;&lt;item&gt;52&lt;/item&gt;&lt;item&gt;53&lt;/item&gt;&lt;item&gt;54&lt;/item&gt;&lt;item&gt;55&lt;/item&gt;&lt;item&gt;56&lt;/item&gt;&lt;item&gt;57&lt;/item&gt;&lt;item&gt;79&lt;/item&gt;&lt;item&gt;80&lt;/item&gt;&lt;item&gt;87&lt;/item&gt;&lt;item&gt;88&lt;/item&gt;&lt;item&gt;90&lt;/item&gt;&lt;item&gt;91&lt;/item&gt;&lt;item&gt;93&lt;/item&gt;&lt;/record-ids&gt;&lt;/item&gt;&lt;/Libraries&gt;"/>
  </w:docVars>
  <w:rsids>
    <w:rsidRoot w:val="00250017"/>
    <w:rsid w:val="000115E3"/>
    <w:rsid w:val="0001375F"/>
    <w:rsid w:val="00016721"/>
    <w:rsid w:val="00026523"/>
    <w:rsid w:val="0008362A"/>
    <w:rsid w:val="000869CD"/>
    <w:rsid w:val="000B20EB"/>
    <w:rsid w:val="000C6E1A"/>
    <w:rsid w:val="000E0603"/>
    <w:rsid w:val="001012DF"/>
    <w:rsid w:val="00120FE6"/>
    <w:rsid w:val="00124160"/>
    <w:rsid w:val="00133E39"/>
    <w:rsid w:val="00143EF9"/>
    <w:rsid w:val="001525F9"/>
    <w:rsid w:val="00154E31"/>
    <w:rsid w:val="00170A21"/>
    <w:rsid w:val="0018103F"/>
    <w:rsid w:val="00193256"/>
    <w:rsid w:val="001A1FDA"/>
    <w:rsid w:val="001A728C"/>
    <w:rsid w:val="001C3509"/>
    <w:rsid w:val="00224031"/>
    <w:rsid w:val="00226621"/>
    <w:rsid w:val="00250017"/>
    <w:rsid w:val="00260013"/>
    <w:rsid w:val="00292DAA"/>
    <w:rsid w:val="002972C1"/>
    <w:rsid w:val="002D17CA"/>
    <w:rsid w:val="002D33EE"/>
    <w:rsid w:val="002F2E29"/>
    <w:rsid w:val="0033119A"/>
    <w:rsid w:val="00364B1D"/>
    <w:rsid w:val="00383604"/>
    <w:rsid w:val="0039435B"/>
    <w:rsid w:val="004251C8"/>
    <w:rsid w:val="00436512"/>
    <w:rsid w:val="00436756"/>
    <w:rsid w:val="004438FB"/>
    <w:rsid w:val="00463E11"/>
    <w:rsid w:val="00493119"/>
    <w:rsid w:val="004B2BB6"/>
    <w:rsid w:val="004D2C6B"/>
    <w:rsid w:val="004D4350"/>
    <w:rsid w:val="00514477"/>
    <w:rsid w:val="005710B5"/>
    <w:rsid w:val="005844FB"/>
    <w:rsid w:val="005948EF"/>
    <w:rsid w:val="005E3448"/>
    <w:rsid w:val="005E6988"/>
    <w:rsid w:val="00624E3E"/>
    <w:rsid w:val="006301FD"/>
    <w:rsid w:val="0064175D"/>
    <w:rsid w:val="0064335B"/>
    <w:rsid w:val="00651BCB"/>
    <w:rsid w:val="00654BA6"/>
    <w:rsid w:val="00671313"/>
    <w:rsid w:val="00671F98"/>
    <w:rsid w:val="006801B9"/>
    <w:rsid w:val="006D7AB3"/>
    <w:rsid w:val="006E5DEC"/>
    <w:rsid w:val="00713F73"/>
    <w:rsid w:val="00720E48"/>
    <w:rsid w:val="0075347C"/>
    <w:rsid w:val="00762111"/>
    <w:rsid w:val="00767CB7"/>
    <w:rsid w:val="0079164A"/>
    <w:rsid w:val="007E4D55"/>
    <w:rsid w:val="00825F65"/>
    <w:rsid w:val="00853904"/>
    <w:rsid w:val="00867EEA"/>
    <w:rsid w:val="008771BB"/>
    <w:rsid w:val="00891663"/>
    <w:rsid w:val="00893582"/>
    <w:rsid w:val="008A3C82"/>
    <w:rsid w:val="008C0C0C"/>
    <w:rsid w:val="008D0DB1"/>
    <w:rsid w:val="00904D5F"/>
    <w:rsid w:val="00915FBD"/>
    <w:rsid w:val="00967E81"/>
    <w:rsid w:val="009B62CB"/>
    <w:rsid w:val="009C54AE"/>
    <w:rsid w:val="009D669F"/>
    <w:rsid w:val="009F0ABE"/>
    <w:rsid w:val="00A12841"/>
    <w:rsid w:val="00A366F7"/>
    <w:rsid w:val="00A50807"/>
    <w:rsid w:val="00A97C72"/>
    <w:rsid w:val="00AB6619"/>
    <w:rsid w:val="00AC5303"/>
    <w:rsid w:val="00B05F54"/>
    <w:rsid w:val="00B43268"/>
    <w:rsid w:val="00B850BF"/>
    <w:rsid w:val="00BA1C0E"/>
    <w:rsid w:val="00BB0332"/>
    <w:rsid w:val="00BD3344"/>
    <w:rsid w:val="00C42676"/>
    <w:rsid w:val="00C643AD"/>
    <w:rsid w:val="00C82F21"/>
    <w:rsid w:val="00C92D28"/>
    <w:rsid w:val="00CC388E"/>
    <w:rsid w:val="00CC5559"/>
    <w:rsid w:val="00CF233C"/>
    <w:rsid w:val="00D462C8"/>
    <w:rsid w:val="00D607EB"/>
    <w:rsid w:val="00D813A9"/>
    <w:rsid w:val="00D8194C"/>
    <w:rsid w:val="00D850AA"/>
    <w:rsid w:val="00E04815"/>
    <w:rsid w:val="00E26F2E"/>
    <w:rsid w:val="00E6094F"/>
    <w:rsid w:val="00E748E8"/>
    <w:rsid w:val="00EA0D8A"/>
    <w:rsid w:val="00EB2A29"/>
    <w:rsid w:val="00EB7259"/>
    <w:rsid w:val="00EE5528"/>
    <w:rsid w:val="00EF0312"/>
    <w:rsid w:val="00EF5910"/>
    <w:rsid w:val="00F06566"/>
    <w:rsid w:val="00F215BB"/>
    <w:rsid w:val="00F25125"/>
    <w:rsid w:val="00F85238"/>
    <w:rsid w:val="00FD1A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B6298"/>
  <w15:chartTrackingRefBased/>
  <w15:docId w15:val="{036A6769-94BB-448F-9F6F-C44AF7ABC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017"/>
    <w:pPr>
      <w:spacing w:after="0" w:line="240" w:lineRule="auto"/>
    </w:pPr>
    <w:rPr>
      <w:rFonts w:ascii="Times New Roman" w:eastAsia="MS Mincho" w:hAnsi="Times New Roman" w:cs="Times New Roman"/>
      <w:sz w:val="24"/>
      <w:szCs w:val="24"/>
      <w:lang w:val="de-DE" w:eastAsia="ja-JP"/>
    </w:rPr>
  </w:style>
  <w:style w:type="paragraph" w:styleId="1">
    <w:name w:val="heading 1"/>
    <w:basedOn w:val="a"/>
    <w:next w:val="a"/>
    <w:link w:val="1Char"/>
    <w:uiPriority w:val="9"/>
    <w:rsid w:val="00250017"/>
    <w:pPr>
      <w:spacing w:before="460" w:after="230" w:line="230" w:lineRule="atLeast"/>
      <w:outlineLvl w:val="0"/>
    </w:pPr>
    <w:rPr>
      <w:rFonts w:ascii="Arial" w:hAnsi="Arial"/>
      <w:b/>
      <w:sz w:val="22"/>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250017"/>
    <w:rPr>
      <w:rFonts w:ascii="Arial" w:eastAsia="MS Mincho" w:hAnsi="Arial" w:cs="Times New Roman"/>
      <w:b/>
      <w:szCs w:val="20"/>
      <w:lang w:eastAsia="ja-JP"/>
    </w:rPr>
  </w:style>
  <w:style w:type="paragraph" w:customStyle="1" w:styleId="Title1">
    <w:name w:val="Title1"/>
    <w:basedOn w:val="a"/>
    <w:next w:val="a"/>
    <w:qFormat/>
    <w:rsid w:val="00250017"/>
    <w:pPr>
      <w:spacing w:before="360" w:line="480" w:lineRule="exact"/>
    </w:pPr>
    <w:rPr>
      <w:rFonts w:ascii="Arial" w:hAnsi="Arial"/>
      <w:b/>
      <w:sz w:val="32"/>
      <w:szCs w:val="28"/>
    </w:rPr>
  </w:style>
  <w:style w:type="paragraph" w:customStyle="1" w:styleId="Authors">
    <w:name w:val="Authors"/>
    <w:basedOn w:val="a"/>
    <w:qFormat/>
    <w:rsid w:val="00250017"/>
    <w:pPr>
      <w:spacing w:before="120" w:after="360" w:line="320" w:lineRule="exact"/>
    </w:pPr>
    <w:rPr>
      <w:rFonts w:ascii="Arial" w:hAnsi="Arial"/>
      <w:sz w:val="22"/>
      <w:lang w:val="en-GB"/>
    </w:rPr>
  </w:style>
  <w:style w:type="paragraph" w:customStyle="1" w:styleId="P1withoutIndendation">
    <w:name w:val="P1_without_Indendation"/>
    <w:basedOn w:val="a"/>
    <w:qFormat/>
    <w:rsid w:val="00250017"/>
    <w:pPr>
      <w:spacing w:line="225" w:lineRule="exact"/>
      <w:jc w:val="both"/>
    </w:pPr>
    <w:rPr>
      <w:rFonts w:ascii="Arial" w:hAnsi="Arial"/>
      <w:sz w:val="17"/>
    </w:rPr>
  </w:style>
  <w:style w:type="paragraph" w:customStyle="1" w:styleId="H1">
    <w:name w:val="H1"/>
    <w:basedOn w:val="1"/>
    <w:qFormat/>
    <w:rsid w:val="00250017"/>
  </w:style>
  <w:style w:type="paragraph" w:customStyle="1" w:styleId="Adress">
    <w:name w:val="Adress"/>
    <w:basedOn w:val="a"/>
    <w:qFormat/>
    <w:rsid w:val="00250017"/>
    <w:pPr>
      <w:spacing w:line="180" w:lineRule="exact"/>
      <w:ind w:left="425" w:hanging="425"/>
    </w:pPr>
    <w:rPr>
      <w:rFonts w:ascii="Arial" w:hAnsi="Arial"/>
      <w:sz w:val="14"/>
      <w:szCs w:val="20"/>
    </w:rPr>
  </w:style>
  <w:style w:type="paragraph" w:customStyle="1" w:styleId="Footnote">
    <w:name w:val="Footnote"/>
    <w:basedOn w:val="Adress"/>
    <w:unhideWhenUsed/>
    <w:rsid w:val="00250017"/>
    <w:pPr>
      <w:spacing w:before="120"/>
    </w:pPr>
    <w:rPr>
      <w:szCs w:val="14"/>
      <w:lang w:val="en-GB"/>
    </w:rPr>
  </w:style>
  <w:style w:type="paragraph" w:customStyle="1" w:styleId="References">
    <w:name w:val="References"/>
    <w:basedOn w:val="a"/>
    <w:qFormat/>
    <w:rsid w:val="00250017"/>
    <w:pPr>
      <w:spacing w:line="200" w:lineRule="exact"/>
      <w:ind w:left="425" w:hanging="425"/>
      <w:jc w:val="both"/>
    </w:pPr>
    <w:rPr>
      <w:rFonts w:ascii="Arial" w:hAnsi="Arial"/>
      <w:sz w:val="14"/>
      <w:szCs w:val="14"/>
      <w:lang w:val="en-GB"/>
    </w:rPr>
  </w:style>
  <w:style w:type="paragraph" w:customStyle="1" w:styleId="ColumnTitle">
    <w:name w:val="ColumnTitle"/>
    <w:basedOn w:val="a"/>
    <w:rsid w:val="00250017"/>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250017"/>
    <w:rPr>
      <w:bCs/>
      <w:sz w:val="18"/>
    </w:rPr>
  </w:style>
  <w:style w:type="character" w:customStyle="1" w:styleId="Comment">
    <w:name w:val="Comment"/>
    <w:rsid w:val="00250017"/>
    <w:rPr>
      <w:rFonts w:ascii="Arial" w:hAnsi="Arial"/>
      <w:color w:val="FF0000"/>
      <w:sz w:val="14"/>
    </w:rPr>
  </w:style>
  <w:style w:type="paragraph" w:customStyle="1" w:styleId="SchemeCaption">
    <w:name w:val="SchemeCaption"/>
    <w:basedOn w:val="a"/>
    <w:rsid w:val="00250017"/>
    <w:pPr>
      <w:spacing w:before="230" w:after="460" w:line="180" w:lineRule="exact"/>
      <w:jc w:val="both"/>
    </w:pPr>
    <w:rPr>
      <w:rFonts w:ascii="Arial" w:hAnsi="Arial"/>
      <w:sz w:val="14"/>
      <w:szCs w:val="14"/>
      <w:lang w:val="en-GB"/>
    </w:rPr>
  </w:style>
  <w:style w:type="paragraph" w:customStyle="1" w:styleId="FigureCaption">
    <w:name w:val="FigureCaption"/>
    <w:basedOn w:val="a"/>
    <w:rsid w:val="00250017"/>
    <w:pPr>
      <w:spacing w:before="230" w:after="460" w:line="180" w:lineRule="exact"/>
      <w:jc w:val="both"/>
    </w:pPr>
    <w:rPr>
      <w:rFonts w:ascii="Arial" w:hAnsi="Arial"/>
      <w:sz w:val="14"/>
      <w:szCs w:val="14"/>
      <w:lang w:val="en-GB"/>
    </w:rPr>
  </w:style>
  <w:style w:type="paragraph" w:customStyle="1" w:styleId="TableCaption">
    <w:name w:val="TableCaption"/>
    <w:basedOn w:val="a"/>
    <w:qFormat/>
    <w:rsid w:val="00250017"/>
    <w:pPr>
      <w:spacing w:after="120" w:line="180" w:lineRule="exact"/>
      <w:jc w:val="both"/>
    </w:pPr>
    <w:rPr>
      <w:rFonts w:ascii="Arial" w:hAnsi="Arial"/>
      <w:sz w:val="14"/>
      <w:szCs w:val="14"/>
      <w:lang w:val="en-GB"/>
    </w:rPr>
  </w:style>
  <w:style w:type="paragraph" w:customStyle="1" w:styleId="TableHead">
    <w:name w:val="TableHead"/>
    <w:basedOn w:val="TableCaption"/>
    <w:qFormat/>
    <w:rsid w:val="00250017"/>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250017"/>
  </w:style>
  <w:style w:type="paragraph" w:customStyle="1" w:styleId="TableFoot">
    <w:name w:val="TableFoot"/>
    <w:basedOn w:val="TableBody"/>
    <w:rsid w:val="00250017"/>
    <w:pPr>
      <w:spacing w:before="60" w:after="60"/>
    </w:pPr>
  </w:style>
  <w:style w:type="paragraph" w:customStyle="1" w:styleId="H3">
    <w:name w:val="H3"/>
    <w:basedOn w:val="H2"/>
    <w:qFormat/>
    <w:rsid w:val="00250017"/>
    <w:rPr>
      <w:b w:val="0"/>
      <w:bCs w:val="0"/>
      <w:i/>
      <w:iCs/>
    </w:rPr>
  </w:style>
  <w:style w:type="paragraph" w:customStyle="1" w:styleId="ManuscriptID">
    <w:name w:val="ManuscriptID"/>
    <w:basedOn w:val="a"/>
    <w:rsid w:val="00250017"/>
    <w:pPr>
      <w:spacing w:before="220" w:line="230" w:lineRule="exact"/>
    </w:pPr>
    <w:rPr>
      <w:rFonts w:ascii="Arial" w:hAnsi="Arial"/>
      <w:b/>
      <w:sz w:val="17"/>
      <w:szCs w:val="15"/>
      <w:lang w:val="en-GB"/>
    </w:rPr>
  </w:style>
  <w:style w:type="paragraph" w:customStyle="1" w:styleId="Intro">
    <w:name w:val="Intro"/>
    <w:basedOn w:val="a"/>
    <w:rsid w:val="00250017"/>
    <w:pPr>
      <w:jc w:val="center"/>
    </w:pPr>
    <w:rPr>
      <w:rFonts w:ascii="Arial" w:eastAsia="Times New Roman" w:hAnsi="Arial"/>
      <w:sz w:val="32"/>
      <w:szCs w:val="20"/>
    </w:rPr>
  </w:style>
  <w:style w:type="paragraph" w:customStyle="1" w:styleId="TitleTOC">
    <w:name w:val="Title_TOC"/>
    <w:basedOn w:val="a"/>
    <w:rsid w:val="00250017"/>
    <w:pPr>
      <w:spacing w:before="120" w:line="225" w:lineRule="atLeast"/>
    </w:pPr>
    <w:rPr>
      <w:rFonts w:ascii="Arial" w:hAnsi="Arial"/>
      <w:b/>
      <w:sz w:val="17"/>
      <w:szCs w:val="20"/>
      <w:lang w:val="en-GB"/>
    </w:rPr>
  </w:style>
  <w:style w:type="paragraph" w:customStyle="1" w:styleId="TableOfContentText">
    <w:name w:val="TableOfContentText"/>
    <w:basedOn w:val="a"/>
    <w:rsid w:val="00250017"/>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rsid w:val="00250017"/>
    <w:pPr>
      <w:spacing w:line="225" w:lineRule="exact"/>
      <w:ind w:firstLine="284"/>
    </w:pPr>
    <w:rPr>
      <w:sz w:val="17"/>
    </w:rPr>
  </w:style>
  <w:style w:type="paragraph" w:customStyle="1" w:styleId="Acknowledgements">
    <w:name w:val="Acknowledgements"/>
    <w:basedOn w:val="P1withoutIndendation"/>
    <w:rsid w:val="00250017"/>
    <w:pPr>
      <w:spacing w:after="240" w:line="230" w:lineRule="atLeast"/>
    </w:pPr>
  </w:style>
  <w:style w:type="paragraph" w:customStyle="1" w:styleId="ColumnTitleTOC">
    <w:name w:val="ColumnTitle_TOC"/>
    <w:basedOn w:val="ColumnTitle"/>
    <w:rsid w:val="00250017"/>
    <w:pPr>
      <w:pBdr>
        <w:bottom w:val="single" w:sz="36" w:space="3" w:color="008080"/>
      </w:pBdr>
      <w:spacing w:after="0"/>
      <w:jc w:val="left"/>
    </w:pPr>
    <w:rPr>
      <w:b w:val="0"/>
      <w:color w:val="000000"/>
      <w:sz w:val="28"/>
      <w:szCs w:val="28"/>
    </w:rPr>
  </w:style>
  <w:style w:type="paragraph" w:customStyle="1" w:styleId="MSType">
    <w:name w:val="MSType"/>
    <w:basedOn w:val="ColumnTitleTOC"/>
    <w:rsid w:val="00250017"/>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a"/>
    <w:rsid w:val="00250017"/>
    <w:pPr>
      <w:spacing w:before="230"/>
    </w:pPr>
    <w:rPr>
      <w:rFonts w:ascii="Arial" w:hAnsi="Arial"/>
      <w:b/>
      <w:i/>
      <w:sz w:val="17"/>
    </w:rPr>
  </w:style>
  <w:style w:type="paragraph" w:styleId="a3">
    <w:name w:val="header"/>
    <w:basedOn w:val="a"/>
    <w:link w:val="Char"/>
    <w:uiPriority w:val="99"/>
    <w:unhideWhenUsed/>
    <w:rsid w:val="00250017"/>
    <w:pPr>
      <w:tabs>
        <w:tab w:val="center" w:pos="4703"/>
        <w:tab w:val="right" w:pos="9406"/>
      </w:tabs>
    </w:pPr>
  </w:style>
  <w:style w:type="character" w:customStyle="1" w:styleId="Char">
    <w:name w:val="머리글 Char"/>
    <w:basedOn w:val="a0"/>
    <w:link w:val="a3"/>
    <w:uiPriority w:val="99"/>
    <w:rsid w:val="00250017"/>
    <w:rPr>
      <w:rFonts w:ascii="Times New Roman" w:eastAsia="MS Mincho" w:hAnsi="Times New Roman" w:cs="Times New Roman"/>
      <w:sz w:val="24"/>
      <w:szCs w:val="24"/>
      <w:lang w:val="de-DE" w:eastAsia="ja-JP"/>
    </w:rPr>
  </w:style>
  <w:style w:type="paragraph" w:styleId="a4">
    <w:name w:val="footer"/>
    <w:basedOn w:val="a"/>
    <w:link w:val="Char0"/>
    <w:uiPriority w:val="99"/>
    <w:unhideWhenUsed/>
    <w:rsid w:val="00250017"/>
    <w:pPr>
      <w:tabs>
        <w:tab w:val="center" w:pos="4703"/>
        <w:tab w:val="right" w:pos="9406"/>
      </w:tabs>
    </w:pPr>
  </w:style>
  <w:style w:type="character" w:customStyle="1" w:styleId="Char0">
    <w:name w:val="바닥글 Char"/>
    <w:basedOn w:val="a0"/>
    <w:link w:val="a4"/>
    <w:uiPriority w:val="99"/>
    <w:rsid w:val="00250017"/>
    <w:rPr>
      <w:rFonts w:ascii="Times New Roman" w:eastAsia="MS Mincho" w:hAnsi="Times New Roman" w:cs="Times New Roman"/>
      <w:sz w:val="24"/>
      <w:szCs w:val="24"/>
      <w:lang w:val="de-DE" w:eastAsia="ja-JP"/>
    </w:rPr>
  </w:style>
  <w:style w:type="paragraph" w:styleId="a5">
    <w:name w:val="Balloon Text"/>
    <w:basedOn w:val="a"/>
    <w:link w:val="Char1"/>
    <w:uiPriority w:val="99"/>
    <w:semiHidden/>
    <w:unhideWhenUsed/>
    <w:rsid w:val="00250017"/>
    <w:rPr>
      <w:rFonts w:ascii="Tahoma" w:hAnsi="Tahoma" w:cs="Tahoma"/>
      <w:sz w:val="16"/>
      <w:szCs w:val="16"/>
    </w:rPr>
  </w:style>
  <w:style w:type="character" w:customStyle="1" w:styleId="Char1">
    <w:name w:val="풍선 도움말 텍스트 Char"/>
    <w:basedOn w:val="a0"/>
    <w:link w:val="a5"/>
    <w:uiPriority w:val="99"/>
    <w:semiHidden/>
    <w:rsid w:val="00250017"/>
    <w:rPr>
      <w:rFonts w:ascii="Tahoma" w:eastAsia="MS Mincho" w:hAnsi="Tahoma" w:cs="Tahoma"/>
      <w:sz w:val="16"/>
      <w:szCs w:val="16"/>
      <w:lang w:val="de-DE" w:eastAsia="ja-JP"/>
    </w:rPr>
  </w:style>
  <w:style w:type="paragraph" w:customStyle="1" w:styleId="TableSpacer">
    <w:name w:val="TableSpacer"/>
    <w:basedOn w:val="a"/>
    <w:qFormat/>
    <w:rsid w:val="00250017"/>
    <w:pPr>
      <w:spacing w:before="360"/>
    </w:pPr>
    <w:rPr>
      <w:rFonts w:ascii="Arial" w:hAnsi="Arial"/>
      <w:noProof/>
      <w:sz w:val="14"/>
    </w:rPr>
  </w:style>
  <w:style w:type="paragraph" w:customStyle="1" w:styleId="Abstract">
    <w:name w:val="Abstract"/>
    <w:basedOn w:val="a"/>
    <w:qFormat/>
    <w:rsid w:val="00250017"/>
    <w:pPr>
      <w:spacing w:after="360" w:line="225" w:lineRule="exact"/>
      <w:jc w:val="both"/>
    </w:pPr>
    <w:rPr>
      <w:rFonts w:ascii="Arial" w:hAnsi="Arial"/>
      <w:sz w:val="16"/>
      <w:szCs w:val="20"/>
      <w:lang w:val="en-GB"/>
    </w:rPr>
  </w:style>
  <w:style w:type="paragraph" w:customStyle="1" w:styleId="P1">
    <w:name w:val="P1"/>
    <w:basedOn w:val="P1withoutIndendation"/>
    <w:qFormat/>
    <w:rsid w:val="00250017"/>
    <w:pPr>
      <w:jc w:val="left"/>
    </w:pPr>
    <w:rPr>
      <w:lang w:val="en-US"/>
    </w:rPr>
  </w:style>
  <w:style w:type="character" w:styleId="a6">
    <w:name w:val="line number"/>
    <w:uiPriority w:val="99"/>
    <w:semiHidden/>
    <w:unhideWhenUsed/>
    <w:rsid w:val="00250017"/>
  </w:style>
  <w:style w:type="paragraph" w:customStyle="1" w:styleId="List1">
    <w:name w:val="List1"/>
    <w:basedOn w:val="a"/>
    <w:rsid w:val="00250017"/>
    <w:pPr>
      <w:tabs>
        <w:tab w:val="left" w:pos="567"/>
      </w:tabs>
      <w:spacing w:before="240" w:after="120" w:line="480" w:lineRule="exact"/>
      <w:ind w:left="567" w:hanging="567"/>
    </w:pPr>
    <w:rPr>
      <w:rFonts w:eastAsia="Times New Roman"/>
      <w:lang w:eastAsia="de-DE"/>
    </w:rPr>
  </w:style>
  <w:style w:type="paragraph" w:styleId="TOC">
    <w:name w:val="TOC Heading"/>
    <w:basedOn w:val="1"/>
    <w:next w:val="a"/>
    <w:uiPriority w:val="39"/>
    <w:unhideWhenUsed/>
    <w:qFormat/>
    <w:rsid w:val="00250017"/>
    <w:pPr>
      <w:keepNext/>
      <w:keepLines/>
      <w:spacing w:before="240" w:after="0" w:line="259" w:lineRule="auto"/>
      <w:outlineLvl w:val="9"/>
    </w:pPr>
    <w:rPr>
      <w:rFonts w:ascii="맑은 고딕" w:eastAsia="맑은 고딕" w:hAnsi="맑은 고딕"/>
      <w:b w:val="0"/>
      <w:color w:val="2E74B5"/>
      <w:sz w:val="32"/>
      <w:szCs w:val="32"/>
      <w:lang w:eastAsia="ko-KR"/>
    </w:rPr>
  </w:style>
  <w:style w:type="paragraph" w:styleId="2">
    <w:name w:val="toc 2"/>
    <w:basedOn w:val="a"/>
    <w:next w:val="a"/>
    <w:autoRedefine/>
    <w:uiPriority w:val="39"/>
    <w:unhideWhenUsed/>
    <w:rsid w:val="00250017"/>
    <w:pPr>
      <w:tabs>
        <w:tab w:val="right" w:leader="dot" w:pos="10034"/>
      </w:tabs>
      <w:spacing w:after="100" w:line="259" w:lineRule="auto"/>
      <w:outlineLvl w:val="1"/>
    </w:pPr>
    <w:rPr>
      <w:rFonts w:ascii="Arial" w:eastAsia="맑은 고딕" w:hAnsi="Arial" w:cs="Arial"/>
      <w:b/>
      <w:sz w:val="22"/>
      <w:szCs w:val="22"/>
      <w:lang w:val="en-US" w:eastAsia="ko-KR"/>
    </w:rPr>
  </w:style>
  <w:style w:type="paragraph" w:styleId="10">
    <w:name w:val="toc 1"/>
    <w:basedOn w:val="a"/>
    <w:next w:val="a"/>
    <w:link w:val="1Char0"/>
    <w:autoRedefine/>
    <w:uiPriority w:val="39"/>
    <w:unhideWhenUsed/>
    <w:rsid w:val="00EF5910"/>
    <w:pPr>
      <w:tabs>
        <w:tab w:val="right" w:leader="dot" w:pos="10034"/>
      </w:tabs>
      <w:spacing w:after="100" w:line="480" w:lineRule="auto"/>
    </w:pPr>
    <w:rPr>
      <w:rFonts w:eastAsia="맑은 고딕"/>
      <w:b/>
      <w:bCs/>
      <w:sz w:val="28"/>
      <w:szCs w:val="28"/>
      <w:lang w:val="en-US" w:eastAsia="ko-KR"/>
    </w:rPr>
  </w:style>
  <w:style w:type="paragraph" w:styleId="3">
    <w:name w:val="toc 3"/>
    <w:basedOn w:val="a"/>
    <w:next w:val="a"/>
    <w:autoRedefine/>
    <w:uiPriority w:val="39"/>
    <w:unhideWhenUsed/>
    <w:rsid w:val="00250017"/>
    <w:pPr>
      <w:tabs>
        <w:tab w:val="right" w:leader="dot" w:pos="10034"/>
      </w:tabs>
      <w:spacing w:after="100" w:line="480" w:lineRule="auto"/>
      <w:outlineLvl w:val="1"/>
    </w:pPr>
    <w:rPr>
      <w:rFonts w:eastAsia="맑은 고딕"/>
      <w:b/>
      <w:sz w:val="28"/>
      <w:szCs w:val="28"/>
      <w:lang w:val="en-US" w:eastAsia="ko-KR"/>
    </w:rPr>
  </w:style>
  <w:style w:type="paragraph" w:styleId="a7">
    <w:name w:val="caption"/>
    <w:basedOn w:val="a"/>
    <w:next w:val="a"/>
    <w:uiPriority w:val="35"/>
    <w:unhideWhenUsed/>
    <w:qFormat/>
    <w:rsid w:val="00250017"/>
    <w:pPr>
      <w:widowControl w:val="0"/>
      <w:wordWrap w:val="0"/>
      <w:autoSpaceDE w:val="0"/>
      <w:autoSpaceDN w:val="0"/>
      <w:spacing w:after="160" w:line="259" w:lineRule="auto"/>
      <w:jc w:val="both"/>
    </w:pPr>
    <w:rPr>
      <w:rFonts w:ascii="맑은 고딕" w:eastAsia="맑은 고딕" w:hAnsi="맑은 고딕"/>
      <w:b/>
      <w:bCs/>
      <w:kern w:val="2"/>
      <w:sz w:val="20"/>
      <w:szCs w:val="20"/>
      <w:lang w:val="en-US" w:eastAsia="ko-KR"/>
    </w:rPr>
  </w:style>
  <w:style w:type="table" w:styleId="a8">
    <w:name w:val="Table Grid"/>
    <w:basedOn w:val="a1"/>
    <w:uiPriority w:val="39"/>
    <w:rsid w:val="00250017"/>
    <w:pPr>
      <w:spacing w:after="0" w:line="240" w:lineRule="auto"/>
    </w:pPr>
    <w:rPr>
      <w:rFonts w:ascii="New York" w:eastAsia="맑은 고딕" w:hAnsi="New York"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250017"/>
    <w:pPr>
      <w:jc w:val="center"/>
    </w:pPr>
    <w:rPr>
      <w:rFonts w:ascii="Arial" w:hAnsi="Arial" w:cs="Arial"/>
      <w:noProof/>
      <w:sz w:val="14"/>
    </w:rPr>
  </w:style>
  <w:style w:type="character" w:customStyle="1" w:styleId="1Char0">
    <w:name w:val="목차 1 Char"/>
    <w:basedOn w:val="a0"/>
    <w:link w:val="10"/>
    <w:uiPriority w:val="39"/>
    <w:rsid w:val="00EF5910"/>
    <w:rPr>
      <w:rFonts w:ascii="Times New Roman" w:eastAsia="맑은 고딕" w:hAnsi="Times New Roman" w:cs="Times New Roman"/>
      <w:b/>
      <w:bCs/>
      <w:sz w:val="28"/>
      <w:szCs w:val="28"/>
    </w:rPr>
  </w:style>
  <w:style w:type="character" w:customStyle="1" w:styleId="EndNoteBibliographyTitleChar">
    <w:name w:val="EndNote Bibliography Title Char"/>
    <w:basedOn w:val="1Char0"/>
    <w:link w:val="EndNoteBibliographyTitle"/>
    <w:rsid w:val="00250017"/>
    <w:rPr>
      <w:rFonts w:ascii="Arial" w:eastAsia="MS Mincho" w:hAnsi="Arial" w:cs="Arial"/>
      <w:b w:val="0"/>
      <w:bCs w:val="0"/>
      <w:noProof/>
      <w:sz w:val="14"/>
      <w:szCs w:val="24"/>
      <w:lang w:val="de-DE" w:eastAsia="ja-JP"/>
    </w:rPr>
  </w:style>
  <w:style w:type="paragraph" w:customStyle="1" w:styleId="EndNoteBibliography">
    <w:name w:val="EndNote Bibliography"/>
    <w:basedOn w:val="a"/>
    <w:link w:val="EndNoteBibliographyChar"/>
    <w:rsid w:val="00250017"/>
    <w:pPr>
      <w:jc w:val="both"/>
    </w:pPr>
    <w:rPr>
      <w:rFonts w:ascii="Arial" w:hAnsi="Arial" w:cs="Arial"/>
      <w:noProof/>
      <w:sz w:val="14"/>
    </w:rPr>
  </w:style>
  <w:style w:type="character" w:customStyle="1" w:styleId="EndNoteBibliographyChar">
    <w:name w:val="EndNote Bibliography Char"/>
    <w:basedOn w:val="1Char0"/>
    <w:link w:val="EndNoteBibliography"/>
    <w:rsid w:val="00250017"/>
    <w:rPr>
      <w:rFonts w:ascii="Arial" w:eastAsia="MS Mincho" w:hAnsi="Arial" w:cs="Arial"/>
      <w:b w:val="0"/>
      <w:bCs w:val="0"/>
      <w:noProof/>
      <w:sz w:val="1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6E307-C9A0-45F5-8599-64EF82A4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7951</Words>
  <Characters>45322</Characters>
  <Application>Microsoft Office Word</Application>
  <DocSecurity>0</DocSecurity>
  <Lines>377</Lines>
  <Paragraphs>106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2021-01-03T08:29:00Z</dcterms:created>
  <dcterms:modified xsi:type="dcterms:W3CDTF">2021-01-03T10:18:00Z</dcterms:modified>
</cp:coreProperties>
</file>