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790EF" w14:textId="77777777" w:rsidR="00CF6222" w:rsidRPr="00F81E94" w:rsidRDefault="00CF6222" w:rsidP="00CF6222">
      <w:pPr>
        <w:spacing w:line="276" w:lineRule="auto"/>
        <w:jc w:val="center"/>
        <w:rPr>
          <w:rFonts w:ascii="Arial" w:eastAsia="Times New Roman" w:hAnsi="Arial" w:cs="Arial"/>
          <w:b/>
          <w:bCs/>
          <w:lang w:eastAsia="fr-FR"/>
        </w:rPr>
      </w:pPr>
      <w:r w:rsidRPr="00F81E94">
        <w:rPr>
          <w:rFonts w:ascii="Arial" w:eastAsia="Times New Roman" w:hAnsi="Arial" w:cs="Arial"/>
          <w:b/>
          <w:bCs/>
          <w:lang w:eastAsia="fr-FR"/>
        </w:rPr>
        <w:t>Supplementary Table 1</w:t>
      </w:r>
    </w:p>
    <w:p w14:paraId="3ACFEF46" w14:textId="77777777" w:rsidR="00CF6222" w:rsidRDefault="00CF6222" w:rsidP="00CF6222">
      <w:pPr>
        <w:spacing w:line="276" w:lineRule="auto"/>
        <w:jc w:val="both"/>
        <w:rPr>
          <w:rFonts w:ascii="Arial" w:eastAsia="Times New Roman" w:hAnsi="Arial" w:cs="Arial"/>
          <w:lang w:eastAsia="fr-FR"/>
        </w:rPr>
      </w:pPr>
      <w:r w:rsidRPr="00384FC1">
        <w:rPr>
          <w:rFonts w:ascii="Arial" w:hAnsi="Arial" w:cs="Arial"/>
          <w:b/>
          <w:bCs/>
        </w:rPr>
        <w:t xml:space="preserve">Supp. </w:t>
      </w:r>
      <w:r>
        <w:rPr>
          <w:rFonts w:ascii="Arial" w:hAnsi="Arial" w:cs="Arial"/>
          <w:b/>
          <w:bCs/>
        </w:rPr>
        <w:t>Table</w:t>
      </w:r>
      <w:r w:rsidRPr="00384FC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1</w:t>
      </w:r>
      <w:r w:rsidRPr="00384FC1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Immunoglobulins chains and Cluster of differentiation markers expression analyses in </w:t>
      </w:r>
      <w:proofErr w:type="spellStart"/>
      <w:r>
        <w:rPr>
          <w:rFonts w:ascii="Arial" w:hAnsi="Arial" w:cs="Arial"/>
        </w:rPr>
        <w:t>RNAseq</w:t>
      </w:r>
      <w:proofErr w:type="spellEnd"/>
      <w:r>
        <w:rPr>
          <w:rFonts w:ascii="Arial" w:hAnsi="Arial" w:cs="Arial"/>
        </w:rPr>
        <w:t xml:space="preserve"> libraries from of Dorsal Root Ganglion explant and primary culture of DRG neurons.</w:t>
      </w:r>
    </w:p>
    <w:p w14:paraId="561B3116" w14:textId="77777777" w:rsidR="00CF6222" w:rsidRDefault="00CF6222" w:rsidP="00CF6222">
      <w:pPr>
        <w:spacing w:line="276" w:lineRule="auto"/>
        <w:jc w:val="center"/>
        <w:rPr>
          <w:rFonts w:ascii="Arial" w:eastAsia="Times New Roman" w:hAnsi="Arial" w:cs="Arial"/>
          <w:lang w:eastAsia="fr-FR"/>
        </w:rPr>
      </w:pPr>
    </w:p>
    <w:p w14:paraId="6C36FEF8" w14:textId="77777777" w:rsidR="00CF6222" w:rsidRDefault="00CF6222" w:rsidP="00CF6222">
      <w:pPr>
        <w:spacing w:line="276" w:lineRule="auto"/>
        <w:jc w:val="both"/>
        <w:rPr>
          <w:rFonts w:ascii="Arial" w:eastAsia="Times New Roman" w:hAnsi="Arial" w:cs="Arial"/>
          <w:lang w:eastAsia="fr-FR"/>
        </w:rPr>
      </w:pPr>
      <w:r w:rsidRPr="00471EE7">
        <w:rPr>
          <w:noProof/>
          <w:lang w:val="fr-FR" w:eastAsia="fr-FR"/>
        </w:rPr>
        <w:drawing>
          <wp:inline distT="0" distB="0" distL="0" distR="0" wp14:anchorId="0BE169EE" wp14:editId="61A97838">
            <wp:extent cx="2628900" cy="467803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91" cy="46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521A" w14:textId="77777777" w:rsidR="00CF6222" w:rsidRDefault="00CF6222" w:rsidP="00CF6222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C723FB">
        <w:rPr>
          <w:rFonts w:ascii="Arial" w:hAnsi="Arial" w:cs="Arial"/>
          <w:b/>
          <w:bCs/>
        </w:rPr>
        <w:lastRenderedPageBreak/>
        <w:t>Supplementary Figures</w:t>
      </w:r>
    </w:p>
    <w:p w14:paraId="7CBA7965" w14:textId="77777777" w:rsidR="00CF6222" w:rsidRDefault="00CF6222" w:rsidP="00CF6222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18D0229C" w14:textId="77777777" w:rsidR="00CF6222" w:rsidRDefault="00CF6222" w:rsidP="00CF6222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03CC8B86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  <w:r w:rsidRPr="00443DAE">
        <w:rPr>
          <w:rFonts w:ascii="Arial" w:hAnsi="Arial" w:cs="Arial"/>
          <w:noProof/>
          <w:lang w:val="fr-FR" w:eastAsia="fr-FR"/>
        </w:rPr>
        <w:drawing>
          <wp:inline distT="0" distB="0" distL="0" distR="0" wp14:anchorId="3D75F55A" wp14:editId="715264F2">
            <wp:extent cx="5733415" cy="4210050"/>
            <wp:effectExtent l="0" t="0" r="0" b="0"/>
            <wp:docPr id="23" name="Imag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picture containing text&#10;&#10;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46C8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06D53BDB" w14:textId="77777777" w:rsidR="00CF6222" w:rsidRPr="00384FC1" w:rsidRDefault="00CF6222" w:rsidP="00CF6222">
      <w:pPr>
        <w:spacing w:after="0" w:line="276" w:lineRule="auto"/>
        <w:rPr>
          <w:rFonts w:ascii="Arial" w:hAnsi="Arial" w:cs="Arial"/>
        </w:rPr>
      </w:pPr>
    </w:p>
    <w:p w14:paraId="3D65E1D4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  <w:r w:rsidRPr="00384FC1">
        <w:rPr>
          <w:rFonts w:ascii="Arial" w:hAnsi="Arial" w:cs="Arial"/>
          <w:b/>
          <w:bCs/>
        </w:rPr>
        <w:t xml:space="preserve">Supp. Figure </w:t>
      </w:r>
      <w:r>
        <w:rPr>
          <w:rFonts w:ascii="Arial" w:hAnsi="Arial" w:cs="Arial"/>
          <w:b/>
          <w:bCs/>
        </w:rPr>
        <w:t>1</w:t>
      </w:r>
      <w:r w:rsidRPr="00384FC1">
        <w:rPr>
          <w:rFonts w:ascii="Arial" w:hAnsi="Arial" w:cs="Arial"/>
        </w:rPr>
        <w:t xml:space="preserve">: </w:t>
      </w:r>
      <w:r w:rsidRPr="00CF2A1E">
        <w:rPr>
          <w:rFonts w:ascii="Arial" w:hAnsi="Arial" w:cs="Arial"/>
          <w:b/>
        </w:rPr>
        <w:t>A)</w:t>
      </w:r>
      <w:r w:rsidRPr="00384FC1">
        <w:rPr>
          <w:rFonts w:ascii="Arial" w:hAnsi="Arial" w:cs="Arial"/>
        </w:rPr>
        <w:t xml:space="preserve"> mRNA expression of IgG</w:t>
      </w:r>
      <w:r>
        <w:rPr>
          <w:rFonts w:ascii="Arial" w:hAnsi="Arial" w:cs="Arial"/>
        </w:rPr>
        <w:t xml:space="preserve">3, </w:t>
      </w:r>
      <w:r>
        <w:rPr>
          <w:rFonts w:ascii="Arial" w:hAnsi="Arial" w:cs="Arial"/>
          <w:b/>
        </w:rPr>
        <w:t>B</w:t>
      </w:r>
      <w:r w:rsidRPr="00CF2A1E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IgH-Vs107, </w:t>
      </w:r>
      <w:r>
        <w:rPr>
          <w:rFonts w:ascii="Arial" w:hAnsi="Arial" w:cs="Arial"/>
          <w:b/>
        </w:rPr>
        <w:t>C</w:t>
      </w:r>
      <w:r w:rsidRPr="00CF2A1E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CD32b and </w:t>
      </w:r>
      <w:r>
        <w:rPr>
          <w:rFonts w:ascii="Arial" w:hAnsi="Arial" w:cs="Arial"/>
          <w:b/>
        </w:rPr>
        <w:t>D</w:t>
      </w:r>
      <w:r w:rsidRPr="00CF2A1E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CD16</w:t>
      </w:r>
      <w:r w:rsidRPr="00384F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</w:t>
      </w:r>
      <w:r w:rsidRPr="00384FC1">
        <w:rPr>
          <w:rFonts w:ascii="Arial" w:hAnsi="Arial" w:cs="Arial"/>
        </w:rPr>
        <w:t>Hippocampus and in Cerebellum of mice according to All</w:t>
      </w:r>
      <w:r>
        <w:rPr>
          <w:rFonts w:ascii="Arial" w:hAnsi="Arial" w:cs="Arial"/>
        </w:rPr>
        <w:t>en Brain atlas, mRNA expression.</w:t>
      </w:r>
    </w:p>
    <w:p w14:paraId="08954E5F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62EC4982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  <w:r w:rsidRPr="00324752">
        <w:rPr>
          <w:rFonts w:ascii="Arial" w:hAnsi="Arial" w:cs="Arial"/>
          <w:noProof/>
          <w:lang w:val="fr-FR" w:eastAsia="fr-FR"/>
        </w:rPr>
        <w:lastRenderedPageBreak/>
        <w:drawing>
          <wp:inline distT="0" distB="0" distL="0" distR="0" wp14:anchorId="00F77D4C" wp14:editId="318E76F2">
            <wp:extent cx="5733415" cy="3926840"/>
            <wp:effectExtent l="0" t="0" r="0" b="0"/>
            <wp:docPr id="24" name="Imag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Diagram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E682" w14:textId="77777777" w:rsidR="00CF6222" w:rsidRDefault="00CF6222" w:rsidP="00CF6222">
      <w:pPr>
        <w:spacing w:after="0" w:line="276" w:lineRule="auto"/>
        <w:rPr>
          <w:rFonts w:ascii="Arial" w:hAnsi="Arial" w:cs="Arial"/>
          <w:b/>
          <w:bCs/>
        </w:rPr>
      </w:pPr>
    </w:p>
    <w:p w14:paraId="58B3BA61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  <w:r w:rsidRPr="00384FC1">
        <w:rPr>
          <w:rFonts w:ascii="Arial" w:hAnsi="Arial" w:cs="Arial"/>
          <w:b/>
          <w:bCs/>
        </w:rPr>
        <w:t xml:space="preserve">Supp. Figure </w:t>
      </w:r>
      <w:r>
        <w:rPr>
          <w:rFonts w:ascii="Arial" w:hAnsi="Arial" w:cs="Arial"/>
          <w:b/>
          <w:bCs/>
        </w:rPr>
        <w:t>2</w:t>
      </w:r>
      <w:r w:rsidRPr="00384FC1">
        <w:rPr>
          <w:rFonts w:ascii="Arial" w:hAnsi="Arial" w:cs="Arial"/>
        </w:rPr>
        <w:t>: A) mRNA expression of IgG</w:t>
      </w:r>
      <w:r>
        <w:rPr>
          <w:rFonts w:ascii="Arial" w:hAnsi="Arial" w:cs="Arial"/>
        </w:rPr>
        <w:t>3</w:t>
      </w:r>
      <w:r w:rsidRPr="00384FC1">
        <w:rPr>
          <w:rFonts w:ascii="Arial" w:hAnsi="Arial" w:cs="Arial"/>
        </w:rPr>
        <w:t xml:space="preserve"> in spinal cord; of mice according to Allen Brain atlas, mRNA expression</w:t>
      </w:r>
      <w:r>
        <w:rPr>
          <w:rFonts w:ascii="Arial" w:hAnsi="Arial" w:cs="Arial"/>
        </w:rPr>
        <w:t>.</w:t>
      </w:r>
      <w:r w:rsidRPr="00384FC1">
        <w:rPr>
          <w:rFonts w:ascii="Arial" w:hAnsi="Arial" w:cs="Arial"/>
        </w:rPr>
        <w:t xml:space="preserve"> </w:t>
      </w:r>
    </w:p>
    <w:p w14:paraId="0201FB13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2109C798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0F3AD4D6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5F03CC37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2FBE35D8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2F246D78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238871CE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4482C42D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67ACD21B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  <w:r w:rsidRPr="006B4CFC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4175ED71" wp14:editId="6422F0F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344048" cy="3387255"/>
            <wp:effectExtent l="19050" t="0" r="8752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69" cy="33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0534E4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1ECAFBED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6C2F788E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7430C808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0E76E334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01F704F5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7C85CDEB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3439A2F1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222CB79E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288CE77D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40997E00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5B83ACCD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65891667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572D56C4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016685E2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552AD90F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67D609DC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19453A6E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2B83EF7B" wp14:editId="7F8705CA">
            <wp:simplePos x="0" y="0"/>
            <wp:positionH relativeFrom="margin">
              <wp:align>center</wp:align>
            </wp:positionH>
            <wp:positionV relativeFrom="paragraph">
              <wp:posOffset>85614</wp:posOffset>
            </wp:positionV>
            <wp:extent cx="1940119" cy="461176"/>
            <wp:effectExtent l="0" t="0" r="0" b="0"/>
            <wp:wrapNone/>
            <wp:docPr id="12" name="Imag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9" descr="Graphical user interface&#10;&#10;Description automatically generated"/>
                    <pic:cNvPicPr/>
                  </pic:nvPicPr>
                  <pic:blipFill rotWithShape="1">
                    <a:blip r:embed="rId8" cstate="print"/>
                    <a:srcRect t="85179" r="71184" b="4461"/>
                    <a:stretch/>
                  </pic:blipFill>
                  <pic:spPr bwMode="auto">
                    <a:xfrm>
                      <a:off x="0" y="0"/>
                      <a:ext cx="1940119" cy="46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DF4AF5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044B46F0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56ED25ED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62D4CC8A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18B7A300" w14:textId="77777777" w:rsidR="00CF6222" w:rsidRPr="00C723FB" w:rsidRDefault="00CF6222" w:rsidP="00CF6222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384FC1">
        <w:rPr>
          <w:rFonts w:ascii="Arial" w:hAnsi="Arial" w:cs="Arial"/>
          <w:b/>
          <w:bCs/>
        </w:rPr>
        <w:t xml:space="preserve">Supp. Figure </w:t>
      </w:r>
      <w:r>
        <w:rPr>
          <w:rFonts w:ascii="Arial" w:hAnsi="Arial" w:cs="Arial"/>
          <w:b/>
          <w:bCs/>
        </w:rPr>
        <w:t>3</w:t>
      </w:r>
      <w:r w:rsidRPr="00384FC1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bookmarkStart w:id="0" w:name="_Hlk95123008"/>
      <w:r>
        <w:rPr>
          <w:rFonts w:ascii="Arial" w:hAnsi="Arial" w:cs="Arial"/>
        </w:rPr>
        <w:t xml:space="preserve">Heatmap </w:t>
      </w:r>
      <w:r w:rsidRPr="00E45038">
        <w:rPr>
          <w:rFonts w:ascii="Arial" w:hAnsi="Arial" w:cs="Arial"/>
          <w:bCs/>
        </w:rPr>
        <w:t xml:space="preserve">illustrating hierarchical clustering obtained after analysis of digested peptides isolated </w:t>
      </w:r>
      <w:r>
        <w:rPr>
          <w:rFonts w:ascii="Arial" w:hAnsi="Arial" w:cs="Arial"/>
          <w:bCs/>
        </w:rPr>
        <w:t>from</w:t>
      </w:r>
      <w:r w:rsidRPr="002D5BFF">
        <w:rPr>
          <w:rFonts w:ascii="Arial" w:hAnsi="Arial" w:cs="Arial"/>
        </w:rPr>
        <w:t xml:space="preserve"> rostral, caudal and lesion segments collected 12h after lesion with or without treatment with </w:t>
      </w:r>
      <w:proofErr w:type="spellStart"/>
      <w:r w:rsidRPr="002D5BFF">
        <w:rPr>
          <w:rFonts w:ascii="Arial" w:hAnsi="Arial" w:cs="Arial"/>
        </w:rPr>
        <w:t>RhoA</w:t>
      </w:r>
      <w:proofErr w:type="spellEnd"/>
      <w:r w:rsidRPr="002D5BFF">
        <w:rPr>
          <w:rFonts w:ascii="Arial" w:hAnsi="Arial" w:cs="Arial"/>
        </w:rPr>
        <w:t xml:space="preserve"> inhibitor</w:t>
      </w:r>
      <w:r>
        <w:rPr>
          <w:rFonts w:ascii="Arial" w:hAnsi="Arial" w:cs="Arial"/>
        </w:rPr>
        <w:t xml:space="preserve">. </w:t>
      </w:r>
      <w:r w:rsidRPr="00E45038">
        <w:rPr>
          <w:rFonts w:ascii="Arial" w:hAnsi="Arial" w:cs="Arial"/>
          <w:bCs/>
        </w:rPr>
        <w:t xml:space="preserve">Cluster 1 corresponds to the inflammatory proteins </w:t>
      </w:r>
      <w:r>
        <w:rPr>
          <w:rFonts w:ascii="Arial" w:hAnsi="Arial" w:cs="Arial"/>
          <w:bCs/>
        </w:rPr>
        <w:t xml:space="preserve">and immunoglobulins. </w:t>
      </w:r>
      <w:r w:rsidRPr="00E45038">
        <w:rPr>
          <w:rFonts w:ascii="Arial" w:hAnsi="Arial" w:cs="Arial"/>
          <w:bCs/>
        </w:rPr>
        <w:t xml:space="preserve">Cluster 2 </w:t>
      </w:r>
      <w:r>
        <w:rPr>
          <w:rFonts w:ascii="Arial" w:hAnsi="Arial" w:cs="Arial"/>
          <w:bCs/>
        </w:rPr>
        <w:t xml:space="preserve">contains proteins involved in </w:t>
      </w:r>
      <w:r w:rsidRPr="00783BC6">
        <w:rPr>
          <w:rFonts w:ascii="ArialMT" w:hAnsi="ArialMT" w:cs="ArialMT"/>
        </w:rPr>
        <w:t>synaptogenesis and C</w:t>
      </w:r>
      <w:r w:rsidRPr="00E45038">
        <w:rPr>
          <w:rFonts w:ascii="Arial" w:hAnsi="Arial" w:cs="Arial"/>
          <w:bCs/>
        </w:rPr>
        <w:t xml:space="preserve">luster </w:t>
      </w:r>
      <w:proofErr w:type="gramStart"/>
      <w:r w:rsidRPr="00E45038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>,</w:t>
      </w:r>
      <w:proofErr w:type="gramEnd"/>
      <w:r w:rsidRPr="00E4503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proteins involved in neurite outgrowth.</w:t>
      </w:r>
    </w:p>
    <w:bookmarkEnd w:id="0"/>
    <w:p w14:paraId="57F4FACF" w14:textId="77777777" w:rsidR="00CF6222" w:rsidRDefault="00CF6222" w:rsidP="00CF6222">
      <w:pPr>
        <w:spacing w:after="0" w:line="276" w:lineRule="auto"/>
        <w:rPr>
          <w:rFonts w:ascii="Arial" w:hAnsi="Arial" w:cs="Arial"/>
        </w:rPr>
      </w:pPr>
    </w:p>
    <w:p w14:paraId="6C46BFCC" w14:textId="77777777" w:rsidR="00CF6222" w:rsidRDefault="00CF6222" w:rsidP="00CF6222">
      <w:pPr>
        <w:spacing w:line="276" w:lineRule="auto"/>
        <w:jc w:val="both"/>
        <w:rPr>
          <w:rFonts w:ascii="Arial" w:hAnsi="Arial" w:cs="Arial"/>
        </w:rPr>
      </w:pPr>
      <w:r w:rsidRPr="00384FC1">
        <w:rPr>
          <w:rFonts w:ascii="Arial" w:hAnsi="Arial" w:cs="Arial"/>
          <w:noProof/>
          <w:lang w:val="fr-FR" w:eastAsia="fr-FR"/>
        </w:rPr>
        <w:lastRenderedPageBreak/>
        <w:drawing>
          <wp:inline distT="0" distB="0" distL="0" distR="0" wp14:anchorId="79F61ADA" wp14:editId="717122CA">
            <wp:extent cx="5860415" cy="3555187"/>
            <wp:effectExtent l="0" t="0" r="0" b="0"/>
            <wp:docPr id="48" name="Graphique 48">
              <a:extLst xmlns:a="http://schemas.openxmlformats.org/drawingml/2006/main">
                <a:ext uri="{FF2B5EF4-FFF2-40B4-BE49-F238E27FC236}">
                  <a16:creationId xmlns:a16="http://schemas.microsoft.com/office/drawing/2014/main" id="{D8F10BCF-6A9D-4D0F-AD97-DF58FC961B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138E4D3" w14:textId="77777777" w:rsidR="00CF6222" w:rsidRPr="00384FC1" w:rsidRDefault="00CF6222" w:rsidP="00CF6222">
      <w:pPr>
        <w:spacing w:line="276" w:lineRule="auto"/>
        <w:jc w:val="both"/>
        <w:rPr>
          <w:rFonts w:ascii="Arial" w:hAnsi="Arial" w:cs="Arial"/>
        </w:rPr>
      </w:pPr>
    </w:p>
    <w:p w14:paraId="2EAF6C43" w14:textId="77777777" w:rsidR="00CF6222" w:rsidRDefault="00CF6222" w:rsidP="00CF6222">
      <w:pPr>
        <w:spacing w:line="276" w:lineRule="auto"/>
        <w:jc w:val="both"/>
        <w:rPr>
          <w:rFonts w:ascii="Arial" w:hAnsi="Arial" w:cs="Arial"/>
          <w:bCs/>
          <w:iCs/>
        </w:rPr>
      </w:pPr>
      <w:r w:rsidRPr="00384FC1">
        <w:rPr>
          <w:rFonts w:ascii="Arial" w:hAnsi="Arial" w:cs="Arial"/>
          <w:b/>
          <w:bCs/>
        </w:rPr>
        <w:t xml:space="preserve">Supp. Figure </w:t>
      </w:r>
      <w:r>
        <w:rPr>
          <w:rFonts w:ascii="Arial" w:hAnsi="Arial" w:cs="Arial"/>
          <w:b/>
          <w:bCs/>
        </w:rPr>
        <w:t>4</w:t>
      </w:r>
      <w:r w:rsidRPr="00384FC1">
        <w:rPr>
          <w:rFonts w:ascii="Arial" w:hAnsi="Arial" w:cs="Arial"/>
        </w:rPr>
        <w:t xml:space="preserve">: </w:t>
      </w:r>
      <w:r w:rsidRPr="00384FC1">
        <w:rPr>
          <w:rFonts w:ascii="Arial" w:hAnsi="Arial" w:cs="Arial"/>
          <w:bCs/>
          <w:iCs/>
        </w:rPr>
        <w:t xml:space="preserve">Rodent mRNA species after NGS sequencing showing the highest fold changes in EAE spinal astrocytes as compared to control spinal cord astrocytes </w:t>
      </w:r>
      <w:proofErr w:type="spellStart"/>
      <w:proofErr w:type="gramStart"/>
      <w:r w:rsidRPr="00384FC1">
        <w:rPr>
          <w:rFonts w:ascii="Arial" w:hAnsi="Arial" w:cs="Arial"/>
          <w:bCs/>
          <w:iCs/>
        </w:rPr>
        <w:t>IgHa</w:t>
      </w:r>
      <w:proofErr w:type="spellEnd"/>
      <w:r w:rsidRPr="00384FC1">
        <w:rPr>
          <w:rFonts w:ascii="Arial" w:hAnsi="Arial" w:cs="Arial"/>
          <w:bCs/>
          <w:iCs/>
        </w:rPr>
        <w:t xml:space="preserve"> ,</w:t>
      </w:r>
      <w:proofErr w:type="gramEnd"/>
      <w:r w:rsidRPr="00384FC1">
        <w:rPr>
          <w:rFonts w:ascii="Arial" w:hAnsi="Arial" w:cs="Arial"/>
          <w:bCs/>
          <w:iCs/>
        </w:rPr>
        <w:t xml:space="preserve"> </w:t>
      </w:r>
      <w:proofErr w:type="spellStart"/>
      <w:r w:rsidRPr="00384FC1">
        <w:rPr>
          <w:rFonts w:ascii="Arial" w:hAnsi="Arial" w:cs="Arial"/>
          <w:bCs/>
          <w:iCs/>
        </w:rPr>
        <w:t>IgKappa</w:t>
      </w:r>
      <w:proofErr w:type="spellEnd"/>
      <w:r w:rsidRPr="00384FC1">
        <w:rPr>
          <w:rFonts w:ascii="Arial" w:hAnsi="Arial" w:cs="Arial"/>
          <w:bCs/>
          <w:iCs/>
        </w:rPr>
        <w:t xml:space="preserve"> c, J Chain and CD32b have been identified in astrocytes from </w:t>
      </w:r>
      <w:r>
        <w:rPr>
          <w:rFonts w:ascii="Arial" w:hAnsi="Arial" w:cs="Arial"/>
          <w:bCs/>
          <w:iCs/>
        </w:rPr>
        <w:t>spinal</w:t>
      </w:r>
      <w:r w:rsidRPr="00384FC1">
        <w:rPr>
          <w:rFonts w:ascii="Arial" w:hAnsi="Arial" w:cs="Arial"/>
          <w:bCs/>
          <w:iCs/>
        </w:rPr>
        <w:t xml:space="preserve"> cord and Cortex.</w:t>
      </w:r>
    </w:p>
    <w:p w14:paraId="1AD918B0" w14:textId="77777777" w:rsidR="00CF6222" w:rsidRDefault="00CF6222" w:rsidP="00CF622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594E351" w14:textId="77777777" w:rsidR="00CF6222" w:rsidRDefault="00CF6222" w:rsidP="00CF6222">
      <w:pPr>
        <w:spacing w:line="276" w:lineRule="auto"/>
        <w:jc w:val="both"/>
        <w:rPr>
          <w:rFonts w:ascii="Arial" w:hAnsi="Arial" w:cs="Arial"/>
        </w:rPr>
      </w:pPr>
    </w:p>
    <w:p w14:paraId="7308E4DF" w14:textId="77777777" w:rsidR="00D80A8D" w:rsidRDefault="00D80A8D"/>
    <w:sectPr w:rsidR="00D80A8D" w:rsidSect="009B3DF6">
      <w:pgSz w:w="16834" w:h="11909" w:orient="landscape" w:code="9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222"/>
    <w:rsid w:val="00CF6222"/>
    <w:rsid w:val="00D8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4CF70"/>
  <w15:chartTrackingRefBased/>
  <w15:docId w15:val="{E86A7DEC-DE39-496F-AF3E-DDC2BFE30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salz\Dropbox\2018\Publication\Article\Classeur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222627991771726E-2"/>
          <c:y val="0.12622185271143041"/>
          <c:w val="0.94177737200822964"/>
          <c:h val="0.814691019609479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Feuil1!$B$2</c:f>
              <c:strCache>
                <c:ptCount val="1"/>
                <c:pt idx="0">
                  <c:v>IgHa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Feuil1!$A$3:$A$8</c:f>
              <c:strCache>
                <c:ptCount val="6"/>
                <c:pt idx="0">
                  <c:v>SC-All</c:v>
                </c:pt>
                <c:pt idx="1">
                  <c:v>SC-astro</c:v>
                </c:pt>
                <c:pt idx="2">
                  <c:v>Cb-ast</c:v>
                </c:pt>
                <c:pt idx="3">
                  <c:v>Crx-astr</c:v>
                </c:pt>
                <c:pt idx="4">
                  <c:v>Hippo-astr</c:v>
                </c:pt>
                <c:pt idx="5">
                  <c:v>ON-astr</c:v>
                </c:pt>
              </c:strCache>
            </c:strRef>
          </c:cat>
          <c:val>
            <c:numRef>
              <c:f>Feuil1!$B$3:$B$8</c:f>
              <c:numCache>
                <c:formatCode>General</c:formatCode>
                <c:ptCount val="6"/>
                <c:pt idx="0">
                  <c:v>14.22</c:v>
                </c:pt>
                <c:pt idx="1">
                  <c:v>14.03</c:v>
                </c:pt>
                <c:pt idx="2">
                  <c:v>11.98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30-4BA7-9C4A-720A6E889233}"/>
            </c:ext>
          </c:extLst>
        </c:ser>
        <c:ser>
          <c:idx val="1"/>
          <c:order val="1"/>
          <c:tx>
            <c:strRef>
              <c:f>Feuil1!$C$2</c:f>
              <c:strCache>
                <c:ptCount val="1"/>
                <c:pt idx="0">
                  <c:v>Igkc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Feuil1!$A$3:$A$8</c:f>
              <c:strCache>
                <c:ptCount val="6"/>
                <c:pt idx="0">
                  <c:v>SC-All</c:v>
                </c:pt>
                <c:pt idx="1">
                  <c:v>SC-astro</c:v>
                </c:pt>
                <c:pt idx="2">
                  <c:v>Cb-ast</c:v>
                </c:pt>
                <c:pt idx="3">
                  <c:v>Crx-astr</c:v>
                </c:pt>
                <c:pt idx="4">
                  <c:v>Hippo-astr</c:v>
                </c:pt>
                <c:pt idx="5">
                  <c:v>ON-astr</c:v>
                </c:pt>
              </c:strCache>
            </c:strRef>
          </c:cat>
          <c:val>
            <c:numRef>
              <c:f>Feuil1!$C$3:$C$8</c:f>
              <c:numCache>
                <c:formatCode>General</c:formatCode>
                <c:ptCount val="6"/>
                <c:pt idx="0">
                  <c:v>13.63</c:v>
                </c:pt>
                <c:pt idx="1">
                  <c:v>7.23</c:v>
                </c:pt>
                <c:pt idx="2">
                  <c:v>9.0400000000000009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30-4BA7-9C4A-720A6E889233}"/>
            </c:ext>
          </c:extLst>
        </c:ser>
        <c:ser>
          <c:idx val="2"/>
          <c:order val="2"/>
          <c:tx>
            <c:strRef>
              <c:f>Feuil1!$D$2</c:f>
              <c:strCache>
                <c:ptCount val="1"/>
                <c:pt idx="0">
                  <c:v>Ighg2c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Feuil1!$A$3:$A$8</c:f>
              <c:strCache>
                <c:ptCount val="6"/>
                <c:pt idx="0">
                  <c:v>SC-All</c:v>
                </c:pt>
                <c:pt idx="1">
                  <c:v>SC-astro</c:v>
                </c:pt>
                <c:pt idx="2">
                  <c:v>Cb-ast</c:v>
                </c:pt>
                <c:pt idx="3">
                  <c:v>Crx-astr</c:v>
                </c:pt>
                <c:pt idx="4">
                  <c:v>Hippo-astr</c:v>
                </c:pt>
                <c:pt idx="5">
                  <c:v>ON-astr</c:v>
                </c:pt>
              </c:strCache>
            </c:strRef>
          </c:cat>
          <c:val>
            <c:numRef>
              <c:f>Feuil1!$D$3:$D$8</c:f>
              <c:numCache>
                <c:formatCode>General</c:formatCode>
                <c:ptCount val="6"/>
                <c:pt idx="0">
                  <c:v>8.4500000000000028</c:v>
                </c:pt>
                <c:pt idx="1">
                  <c:v>9.2100000000000009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30-4BA7-9C4A-720A6E889233}"/>
            </c:ext>
          </c:extLst>
        </c:ser>
        <c:ser>
          <c:idx val="3"/>
          <c:order val="3"/>
          <c:tx>
            <c:strRef>
              <c:f>Feuil1!$E$2</c:f>
              <c:strCache>
                <c:ptCount val="1"/>
                <c:pt idx="0">
                  <c:v>Jchain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Feuil1!$A$3:$A$8</c:f>
              <c:strCache>
                <c:ptCount val="6"/>
                <c:pt idx="0">
                  <c:v>SC-All</c:v>
                </c:pt>
                <c:pt idx="1">
                  <c:v>SC-astro</c:v>
                </c:pt>
                <c:pt idx="2">
                  <c:v>Cb-ast</c:v>
                </c:pt>
                <c:pt idx="3">
                  <c:v>Crx-astr</c:v>
                </c:pt>
                <c:pt idx="4">
                  <c:v>Hippo-astr</c:v>
                </c:pt>
                <c:pt idx="5">
                  <c:v>ON-astr</c:v>
                </c:pt>
              </c:strCache>
            </c:strRef>
          </c:cat>
          <c:val>
            <c:numRef>
              <c:f>Feuil1!$E$3:$E$8</c:f>
              <c:numCache>
                <c:formatCode>General</c:formatCode>
                <c:ptCount val="6"/>
                <c:pt idx="0">
                  <c:v>6.94</c:v>
                </c:pt>
                <c:pt idx="1">
                  <c:v>3.17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30-4BA7-9C4A-720A6E889233}"/>
            </c:ext>
          </c:extLst>
        </c:ser>
        <c:ser>
          <c:idx val="4"/>
          <c:order val="4"/>
          <c:tx>
            <c:strRef>
              <c:f>Feuil1!$F$2</c:f>
              <c:strCache>
                <c:ptCount val="1"/>
                <c:pt idx="0">
                  <c:v>Fcgr2b (CD32b)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Feuil1!$A$3:$A$8</c:f>
              <c:strCache>
                <c:ptCount val="6"/>
                <c:pt idx="0">
                  <c:v>SC-All</c:v>
                </c:pt>
                <c:pt idx="1">
                  <c:v>SC-astro</c:v>
                </c:pt>
                <c:pt idx="2">
                  <c:v>Cb-ast</c:v>
                </c:pt>
                <c:pt idx="3">
                  <c:v>Crx-astr</c:v>
                </c:pt>
                <c:pt idx="4">
                  <c:v>Hippo-astr</c:v>
                </c:pt>
                <c:pt idx="5">
                  <c:v>ON-astr</c:v>
                </c:pt>
              </c:strCache>
            </c:strRef>
          </c:cat>
          <c:val>
            <c:numRef>
              <c:f>Feuil1!$F$3:$F$8</c:f>
              <c:numCache>
                <c:formatCode>General</c:formatCode>
                <c:ptCount val="6"/>
                <c:pt idx="0">
                  <c:v>3.07</c:v>
                </c:pt>
                <c:pt idx="1">
                  <c:v>5.29</c:v>
                </c:pt>
                <c:pt idx="2">
                  <c:v>5.0199999999999996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30-4BA7-9C4A-720A6E8892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553792"/>
        <c:axId val="113555328"/>
      </c:barChart>
      <c:catAx>
        <c:axId val="11355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55328"/>
        <c:crosses val="autoZero"/>
        <c:auto val="1"/>
        <c:lblAlgn val="ctr"/>
        <c:lblOffset val="100"/>
        <c:noMultiLvlLbl val="0"/>
      </c:catAx>
      <c:valAx>
        <c:axId val="11355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5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220617481867758"/>
          <c:y val="2.543512446796244E-2"/>
          <c:w val="0.47558747972626564"/>
          <c:h val="6.70978851301639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1</cp:revision>
  <dcterms:created xsi:type="dcterms:W3CDTF">2022-02-11T19:19:00Z</dcterms:created>
  <dcterms:modified xsi:type="dcterms:W3CDTF">2022-02-11T19:19:00Z</dcterms:modified>
</cp:coreProperties>
</file>