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D0" w:rsidRPr="0095175F" w:rsidRDefault="00C70067" w:rsidP="00E135D0">
      <w:pPr>
        <w:pStyle w:val="Caption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</w:t>
      </w:r>
      <w:r w:rsidRPr="0095175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A</w:t>
      </w:r>
      <w:r w:rsidR="00E1448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1</w:t>
      </w:r>
      <w:r w:rsidR="00E135D0" w:rsidRPr="0095175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: Pesticide active </w:t>
      </w:r>
      <w:r w:rsidR="00E135D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i</w:t>
      </w:r>
      <w:r w:rsidR="00E135D0" w:rsidRPr="0095175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ngredients analysed in fruits and vegetables categorized by class, use and WHO classification. 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3280"/>
        <w:gridCol w:w="3140"/>
        <w:gridCol w:w="1620"/>
        <w:gridCol w:w="2160"/>
      </w:tblGrid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Pesticide Active Ingredient 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Main Use 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WHO classification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Dithiocarbamates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 xml:space="preserve">Diothiocarbamates 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Omethoate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Methamidophos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Acephate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Monocrotophos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Vamidothion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Dimethoate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Mevinphos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Phosphamidon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Fonofos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Azamethiphos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Dichlorvos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Malaoxon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Methidathion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Azinphosmethyl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Malathion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Methacrifos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Propetamophos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Triazophos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Mecarbam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Azinphosethyl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Isofenphosmethyl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Ethoprophos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Fenamiphos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Quinalphos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Coumaphos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Chlorfenvinphos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Chlorpyriphos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-methyl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Temephos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Profenofos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Terbufos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Ethion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Phosalone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Pirimiphosmethyl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Fenitrothion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Chlorpyriphos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Diazinon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Aminocarb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Methomyl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Aldicarb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Butocarboxim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Aldicarbfragment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Pirimicarb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Dioxacarb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Carbaryl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Carbofuran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Thiodicarb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 xml:space="preserve">Methiocarb 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Mercaptodimethur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Alanycarb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Benfuracarb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Carbosulfan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Methiocarb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Imidacloprid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Acetamiprid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Thiacloprid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Bifenthrin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LambdaCyhalothrin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Deltamethrin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Cypermethrin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PY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Ethirimol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Pyrimidinol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Glyphosate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Phosphonoglycine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Carbendazim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Benzimidazole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Carboxin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Oxathiin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Imazalil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 xml:space="preserve">O (Imidazole 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Diuron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Phenylamide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Metazachlor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(Chloroacetamide)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Metalaxyl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Phenylamide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Azaconazole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Triazole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Dimethachlor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(Chloroacetamide)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Clomazone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Isoxazolidinone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Azoxystrobin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Strobilurin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Pyrimethanil</w:t>
            </w:r>
            <w:proofErr w:type="spellEnd"/>
          </w:p>
        </w:tc>
        <w:tc>
          <w:tcPr>
            <w:tcW w:w="3140" w:type="dxa"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 xml:space="preserve">O ( Anilinopyrimidine 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Fludioxonil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Phenylpyrrole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BosclidNicobifen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Carboxamide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Triadimenol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Triazole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Spirotetramat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Tetramic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 xml:space="preserve"> acid)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Fenhexamid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Hydroxyanilide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Fenarimol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 xml:space="preserve">O (Pyrimidine) 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Fipronil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Phenylpyrazole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Bupirimate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Pyrimidinol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Flubendiamide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(Benzene-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dicarboxamide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Metolachlor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 xml:space="preserve">O (Chloroacetamide) 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Cyprodinil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(Anilinopyrimidine)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Benalaxyl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Acylamino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 xml:space="preserve"> acid)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Prochloraz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(Imidazole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Metconazole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Triazole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Fluazifop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Aryloxyphenoxypropionate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Diniconazole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Triazole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Flufenoxuron</w:t>
            </w:r>
          </w:p>
        </w:tc>
        <w:tc>
          <w:tcPr>
            <w:tcW w:w="3140" w:type="dxa"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 Benzoylurea)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Pyriproxyfen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(Unclassified)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Quinoxyfen</w:t>
            </w:r>
            <w:proofErr w:type="spellEnd"/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Quinoline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Proquinazid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Quinazolinone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135D0" w:rsidRPr="00024F7A" w:rsidTr="006319D1">
        <w:trPr>
          <w:trHeight w:val="310"/>
        </w:trPr>
        <w:tc>
          <w:tcPr>
            <w:tcW w:w="328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Fenazaquin</w:t>
            </w:r>
          </w:p>
        </w:tc>
        <w:tc>
          <w:tcPr>
            <w:tcW w:w="314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O (</w:t>
            </w:r>
            <w:proofErr w:type="spellStart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Quinazoline</w:t>
            </w:r>
            <w:proofErr w:type="spellEnd"/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2160" w:type="dxa"/>
            <w:noWrap/>
            <w:hideMark/>
          </w:tcPr>
          <w:p w:rsidR="00E135D0" w:rsidRPr="00024F7A" w:rsidRDefault="00E135D0" w:rsidP="0063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7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E135D0" w:rsidRDefault="00E135D0" w:rsidP="00E135D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E49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OP – Organophosphate, C – Carbamate, N – Neonicotinoids, PY – Pyrethroids, O – Others, I – Insecticide, F – Fungicide, H – Herbicide, AC – Acaricide, O – Obsolete, </w:t>
      </w:r>
      <w:proofErr w:type="spellStart"/>
      <w:r w:rsidRPr="00EE49F6">
        <w:rPr>
          <w:rFonts w:ascii="Times New Roman" w:hAnsi="Times New Roman" w:cs="Times New Roman"/>
          <w:i/>
          <w:sz w:val="24"/>
          <w:szCs w:val="24"/>
          <w:lang w:val="en-GB"/>
        </w:rPr>
        <w:t>Ia</w:t>
      </w:r>
      <w:proofErr w:type="spellEnd"/>
      <w:r w:rsidRPr="00EE49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Extremely hazardous, </w:t>
      </w:r>
      <w:proofErr w:type="spellStart"/>
      <w:r w:rsidRPr="00EE49F6">
        <w:rPr>
          <w:rFonts w:ascii="Times New Roman" w:hAnsi="Times New Roman" w:cs="Times New Roman"/>
          <w:i/>
          <w:sz w:val="24"/>
          <w:szCs w:val="24"/>
          <w:lang w:val="en-GB"/>
        </w:rPr>
        <w:t>Ib</w:t>
      </w:r>
      <w:proofErr w:type="spellEnd"/>
      <w:r w:rsidRPr="00EE49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– Highly hazardous, II – Moderately hazardous, III – Slightly hazardous, U – Unlikely to present acute hazards  </w:t>
      </w:r>
    </w:p>
    <w:p w:rsidR="007F393B" w:rsidRPr="009C0752" w:rsidRDefault="007F393B" w:rsidP="007F393B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Table A2</w:t>
      </w:r>
      <w:r w:rsidRPr="009C075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: Hazard quotient for pesticides with EDI greater than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the </w:t>
      </w:r>
      <w:r w:rsidRPr="009C0752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ADI at different stages along the chain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7"/>
        <w:gridCol w:w="1438"/>
        <w:gridCol w:w="1438"/>
        <w:gridCol w:w="1438"/>
        <w:gridCol w:w="1601"/>
        <w:gridCol w:w="1438"/>
      </w:tblGrid>
      <w:tr w:rsidR="007F393B" w:rsidRPr="009C0752" w:rsidTr="00EE5A3F">
        <w:trPr>
          <w:trHeight w:val="290"/>
        </w:trPr>
        <w:tc>
          <w:tcPr>
            <w:tcW w:w="1068" w:type="pct"/>
            <w:vMerge w:val="restart"/>
            <w:noWrap/>
          </w:tcPr>
          <w:p w:rsidR="007F393B" w:rsidRPr="00A32365" w:rsidRDefault="007F393B" w:rsidP="00EE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Pesticides </w:t>
            </w:r>
          </w:p>
        </w:tc>
        <w:tc>
          <w:tcPr>
            <w:tcW w:w="3932" w:type="pct"/>
            <w:gridSpan w:val="5"/>
            <w:noWrap/>
          </w:tcPr>
          <w:p w:rsidR="007F393B" w:rsidRPr="00A32365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65">
              <w:rPr>
                <w:rFonts w:ascii="Times New Roman" w:hAnsi="Times New Roman" w:cs="Times New Roman"/>
                <w:b/>
                <w:sz w:val="24"/>
                <w:szCs w:val="24"/>
              </w:rPr>
              <w:t>Hazard Quotient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(HQ)</w:t>
            </w:r>
          </w:p>
        </w:tc>
      </w:tr>
      <w:tr w:rsidR="007F393B" w:rsidRPr="009C0752" w:rsidTr="00EE5A3F">
        <w:trPr>
          <w:trHeight w:val="290"/>
        </w:trPr>
        <w:tc>
          <w:tcPr>
            <w:tcW w:w="1068" w:type="pct"/>
            <w:vMerge/>
            <w:noWrap/>
            <w:hideMark/>
          </w:tcPr>
          <w:p w:rsidR="007F393B" w:rsidRPr="00A32365" w:rsidRDefault="007F393B" w:rsidP="00EE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pct"/>
            <w:noWrap/>
            <w:hideMark/>
          </w:tcPr>
          <w:p w:rsidR="007F393B" w:rsidRPr="00A32365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65">
              <w:rPr>
                <w:rFonts w:ascii="Times New Roman" w:hAnsi="Times New Roman" w:cs="Times New Roman"/>
                <w:b/>
                <w:sz w:val="24"/>
                <w:szCs w:val="24"/>
              </w:rPr>
              <w:t>Farm</w:t>
            </w:r>
          </w:p>
        </w:tc>
        <w:tc>
          <w:tcPr>
            <w:tcW w:w="769" w:type="pct"/>
            <w:noWrap/>
            <w:hideMark/>
          </w:tcPr>
          <w:p w:rsidR="007F393B" w:rsidRPr="00A32365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65">
              <w:rPr>
                <w:rFonts w:ascii="Times New Roman" w:hAnsi="Times New Roman" w:cs="Times New Roman"/>
                <w:b/>
                <w:sz w:val="24"/>
                <w:szCs w:val="24"/>
              </w:rPr>
              <w:t>Market</w:t>
            </w:r>
          </w:p>
        </w:tc>
        <w:tc>
          <w:tcPr>
            <w:tcW w:w="769" w:type="pct"/>
            <w:noWrap/>
            <w:hideMark/>
          </w:tcPr>
          <w:p w:rsidR="007F393B" w:rsidRPr="00A32365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65">
              <w:rPr>
                <w:rFonts w:ascii="Times New Roman" w:hAnsi="Times New Roman" w:cs="Times New Roman"/>
                <w:b/>
                <w:sz w:val="24"/>
                <w:szCs w:val="24"/>
              </w:rPr>
              <w:t>Street</w:t>
            </w:r>
          </w:p>
        </w:tc>
        <w:tc>
          <w:tcPr>
            <w:tcW w:w="856" w:type="pct"/>
            <w:noWrap/>
            <w:hideMark/>
          </w:tcPr>
          <w:p w:rsidR="007F393B" w:rsidRPr="00A32365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65">
              <w:rPr>
                <w:rFonts w:ascii="Times New Roman" w:hAnsi="Times New Roman" w:cs="Times New Roman"/>
                <w:b/>
                <w:sz w:val="24"/>
                <w:szCs w:val="24"/>
              </w:rPr>
              <w:t>Restaurant</w:t>
            </w:r>
          </w:p>
        </w:tc>
        <w:tc>
          <w:tcPr>
            <w:tcW w:w="769" w:type="pct"/>
            <w:noWrap/>
            <w:hideMark/>
          </w:tcPr>
          <w:p w:rsidR="007F393B" w:rsidRPr="00A32365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65">
              <w:rPr>
                <w:rFonts w:ascii="Times New Roman" w:hAnsi="Times New Roman" w:cs="Times New Roman"/>
                <w:b/>
                <w:sz w:val="24"/>
                <w:szCs w:val="24"/>
              </w:rPr>
              <w:t>Home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Omethoate</w:t>
            </w:r>
            <w:proofErr w:type="spellEnd"/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BDL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Dimethoate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BDL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BDL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BDL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BDL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Fonofos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Dichlorvos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442.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Quinalphos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Profenofos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Fenitrothion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Dioxacarb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BDL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BDL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Carbofuran</w:t>
            </w:r>
            <w:proofErr w:type="spellEnd"/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Alanycarb</w:t>
            </w:r>
            <w:proofErr w:type="spellEnd"/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118.0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118.0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118.0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177.0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Benfuracarb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E-11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Acetamiprid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Cypermethrin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Fenhexamid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7F393B" w:rsidRPr="009C0752" w:rsidTr="00EE5A3F">
        <w:trPr>
          <w:trHeight w:val="310"/>
        </w:trPr>
        <w:tc>
          <w:tcPr>
            <w:tcW w:w="1068" w:type="pct"/>
            <w:noWrap/>
            <w:hideMark/>
          </w:tcPr>
          <w:p w:rsidR="007F393B" w:rsidRPr="009C0752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Fluazifop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BDL</w:t>
            </w:r>
          </w:p>
        </w:tc>
        <w:tc>
          <w:tcPr>
            <w:tcW w:w="856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BDL</w:t>
            </w:r>
          </w:p>
        </w:tc>
        <w:tc>
          <w:tcPr>
            <w:tcW w:w="769" w:type="pct"/>
            <w:noWrap/>
            <w:hideMark/>
          </w:tcPr>
          <w:p w:rsidR="007F393B" w:rsidRPr="009C0752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752">
              <w:rPr>
                <w:rFonts w:ascii="Times New Roman" w:hAnsi="Times New Roman" w:cs="Times New Roman"/>
                <w:sz w:val="24"/>
                <w:szCs w:val="24"/>
              </w:rPr>
              <w:t>BDL</w:t>
            </w:r>
          </w:p>
        </w:tc>
      </w:tr>
    </w:tbl>
    <w:p w:rsidR="007F393B" w:rsidRPr="009C0752" w:rsidRDefault="007F393B" w:rsidP="007F39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BDL – Below Detection Limit, HQ – Hazard Quotient </w:t>
      </w:r>
    </w:p>
    <w:p w:rsidR="007F393B" w:rsidRPr="00A6348C" w:rsidRDefault="007F393B" w:rsidP="007F393B">
      <w:pPr>
        <w:pStyle w:val="Captio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Table 3A</w:t>
      </w:r>
      <w:r w:rsidRPr="00A6348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: Hazard quotient for pesticides with EDI greater than </w:t>
      </w: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the </w:t>
      </w:r>
      <w:r w:rsidRPr="00A6348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ADI by age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984"/>
        <w:gridCol w:w="983"/>
        <w:gridCol w:w="983"/>
        <w:gridCol w:w="983"/>
        <w:gridCol w:w="983"/>
        <w:gridCol w:w="983"/>
        <w:gridCol w:w="983"/>
      </w:tblGrid>
      <w:tr w:rsidR="007F393B" w:rsidRPr="00A41D0B" w:rsidTr="00EE5A3F">
        <w:trPr>
          <w:trHeight w:val="290"/>
        </w:trPr>
        <w:tc>
          <w:tcPr>
            <w:tcW w:w="2468" w:type="dxa"/>
            <w:vMerge w:val="restart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Pesticides </w:t>
            </w:r>
          </w:p>
        </w:tc>
        <w:tc>
          <w:tcPr>
            <w:tcW w:w="6882" w:type="dxa"/>
            <w:gridSpan w:val="7"/>
            <w:noWrap/>
            <w:hideMark/>
          </w:tcPr>
          <w:p w:rsidR="007F393B" w:rsidRPr="00A41D0B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b/>
                <w:sz w:val="24"/>
                <w:szCs w:val="24"/>
              </w:rPr>
              <w:t>Hazard Quotient (HQ)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age group (years)</w:t>
            </w:r>
          </w:p>
        </w:tc>
      </w:tr>
      <w:tr w:rsidR="007F393B" w:rsidRPr="00A41D0B" w:rsidTr="00EE5A3F">
        <w:trPr>
          <w:trHeight w:val="290"/>
        </w:trPr>
        <w:tc>
          <w:tcPr>
            <w:tcW w:w="2468" w:type="dxa"/>
            <w:vMerge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b/>
                <w:sz w:val="24"/>
                <w:szCs w:val="24"/>
              </w:rPr>
              <w:t>&lt;5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b/>
                <w:sz w:val="24"/>
                <w:szCs w:val="24"/>
              </w:rPr>
              <w:t>05-12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b/>
                <w:sz w:val="24"/>
                <w:szCs w:val="24"/>
              </w:rPr>
              <w:t>13-19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b/>
                <w:sz w:val="24"/>
                <w:szCs w:val="24"/>
              </w:rPr>
              <w:t>25-35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b/>
                <w:sz w:val="24"/>
                <w:szCs w:val="24"/>
              </w:rPr>
              <w:t>36-49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b/>
                <w:sz w:val="24"/>
                <w:szCs w:val="24"/>
              </w:rPr>
              <w:t>50+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Omethoate</w:t>
            </w:r>
            <w:proofErr w:type="spellEnd"/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Dimethoate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Fonofos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Dichlorvos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444.3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156.5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136.2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Quinalphos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Profenofos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Fenitrothion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Aminocarb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Dioxacarb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Carbofuran</w:t>
            </w:r>
            <w:proofErr w:type="spellEnd"/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Alanycarb</w:t>
            </w:r>
            <w:proofErr w:type="spellEnd"/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314.3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179.0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110.74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103.6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Benfuracarb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Methiocarb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Acetamiprid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Lambda-Cyhalothrin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Cypermethrin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Fenhexamid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93B" w:rsidRPr="00A41D0B" w:rsidTr="00EE5A3F">
        <w:trPr>
          <w:trHeight w:val="310"/>
        </w:trPr>
        <w:tc>
          <w:tcPr>
            <w:tcW w:w="2468" w:type="dxa"/>
            <w:noWrap/>
            <w:hideMark/>
          </w:tcPr>
          <w:p w:rsidR="007F393B" w:rsidRPr="00A41D0B" w:rsidRDefault="007F393B" w:rsidP="00EE5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Fluazifop</w:t>
            </w:r>
          </w:p>
        </w:tc>
        <w:tc>
          <w:tcPr>
            <w:tcW w:w="984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noWrap/>
            <w:hideMark/>
          </w:tcPr>
          <w:p w:rsidR="007F393B" w:rsidRPr="00A41D0B" w:rsidRDefault="007F393B" w:rsidP="00EE5A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393B" w:rsidRPr="00A41D0B" w:rsidRDefault="007F393B" w:rsidP="007F39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HQ – Hazard Quotient </w:t>
      </w:r>
    </w:p>
    <w:p w:rsidR="007F393B" w:rsidRPr="007F393B" w:rsidRDefault="007F393B" w:rsidP="00E135D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3621E9" w:rsidRDefault="003621E9"/>
    <w:sectPr w:rsidR="00362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B0" w:rsidRDefault="00CB03B0" w:rsidP="007F393B">
      <w:pPr>
        <w:spacing w:after="0" w:line="240" w:lineRule="auto"/>
      </w:pPr>
      <w:r>
        <w:separator/>
      </w:r>
    </w:p>
  </w:endnote>
  <w:endnote w:type="continuationSeparator" w:id="0">
    <w:p w:rsidR="00CB03B0" w:rsidRDefault="00CB03B0" w:rsidP="007F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B0" w:rsidRDefault="00CB03B0" w:rsidP="007F393B">
      <w:pPr>
        <w:spacing w:after="0" w:line="240" w:lineRule="auto"/>
      </w:pPr>
      <w:r>
        <w:separator/>
      </w:r>
    </w:p>
  </w:footnote>
  <w:footnote w:type="continuationSeparator" w:id="0">
    <w:p w:rsidR="00CB03B0" w:rsidRDefault="00CB03B0" w:rsidP="007F3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D0"/>
    <w:rsid w:val="000905BA"/>
    <w:rsid w:val="003121F4"/>
    <w:rsid w:val="0031675B"/>
    <w:rsid w:val="003621E9"/>
    <w:rsid w:val="003841CA"/>
    <w:rsid w:val="00452C28"/>
    <w:rsid w:val="00497B32"/>
    <w:rsid w:val="007F393B"/>
    <w:rsid w:val="00C70067"/>
    <w:rsid w:val="00CB03B0"/>
    <w:rsid w:val="00DC229F"/>
    <w:rsid w:val="00E135D0"/>
    <w:rsid w:val="00E14484"/>
    <w:rsid w:val="00E5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A0CE"/>
  <w15:chartTrackingRefBased/>
  <w15:docId w15:val="{7CC831F4-2C0D-4707-863B-448D6AC6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135D0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E1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93B"/>
  </w:style>
  <w:style w:type="paragraph" w:styleId="Footer">
    <w:name w:val="footer"/>
    <w:basedOn w:val="Normal"/>
    <w:link w:val="FooterChar"/>
    <w:uiPriority w:val="99"/>
    <w:unhideWhenUsed/>
    <w:rsid w:val="007F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Ssemugabo</dc:creator>
  <cp:keywords/>
  <dc:description/>
  <cp:lastModifiedBy>Charles Ssemugabo</cp:lastModifiedBy>
  <cp:revision>2</cp:revision>
  <dcterms:created xsi:type="dcterms:W3CDTF">2022-02-08T10:26:00Z</dcterms:created>
  <dcterms:modified xsi:type="dcterms:W3CDTF">2022-02-08T10:26:00Z</dcterms:modified>
</cp:coreProperties>
</file>