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Identification of a </w:t>
      </w:r>
      <w:bookmarkStart w:id="0" w:name="OLE_LINK14"/>
      <w:r>
        <w:rPr>
          <w:rFonts w:hint="eastAsia" w:ascii="Times New Roman" w:hAnsi="Times New Roman" w:cs="Times New Roman"/>
          <w:b/>
          <w:bCs/>
          <w:sz w:val="24"/>
        </w:rPr>
        <w:t>Six-</w:t>
      </w:r>
      <w:r>
        <w:rPr>
          <w:rFonts w:ascii="Times New Roman" w:hAnsi="Times New Roman" w:cs="Times New Roman"/>
          <w:b/>
          <w:bCs/>
          <w:sz w:val="24"/>
        </w:rPr>
        <w:t xml:space="preserve">lncRNA </w:t>
      </w:r>
      <w:r>
        <w:rPr>
          <w:rFonts w:hint="eastAsia" w:ascii="Times New Roman" w:hAnsi="Times New Roman" w:cs="Times New Roman"/>
          <w:b/>
          <w:bCs/>
          <w:sz w:val="24"/>
        </w:rPr>
        <w:t>Prognosis</w:t>
      </w:r>
      <w:r>
        <w:rPr>
          <w:rFonts w:ascii="Times New Roman" w:hAnsi="Times New Roman" w:cs="Times New Roman"/>
          <w:b/>
          <w:bCs/>
          <w:sz w:val="24"/>
        </w:rPr>
        <w:t xml:space="preserve"> Model </w:t>
      </w:r>
      <w:bookmarkEnd w:id="0"/>
      <w:r>
        <w:rPr>
          <w:rFonts w:hint="eastAsia" w:ascii="Times New Roman" w:hAnsi="Times New Roman" w:cs="Times New Roman"/>
          <w:b/>
          <w:bCs/>
          <w:sz w:val="24"/>
        </w:rPr>
        <w:t>for Predicting Progression-Free Survival in Patients with</w:t>
      </w:r>
      <w:r>
        <w:rPr>
          <w:rFonts w:ascii="Times New Roman" w:hAnsi="Times New Roman" w:cs="Times New Roman"/>
          <w:b/>
          <w:bCs/>
          <w:sz w:val="24"/>
        </w:rPr>
        <w:t xml:space="preserve"> Thyroid Cancer</w:t>
      </w:r>
    </w:p>
    <w:p/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</w:rPr>
        <w:t>Supplementary</w:t>
      </w:r>
      <w:r>
        <w:rPr>
          <w:rFonts w:hint="eastAsia" w:ascii="Times New Roman" w:hAnsi="Times New Roman" w:cs="Times New Roman"/>
          <w:b/>
          <w:bCs/>
          <w:sz w:val="24"/>
          <w:lang w:val="en-US" w:eastAsia="zh-CN"/>
        </w:rPr>
        <w:t xml:space="preserve"> Materials</w:t>
      </w:r>
    </w:p>
    <w:p>
      <w:r>
        <w:br w:type="page"/>
      </w:r>
      <w:bookmarkStart w:id="1" w:name="_GoBack"/>
      <w:bookmarkEnd w:id="1"/>
    </w:p>
    <w:p>
      <w:pPr>
        <w:jc w:val="center"/>
        <w:rPr>
          <w:rFonts w:hint="eastAsia" w:ascii="Times New Roman" w:hAnsi="Times New Roman" w:eastAsia="宋体" w:cs="Times New Roman"/>
          <w:szCs w:val="21"/>
        </w:rPr>
      </w:pPr>
      <w:r>
        <w:drawing>
          <wp:inline distT="0" distB="0" distL="114300" distR="114300">
            <wp:extent cx="6835775" cy="4685030"/>
            <wp:effectExtent l="0" t="0" r="317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5775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szCs w:val="21"/>
        </w:rPr>
        <w:t>Supplementary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Figure 1</w:t>
      </w:r>
      <w:r>
        <w:rPr>
          <w:rFonts w:hint="eastAsia" w:ascii="Times New Roman" w:hAnsi="Times New Roman" w:eastAsia="宋体" w:cs="Times New Roman"/>
          <w:szCs w:val="21"/>
        </w:rPr>
        <w:t xml:space="preserve"> Differential expression lncRNAs in GSE33630 and GSE29265.</w:t>
      </w:r>
      <w:r>
        <w:rPr>
          <w:rFonts w:hint="eastAsia" w:ascii="Times New Roman" w:hAnsi="Times New Roman" w:eastAsia="宋体" w:cs="Times New Roman"/>
          <w:b/>
          <w:bCs/>
          <w:szCs w:val="21"/>
        </w:rPr>
        <w:t xml:space="preserve"> A</w:t>
      </w:r>
      <w:r>
        <w:rPr>
          <w:rFonts w:hint="eastAsia" w:ascii="Times New Roman" w:hAnsi="Times New Roman" w:eastAsia="宋体" w:cs="Times New Roman"/>
          <w:szCs w:val="21"/>
        </w:rPr>
        <w:t xml:space="preserve">. Heapmap of differential expression lncRNAs. 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 xml:space="preserve">.Volcano plot of differential expression lncRNAs.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</w:t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br w:type="page"/>
      </w:r>
    </w:p>
    <w:p>
      <w:pPr>
        <w:rPr>
          <w:rFonts w:hint="eastAsia" w:ascii="Times New Roman" w:hAnsi="Times New Roman" w:eastAsia="宋体" w:cs="Times New Roman"/>
          <w:szCs w:val="21"/>
        </w:rPr>
      </w:pPr>
      <w:r>
        <w:drawing>
          <wp:inline distT="0" distB="0" distL="114300" distR="114300">
            <wp:extent cx="8858885" cy="3198495"/>
            <wp:effectExtent l="0" t="0" r="1841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5888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szCs w:val="21"/>
        </w:rPr>
        <w:t>Supplementary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Figure 2</w:t>
      </w:r>
      <w:r>
        <w:rPr>
          <w:rFonts w:ascii="Times New Roman" w:hAnsi="Times New Roman" w:eastAsia="宋体" w:cs="Times New Roman"/>
          <w:szCs w:val="21"/>
        </w:rPr>
        <w:t xml:space="preserve"> Screening of the</w:t>
      </w:r>
      <w:r>
        <w:rPr>
          <w:rFonts w:hint="eastAsia" w:ascii="Times New Roman" w:hAnsi="Times New Roman" w:eastAsia="宋体" w:cs="Times New Roman"/>
          <w:szCs w:val="21"/>
        </w:rPr>
        <w:t xml:space="preserve"> differential expression lncRNAs </w:t>
      </w:r>
      <w:r>
        <w:rPr>
          <w:rFonts w:ascii="Times New Roman" w:hAnsi="Times New Roman" w:eastAsia="宋体" w:cs="Times New Roman"/>
          <w:szCs w:val="21"/>
        </w:rPr>
        <w:t>by Lasso regression.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A</w:t>
      </w:r>
      <w:r>
        <w:rPr>
          <w:rFonts w:hint="eastAsia" w:ascii="Times New Roman" w:hAnsi="Times New Roman" w:eastAsia="宋体" w:cs="Times New Roman"/>
          <w:szCs w:val="21"/>
        </w:rPr>
        <w:t xml:space="preserve"> The</w:t>
      </w:r>
      <w:r>
        <w:rPr>
          <w:rFonts w:ascii="Times New Roman" w:hAnsi="Times New Roman" w:eastAsia="宋体" w:cs="Times New Roman"/>
          <w:szCs w:val="21"/>
        </w:rPr>
        <w:t xml:space="preserve"> coefficient profile plot was generated against the lambda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ascii="Times New Roman" w:hAnsi="Times New Roman" w:eastAsia="宋体" w:cs="Times New Roman"/>
          <w:szCs w:val="21"/>
        </w:rPr>
        <w:t>sequence. Selection of the optimal parameter (lambda) in the LASSO model.</w:t>
      </w:r>
      <w:r>
        <w:rPr>
          <w:rFonts w:hint="eastAsia" w:ascii="Times New Roman" w:hAnsi="Times New Roman" w:eastAsia="宋体" w:cs="Times New Roman"/>
          <w:szCs w:val="21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Cs w:val="21"/>
        </w:rPr>
        <w:t>B</w:t>
      </w:r>
      <w:r>
        <w:rPr>
          <w:rFonts w:hint="eastAsia" w:ascii="Times New Roman" w:hAnsi="Times New Roman" w:eastAsia="宋体" w:cs="Times New Roman"/>
          <w:szCs w:val="21"/>
        </w:rPr>
        <w:t xml:space="preserve"> a nomogram integrated with clinical features and risk score to predict progression-free survival probability.</w:t>
      </w:r>
    </w:p>
    <w:p>
      <w:pPr>
        <w:jc w:val="center"/>
      </w:pPr>
      <w:r>
        <w:rPr>
          <w:rFonts w:hint="eastAsia"/>
        </w:rPr>
        <w:drawing>
          <wp:inline distT="0" distB="0" distL="114300" distR="114300">
            <wp:extent cx="8182610" cy="4669155"/>
            <wp:effectExtent l="0" t="0" r="8890" b="17145"/>
            <wp:docPr id="35" name="图片 35" descr="163766784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63766784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2610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Times New Roman" w:hAnsi="Times New Roman" w:eastAsia="宋体" w:cs="Times New Roman"/>
          <w:szCs w:val="21"/>
        </w:rPr>
        <w:t>Supplementary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 xml:space="preserve"> Figure 3</w:t>
      </w:r>
      <w:r>
        <w:rPr>
          <w:rFonts w:hint="eastAsia" w:ascii="Times New Roman" w:hAnsi="Times New Roman" w:eastAsia="宋体" w:cs="Times New Roman"/>
          <w:szCs w:val="21"/>
        </w:rPr>
        <w:t xml:space="preserve"> Boxplot showing the difference of immune cell type expression between high and low lasso score groups. The low-risk group was marked as light green and the high-risk group was marked as dark green. </w:t>
      </w:r>
    </w:p>
    <w:sectPr>
      <w:pgSz w:w="16838" w:h="11906" w:orient="landscape"/>
      <w:pgMar w:top="1800" w:right="1440" w:bottom="1800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E1E04"/>
    <w:rsid w:val="47A6578C"/>
    <w:rsid w:val="5C0D12E4"/>
    <w:rsid w:val="752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2022-01-13T07:46:00Z</dcterms:created>
  <dc:creator>抹茶千层</dc:creator>
  <cp:lastModifiedBy>抹茶千层</cp:lastModifiedBy>
  <dcterms:modified xsi:type="dcterms:W3CDTF">2022-01-13T09:27:37Z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3EA1E78E779B4A64B9DE7F961FD18AA5</vt:lpwstr>
  </property>
</Properties>
</file>