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3A69C" w14:textId="3DBE7CB2" w:rsidR="00FC6DFA" w:rsidRPr="00E43E0F" w:rsidRDefault="00E43E0F">
      <w:pPr>
        <w:rPr>
          <w:rFonts w:ascii="Times New Roman" w:hAnsi="Times New Roman" w:cs="Times New Roman"/>
          <w:sz w:val="24"/>
          <w:szCs w:val="24"/>
        </w:rPr>
      </w:pPr>
      <w:r w:rsidRPr="00E43E0F">
        <w:rPr>
          <w:rFonts w:ascii="Times New Roman" w:hAnsi="Times New Roman" w:cs="Times New Roman"/>
          <w:sz w:val="24"/>
          <w:szCs w:val="24"/>
        </w:rPr>
        <w:t>Fig</w:t>
      </w:r>
      <w:r w:rsidR="00550408">
        <w:rPr>
          <w:rFonts w:ascii="Times New Roman" w:hAnsi="Times New Roman" w:cs="Times New Roman"/>
          <w:sz w:val="24"/>
          <w:szCs w:val="24"/>
        </w:rPr>
        <w:t>ure</w:t>
      </w:r>
      <w:r w:rsidRPr="00E43E0F">
        <w:rPr>
          <w:rFonts w:ascii="Times New Roman" w:hAnsi="Times New Roman" w:cs="Times New Roman"/>
          <w:sz w:val="24"/>
          <w:szCs w:val="24"/>
        </w:rPr>
        <w:t xml:space="preserve"> S1</w:t>
      </w:r>
    </w:p>
    <w:p w14:paraId="280507F5" w14:textId="041FF6B3" w:rsidR="00E43E0F" w:rsidRPr="00E43E0F" w:rsidRDefault="00E43E0F">
      <w:pPr>
        <w:rPr>
          <w:rFonts w:ascii="Times New Roman" w:hAnsi="Times New Roman" w:cs="Times New Roman"/>
          <w:sz w:val="24"/>
          <w:szCs w:val="24"/>
        </w:rPr>
      </w:pPr>
      <w:r w:rsidRPr="00E43E0F">
        <w:rPr>
          <w:rFonts w:ascii="Times New Roman" w:hAnsi="Times New Roman" w:cs="Times New Roman"/>
          <w:noProof/>
          <w:sz w:val="24"/>
          <w:szCs w:val="24"/>
        </w:rPr>
        <w:drawing>
          <wp:inline distT="0" distB="0" distL="0" distR="0" wp14:anchorId="7BD4B429" wp14:editId="2062A9FC">
            <wp:extent cx="5274310" cy="28028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802890"/>
                    </a:xfrm>
                    <a:prstGeom prst="rect">
                      <a:avLst/>
                    </a:prstGeom>
                    <a:noFill/>
                    <a:ln>
                      <a:noFill/>
                    </a:ln>
                  </pic:spPr>
                </pic:pic>
              </a:graphicData>
            </a:graphic>
          </wp:inline>
        </w:drawing>
      </w:r>
    </w:p>
    <w:p w14:paraId="73D1CF61" w14:textId="51435122" w:rsidR="00E43E0F" w:rsidRPr="00E43E0F" w:rsidRDefault="00E43E0F" w:rsidP="00E43E0F">
      <w:pPr>
        <w:spacing w:line="360" w:lineRule="auto"/>
        <w:rPr>
          <w:rFonts w:ascii="Times New Roman" w:hAnsi="Times New Roman" w:cs="Times New Roman"/>
          <w:sz w:val="24"/>
          <w:szCs w:val="24"/>
        </w:rPr>
      </w:pPr>
      <w:r w:rsidRPr="00AA2EF8">
        <w:rPr>
          <w:rFonts w:ascii="Times New Roman" w:hAnsi="Times New Roman" w:cs="Times New Roman"/>
          <w:b/>
          <w:bCs/>
          <w:sz w:val="24"/>
          <w:szCs w:val="24"/>
        </w:rPr>
        <w:t>Fig</w:t>
      </w:r>
      <w:r w:rsidR="00550408" w:rsidRPr="00AA2EF8">
        <w:rPr>
          <w:rFonts w:ascii="Times New Roman" w:hAnsi="Times New Roman" w:cs="Times New Roman"/>
          <w:b/>
          <w:bCs/>
          <w:sz w:val="24"/>
          <w:szCs w:val="24"/>
        </w:rPr>
        <w:t>ure</w:t>
      </w:r>
      <w:r w:rsidRPr="00AA2EF8">
        <w:rPr>
          <w:rFonts w:ascii="Times New Roman" w:hAnsi="Times New Roman" w:cs="Times New Roman"/>
          <w:b/>
          <w:bCs/>
          <w:sz w:val="24"/>
          <w:szCs w:val="24"/>
        </w:rPr>
        <w:t xml:space="preserve"> S1. Analysis of fresh weight changes and characterization of transcriptomic data</w:t>
      </w:r>
      <w:r w:rsidRPr="00E43E0F">
        <w:rPr>
          <w:rFonts w:ascii="Times New Roman" w:hAnsi="Times New Roman" w:cs="Times New Roman"/>
          <w:sz w:val="24"/>
          <w:szCs w:val="24"/>
        </w:rPr>
        <w:t xml:space="preserve">. </w:t>
      </w:r>
    </w:p>
    <w:p w14:paraId="5947F5CF" w14:textId="112FC039" w:rsidR="00550408" w:rsidRDefault="00E43E0F" w:rsidP="00E43E0F">
      <w:pPr>
        <w:spacing w:line="360" w:lineRule="auto"/>
        <w:rPr>
          <w:rFonts w:ascii="Times New Roman" w:hAnsi="Times New Roman" w:cs="Times New Roman"/>
          <w:sz w:val="24"/>
          <w:szCs w:val="24"/>
        </w:rPr>
      </w:pPr>
      <w:r w:rsidRPr="00E43E0F">
        <w:rPr>
          <w:rFonts w:ascii="Times New Roman" w:hAnsi="Times New Roman" w:cs="Times New Roman"/>
          <w:sz w:val="24"/>
          <w:szCs w:val="24"/>
        </w:rPr>
        <w:t>A, The fresh weight changes of germinating quinoa seeds. B, Venn diagram of differentially expressed genes (DEGs) in quinoa germinating seeds at the different stage intervals. C, KEGG analysis of DEGs identified during different stages of quinoa seed germination.</w:t>
      </w:r>
    </w:p>
    <w:p w14:paraId="6FEE121C" w14:textId="77777777" w:rsidR="00550408" w:rsidRDefault="00550408">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B658556" w14:textId="76F97C07" w:rsidR="00E43E0F" w:rsidRPr="00E43E0F" w:rsidRDefault="00E43E0F" w:rsidP="00E43E0F">
      <w:pPr>
        <w:spacing w:line="360" w:lineRule="auto"/>
        <w:rPr>
          <w:rFonts w:ascii="Times New Roman" w:hAnsi="Times New Roman" w:cs="Times New Roman"/>
          <w:sz w:val="24"/>
          <w:szCs w:val="24"/>
        </w:rPr>
      </w:pPr>
      <w:r w:rsidRPr="00E43E0F">
        <w:rPr>
          <w:rFonts w:ascii="Times New Roman" w:hAnsi="Times New Roman" w:cs="Times New Roman"/>
          <w:sz w:val="24"/>
          <w:szCs w:val="24"/>
        </w:rPr>
        <w:lastRenderedPageBreak/>
        <w:t>Fig</w:t>
      </w:r>
      <w:r w:rsidR="00550408">
        <w:rPr>
          <w:rFonts w:ascii="Times New Roman" w:hAnsi="Times New Roman" w:cs="Times New Roman"/>
          <w:sz w:val="24"/>
          <w:szCs w:val="24"/>
        </w:rPr>
        <w:t>ure</w:t>
      </w:r>
      <w:r w:rsidRPr="00E43E0F">
        <w:rPr>
          <w:rFonts w:ascii="Times New Roman" w:hAnsi="Times New Roman" w:cs="Times New Roman"/>
          <w:sz w:val="24"/>
          <w:szCs w:val="24"/>
        </w:rPr>
        <w:t xml:space="preserve"> S2</w:t>
      </w:r>
    </w:p>
    <w:p w14:paraId="15C8057B" w14:textId="3B503C41" w:rsidR="00E43E0F" w:rsidRPr="00E43E0F" w:rsidRDefault="00E43E0F" w:rsidP="00E43E0F">
      <w:pPr>
        <w:spacing w:line="360" w:lineRule="auto"/>
        <w:rPr>
          <w:rFonts w:ascii="Times New Roman" w:hAnsi="Times New Roman" w:cs="Times New Roman"/>
          <w:sz w:val="24"/>
          <w:szCs w:val="24"/>
        </w:rPr>
      </w:pPr>
      <w:r w:rsidRPr="00E43E0F">
        <w:rPr>
          <w:rFonts w:ascii="Times New Roman" w:hAnsi="Times New Roman" w:cs="Times New Roman"/>
          <w:noProof/>
          <w:sz w:val="24"/>
          <w:szCs w:val="24"/>
        </w:rPr>
        <w:drawing>
          <wp:inline distT="0" distB="0" distL="0" distR="0" wp14:anchorId="14099201" wp14:editId="6F661C15">
            <wp:extent cx="5274310" cy="2372360"/>
            <wp:effectExtent l="0" t="0" r="254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372360"/>
                    </a:xfrm>
                    <a:prstGeom prst="rect">
                      <a:avLst/>
                    </a:prstGeom>
                    <a:noFill/>
                    <a:ln>
                      <a:noFill/>
                    </a:ln>
                  </pic:spPr>
                </pic:pic>
              </a:graphicData>
            </a:graphic>
          </wp:inline>
        </w:drawing>
      </w:r>
    </w:p>
    <w:p w14:paraId="4D5F62AA" w14:textId="16704075" w:rsidR="00E43E0F" w:rsidRPr="00AA2EF8" w:rsidRDefault="00E43E0F" w:rsidP="00E43E0F">
      <w:pPr>
        <w:spacing w:line="360" w:lineRule="auto"/>
        <w:rPr>
          <w:rFonts w:ascii="Times New Roman" w:hAnsi="Times New Roman" w:cs="Times New Roman"/>
          <w:sz w:val="24"/>
          <w:szCs w:val="24"/>
        </w:rPr>
      </w:pPr>
      <w:r w:rsidRPr="00AA2EF8">
        <w:rPr>
          <w:rFonts w:ascii="Times New Roman" w:hAnsi="Times New Roman" w:cs="Times New Roman"/>
          <w:b/>
          <w:bCs/>
          <w:sz w:val="24"/>
          <w:szCs w:val="24"/>
        </w:rPr>
        <w:t>Fig</w:t>
      </w:r>
      <w:r w:rsidR="00550408" w:rsidRPr="00AA2EF8">
        <w:rPr>
          <w:rFonts w:ascii="Times New Roman" w:hAnsi="Times New Roman" w:cs="Times New Roman"/>
          <w:b/>
          <w:bCs/>
          <w:sz w:val="24"/>
          <w:szCs w:val="24"/>
        </w:rPr>
        <w:t>ure</w:t>
      </w:r>
      <w:r w:rsidRPr="00AA2EF8">
        <w:rPr>
          <w:rFonts w:ascii="Times New Roman" w:hAnsi="Times New Roman" w:cs="Times New Roman"/>
          <w:b/>
          <w:bCs/>
          <w:sz w:val="24"/>
          <w:szCs w:val="24"/>
        </w:rPr>
        <w:t xml:space="preserve"> S2. Venn diagram and KEGG of differential metabolites identified by GC-MS</w:t>
      </w:r>
      <w:r w:rsidRPr="00AA2EF8">
        <w:rPr>
          <w:rFonts w:ascii="Times New Roman" w:hAnsi="Times New Roman" w:cs="Times New Roman"/>
          <w:sz w:val="24"/>
          <w:szCs w:val="24"/>
        </w:rPr>
        <w:t xml:space="preserve">. </w:t>
      </w:r>
    </w:p>
    <w:p w14:paraId="10244F60" w14:textId="5E91B3EB" w:rsidR="00550408" w:rsidRDefault="00E43E0F" w:rsidP="00E43E0F">
      <w:pPr>
        <w:spacing w:line="360" w:lineRule="auto"/>
        <w:rPr>
          <w:rFonts w:ascii="Times New Roman" w:hAnsi="Times New Roman" w:cs="Times New Roman"/>
          <w:sz w:val="24"/>
          <w:szCs w:val="24"/>
        </w:rPr>
      </w:pPr>
      <w:r w:rsidRPr="00E43E0F">
        <w:rPr>
          <w:rFonts w:ascii="Times New Roman" w:hAnsi="Times New Roman" w:cs="Times New Roman"/>
          <w:sz w:val="24"/>
          <w:szCs w:val="24"/>
        </w:rPr>
        <w:t xml:space="preserve">A, Venn diagram of differentially metabolites in quinoa germinating seeds at the different stage intervals. </w:t>
      </w:r>
      <w:r w:rsidR="00B95147">
        <w:rPr>
          <w:rFonts w:ascii="Times New Roman" w:hAnsi="Times New Roman" w:cs="Times New Roman"/>
          <w:sz w:val="24"/>
          <w:szCs w:val="24"/>
        </w:rPr>
        <w:t>B</w:t>
      </w:r>
      <w:r w:rsidRPr="00E43E0F">
        <w:rPr>
          <w:rFonts w:ascii="Times New Roman" w:hAnsi="Times New Roman" w:cs="Times New Roman"/>
          <w:sz w:val="24"/>
          <w:szCs w:val="24"/>
        </w:rPr>
        <w:t>, KEGG analysis of differentially metabolites identified during quinoa seed germination.</w:t>
      </w:r>
    </w:p>
    <w:p w14:paraId="16B035CF" w14:textId="77777777" w:rsidR="00550408" w:rsidRDefault="00550408">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A80B870" w14:textId="6DC9A4BF" w:rsidR="00E43E0F" w:rsidRPr="00E43E0F" w:rsidRDefault="00E43E0F" w:rsidP="00E43E0F">
      <w:pPr>
        <w:rPr>
          <w:rFonts w:ascii="Times New Roman" w:hAnsi="Times New Roman" w:cs="Times New Roman"/>
          <w:sz w:val="24"/>
          <w:szCs w:val="24"/>
        </w:rPr>
      </w:pPr>
      <w:r w:rsidRPr="00E43E0F">
        <w:rPr>
          <w:rFonts w:ascii="Times New Roman" w:hAnsi="Times New Roman" w:cs="Times New Roman"/>
          <w:sz w:val="24"/>
          <w:szCs w:val="24"/>
        </w:rPr>
        <w:lastRenderedPageBreak/>
        <w:t>Fig</w:t>
      </w:r>
      <w:r w:rsidR="00550408">
        <w:rPr>
          <w:rFonts w:ascii="Times New Roman" w:hAnsi="Times New Roman" w:cs="Times New Roman"/>
          <w:sz w:val="24"/>
          <w:szCs w:val="24"/>
        </w:rPr>
        <w:t>ure</w:t>
      </w:r>
      <w:r w:rsidRPr="00E43E0F">
        <w:rPr>
          <w:rFonts w:ascii="Times New Roman" w:hAnsi="Times New Roman" w:cs="Times New Roman"/>
          <w:sz w:val="24"/>
          <w:szCs w:val="24"/>
        </w:rPr>
        <w:t xml:space="preserve"> S3</w:t>
      </w:r>
    </w:p>
    <w:p w14:paraId="70A5DB08" w14:textId="2BCA797B" w:rsidR="00E43E0F" w:rsidRPr="00E43E0F" w:rsidRDefault="00E43E0F" w:rsidP="00E43E0F">
      <w:pPr>
        <w:rPr>
          <w:rFonts w:ascii="Times New Roman" w:hAnsi="Times New Roman" w:cs="Times New Roman"/>
          <w:sz w:val="24"/>
          <w:szCs w:val="24"/>
        </w:rPr>
      </w:pPr>
      <w:r w:rsidRPr="00E43E0F">
        <w:rPr>
          <w:rFonts w:ascii="Times New Roman" w:hAnsi="Times New Roman" w:cs="Times New Roman"/>
          <w:noProof/>
          <w:sz w:val="24"/>
          <w:szCs w:val="24"/>
        </w:rPr>
        <w:drawing>
          <wp:inline distT="0" distB="0" distL="0" distR="0" wp14:anchorId="56BA6842" wp14:editId="34B20083">
            <wp:extent cx="5274310" cy="2792730"/>
            <wp:effectExtent l="0" t="0" r="254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792730"/>
                    </a:xfrm>
                    <a:prstGeom prst="rect">
                      <a:avLst/>
                    </a:prstGeom>
                    <a:noFill/>
                    <a:ln>
                      <a:noFill/>
                    </a:ln>
                  </pic:spPr>
                </pic:pic>
              </a:graphicData>
            </a:graphic>
          </wp:inline>
        </w:drawing>
      </w:r>
    </w:p>
    <w:p w14:paraId="6496B21C" w14:textId="4068BF87" w:rsidR="00E43E0F" w:rsidRPr="00E43E0F" w:rsidRDefault="00E43E0F" w:rsidP="00E43E0F">
      <w:pPr>
        <w:pStyle w:val="a3"/>
        <w:spacing w:before="0" w:beforeAutospacing="0" w:after="0" w:afterAutospacing="0" w:line="360" w:lineRule="auto"/>
        <w:rPr>
          <w:rFonts w:ascii="Times New Roman" w:hAnsi="Times New Roman" w:cs="Times New Roman"/>
        </w:rPr>
      </w:pPr>
      <w:r w:rsidRPr="00E43E0F">
        <w:rPr>
          <w:rFonts w:ascii="Times New Roman" w:eastAsia="等线" w:hAnsi="Times New Roman" w:cs="Times New Roman"/>
          <w:b/>
          <w:bCs/>
          <w:color w:val="000000" w:themeColor="text1"/>
          <w:kern w:val="2"/>
        </w:rPr>
        <w:t>Fig</w:t>
      </w:r>
      <w:r w:rsidR="00550408">
        <w:rPr>
          <w:rFonts w:ascii="Times New Roman" w:eastAsia="等线" w:hAnsi="Times New Roman" w:cs="Times New Roman"/>
          <w:b/>
          <w:bCs/>
          <w:color w:val="000000" w:themeColor="text1"/>
          <w:kern w:val="2"/>
        </w:rPr>
        <w:t>ure</w:t>
      </w:r>
      <w:r w:rsidRPr="00E43E0F">
        <w:rPr>
          <w:rFonts w:ascii="Times New Roman" w:eastAsia="等线" w:hAnsi="Times New Roman" w:cs="Times New Roman"/>
          <w:b/>
          <w:bCs/>
          <w:color w:val="000000" w:themeColor="text1"/>
          <w:kern w:val="2"/>
        </w:rPr>
        <w:t xml:space="preserve"> S3</w:t>
      </w:r>
      <w:r w:rsidRPr="00E43E0F">
        <w:rPr>
          <w:rFonts w:ascii="Times New Roman" w:eastAsia="等线" w:hAnsi="Times New Roman" w:cs="Times New Roman"/>
          <w:color w:val="000000" w:themeColor="text1"/>
          <w:kern w:val="2"/>
        </w:rPr>
        <w:t xml:space="preserve">. </w:t>
      </w:r>
      <w:r w:rsidRPr="00E43E0F">
        <w:rPr>
          <w:rFonts w:ascii="Times New Roman" w:eastAsia="等线" w:hAnsi="Times New Roman" w:cs="Times New Roman"/>
          <w:b/>
          <w:bCs/>
          <w:color w:val="000000" w:themeColor="text1"/>
          <w:kern w:val="2"/>
        </w:rPr>
        <w:t xml:space="preserve">Biosynthesis and signaling transduction of different phytohormones participated in seed germination in the early stage. </w:t>
      </w:r>
    </w:p>
    <w:p w14:paraId="3D4860E7" w14:textId="77777777" w:rsidR="00550408" w:rsidRDefault="00E43E0F" w:rsidP="00550408">
      <w:pPr>
        <w:pStyle w:val="a3"/>
        <w:spacing w:before="0" w:beforeAutospacing="0" w:after="0" w:afterAutospacing="0" w:line="360" w:lineRule="auto"/>
        <w:rPr>
          <w:rFonts w:ascii="Times New Roman" w:hAnsi="Times New Roman" w:cs="Times New Roman"/>
        </w:rPr>
      </w:pPr>
      <w:r w:rsidRPr="00E43E0F">
        <w:rPr>
          <w:rFonts w:ascii="Times New Roman" w:eastAsia="等线" w:hAnsi="Times New Roman" w:cs="Times New Roman"/>
          <w:color w:val="000000" w:themeColor="text1"/>
          <w:kern w:val="2"/>
        </w:rPr>
        <w:t>Heatmap analysis of DEGs involved in biosynthesis and signaling transduction of g</w:t>
      </w:r>
      <w:r w:rsidRPr="00E43E0F">
        <w:rPr>
          <w:rFonts w:ascii="Times New Roman" w:eastAsiaTheme="minorEastAsia" w:hAnsi="Times New Roman" w:cs="Times New Roman"/>
          <w:color w:val="000000" w:themeColor="text1"/>
          <w:kern w:val="24"/>
        </w:rPr>
        <w:t>ibberellin (A)</w:t>
      </w:r>
      <w:r w:rsidRPr="00E43E0F">
        <w:rPr>
          <w:rFonts w:ascii="Times New Roman" w:eastAsia="等线" w:hAnsi="Times New Roman" w:cs="Times New Roman"/>
          <w:color w:val="000000" w:themeColor="text1"/>
          <w:kern w:val="2"/>
        </w:rPr>
        <w:t xml:space="preserve">, auxin (B), cytokinin (C). </w:t>
      </w:r>
      <w:r w:rsidRPr="00E43E0F">
        <w:rPr>
          <w:rFonts w:ascii="Times New Roman" w:eastAsia="等线" w:hAnsi="Times New Roman" w:cs="Times New Roman"/>
          <w:i/>
          <w:iCs/>
          <w:color w:val="000000" w:themeColor="text1"/>
          <w:kern w:val="2"/>
        </w:rPr>
        <w:t>GA</w:t>
      </w:r>
      <w:r w:rsidRPr="00E43E0F">
        <w:rPr>
          <w:rFonts w:ascii="Times New Roman" w:eastAsia="等线" w:hAnsi="Times New Roman" w:cs="Times New Roman"/>
          <w:i/>
          <w:iCs/>
          <w:color w:val="000000" w:themeColor="text1"/>
          <w:kern w:val="2"/>
          <w:position w:val="-9"/>
          <w:vertAlign w:val="subscript"/>
        </w:rPr>
        <w:t>20</w:t>
      </w:r>
      <w:r w:rsidRPr="00E43E0F">
        <w:rPr>
          <w:rFonts w:ascii="Times New Roman" w:eastAsia="等线" w:hAnsi="Times New Roman" w:cs="Times New Roman"/>
          <w:i/>
          <w:iCs/>
          <w:color w:val="000000" w:themeColor="text1"/>
          <w:kern w:val="2"/>
        </w:rPr>
        <w:t>OX</w:t>
      </w:r>
      <w:r w:rsidRPr="00E43E0F">
        <w:rPr>
          <w:rFonts w:ascii="Times New Roman" w:eastAsia="等线" w:hAnsi="Times New Roman" w:cs="Times New Roman"/>
          <w:color w:val="000000" w:themeColor="text1"/>
          <w:kern w:val="2"/>
        </w:rPr>
        <w:t xml:space="preserve">, </w:t>
      </w:r>
      <w:r w:rsidRPr="00E43E0F">
        <w:rPr>
          <w:rFonts w:ascii="Times New Roman" w:eastAsia="等线" w:hAnsi="Times New Roman" w:cs="Times New Roman"/>
          <w:i/>
          <w:iCs/>
          <w:color w:val="000000" w:themeColor="text1"/>
          <w:kern w:val="2"/>
        </w:rPr>
        <w:t>GIBBERELLIN 20−OXIDASE</w:t>
      </w:r>
      <w:r w:rsidRPr="00E43E0F">
        <w:rPr>
          <w:rFonts w:ascii="Times New Roman" w:eastAsia="等线" w:hAnsi="Times New Roman" w:cs="Times New Roman"/>
          <w:color w:val="000000" w:themeColor="text1"/>
          <w:kern w:val="2"/>
        </w:rPr>
        <w:t xml:space="preserve">. </w:t>
      </w:r>
      <w:r w:rsidRPr="00E43E0F">
        <w:rPr>
          <w:rFonts w:ascii="Times New Roman" w:eastAsia="等线" w:hAnsi="Times New Roman" w:cs="Times New Roman"/>
          <w:i/>
          <w:iCs/>
          <w:color w:val="000000" w:themeColor="text1"/>
          <w:kern w:val="2"/>
        </w:rPr>
        <w:t>GA</w:t>
      </w:r>
      <w:r w:rsidRPr="00E43E0F">
        <w:rPr>
          <w:rFonts w:ascii="Times New Roman" w:eastAsia="等线" w:hAnsi="Times New Roman" w:cs="Times New Roman"/>
          <w:i/>
          <w:iCs/>
          <w:color w:val="000000" w:themeColor="text1"/>
          <w:kern w:val="2"/>
          <w:position w:val="-9"/>
          <w:vertAlign w:val="subscript"/>
        </w:rPr>
        <w:t>2</w:t>
      </w:r>
      <w:r w:rsidRPr="00E43E0F">
        <w:rPr>
          <w:rFonts w:ascii="Times New Roman" w:eastAsia="等线" w:hAnsi="Times New Roman" w:cs="Times New Roman"/>
          <w:i/>
          <w:iCs/>
          <w:color w:val="000000" w:themeColor="text1"/>
          <w:kern w:val="2"/>
        </w:rPr>
        <w:t>OX</w:t>
      </w:r>
      <w:r w:rsidRPr="00E43E0F">
        <w:rPr>
          <w:rFonts w:ascii="Times New Roman" w:eastAsia="等线" w:hAnsi="Times New Roman" w:cs="Times New Roman"/>
          <w:color w:val="000000" w:themeColor="text1"/>
          <w:kern w:val="2"/>
        </w:rPr>
        <w:t xml:space="preserve">, </w:t>
      </w:r>
      <w:r w:rsidRPr="00E43E0F">
        <w:rPr>
          <w:rFonts w:ascii="Times New Roman" w:eastAsia="等线" w:hAnsi="Times New Roman" w:cs="Times New Roman"/>
          <w:i/>
          <w:iCs/>
          <w:color w:val="000000" w:themeColor="text1"/>
          <w:kern w:val="2"/>
        </w:rPr>
        <w:t>GIBBERELLIN 2−OXIDASE</w:t>
      </w:r>
      <w:r w:rsidRPr="00E43E0F">
        <w:rPr>
          <w:rFonts w:ascii="Times New Roman" w:eastAsia="等线" w:hAnsi="Times New Roman" w:cs="Times New Roman"/>
          <w:color w:val="000000" w:themeColor="text1"/>
          <w:kern w:val="2"/>
        </w:rPr>
        <w:t xml:space="preserve">. </w:t>
      </w:r>
      <w:r w:rsidRPr="00E43E0F">
        <w:rPr>
          <w:rFonts w:ascii="Times New Roman" w:eastAsia="等线" w:hAnsi="Times New Roman" w:cs="Times New Roman"/>
          <w:i/>
          <w:iCs/>
          <w:color w:val="000000" w:themeColor="text1"/>
          <w:kern w:val="2"/>
        </w:rPr>
        <w:t>GID</w:t>
      </w:r>
      <w:r w:rsidRPr="00E43E0F">
        <w:rPr>
          <w:rFonts w:ascii="Times New Roman" w:eastAsia="等线" w:hAnsi="Times New Roman" w:cs="Times New Roman"/>
          <w:color w:val="000000" w:themeColor="text1"/>
          <w:kern w:val="2"/>
        </w:rPr>
        <w:t xml:space="preserve">, </w:t>
      </w:r>
      <w:r w:rsidRPr="00E43E0F">
        <w:rPr>
          <w:rFonts w:ascii="Times New Roman" w:eastAsia="等线" w:hAnsi="Times New Roman" w:cs="Times New Roman"/>
          <w:i/>
          <w:iCs/>
          <w:color w:val="000000" w:themeColor="text1"/>
          <w:kern w:val="2"/>
        </w:rPr>
        <w:t>GIBBERELLIN-INSENSITIVE DWARF 1</w:t>
      </w:r>
      <w:r w:rsidRPr="00E43E0F">
        <w:rPr>
          <w:rFonts w:ascii="Times New Roman" w:eastAsia="等线" w:hAnsi="Times New Roman" w:cs="Times New Roman"/>
          <w:color w:val="000000" w:themeColor="text1"/>
          <w:kern w:val="2"/>
        </w:rPr>
        <w:t xml:space="preserve">. </w:t>
      </w:r>
      <w:r w:rsidRPr="00E43E0F">
        <w:rPr>
          <w:rFonts w:ascii="Times New Roman" w:eastAsia="等线" w:hAnsi="Times New Roman" w:cs="Times New Roman"/>
          <w:i/>
          <w:iCs/>
          <w:color w:val="000000" w:themeColor="text1"/>
          <w:kern w:val="2"/>
        </w:rPr>
        <w:t>IAA4</w:t>
      </w:r>
      <w:r w:rsidRPr="00E43E0F">
        <w:rPr>
          <w:rFonts w:ascii="Times New Roman" w:eastAsia="等线" w:hAnsi="Times New Roman" w:cs="Times New Roman"/>
          <w:color w:val="000000" w:themeColor="text1"/>
          <w:kern w:val="2"/>
        </w:rPr>
        <w:t xml:space="preserve">, </w:t>
      </w:r>
      <w:r w:rsidRPr="00E43E0F">
        <w:rPr>
          <w:rFonts w:ascii="Times New Roman" w:eastAsia="等线" w:hAnsi="Times New Roman" w:cs="Times New Roman"/>
          <w:i/>
          <w:iCs/>
          <w:color w:val="000000" w:themeColor="text1"/>
          <w:kern w:val="2"/>
        </w:rPr>
        <w:t>INDOLE-3-ACETIC ACID INDUCIBLE 4</w:t>
      </w:r>
      <w:r w:rsidRPr="00E43E0F">
        <w:rPr>
          <w:rFonts w:ascii="Times New Roman" w:eastAsia="等线" w:hAnsi="Times New Roman" w:cs="Times New Roman"/>
          <w:color w:val="000000" w:themeColor="text1"/>
          <w:kern w:val="2"/>
        </w:rPr>
        <w:t xml:space="preserve">. </w:t>
      </w:r>
      <w:r w:rsidRPr="00E43E0F">
        <w:rPr>
          <w:rFonts w:ascii="Times New Roman" w:eastAsia="等线" w:hAnsi="Times New Roman" w:cs="Times New Roman"/>
          <w:i/>
          <w:iCs/>
          <w:color w:val="000000" w:themeColor="text1"/>
          <w:kern w:val="2"/>
        </w:rPr>
        <w:t>GH3</w:t>
      </w:r>
      <w:r w:rsidRPr="00E43E0F">
        <w:rPr>
          <w:rFonts w:ascii="Times New Roman" w:eastAsia="等线" w:hAnsi="Times New Roman" w:cs="Times New Roman"/>
          <w:color w:val="000000" w:themeColor="text1"/>
          <w:kern w:val="2"/>
        </w:rPr>
        <w:t xml:space="preserve">, </w:t>
      </w:r>
      <w:r w:rsidRPr="00E43E0F">
        <w:rPr>
          <w:rFonts w:ascii="Times New Roman" w:eastAsia="等线" w:hAnsi="Times New Roman" w:cs="Times New Roman"/>
          <w:i/>
          <w:iCs/>
          <w:color w:val="000000" w:themeColor="text1"/>
          <w:kern w:val="2"/>
        </w:rPr>
        <w:t>GRETCHEN HAGEN 3</w:t>
      </w:r>
      <w:r w:rsidRPr="00E43E0F">
        <w:rPr>
          <w:rFonts w:ascii="Times New Roman" w:eastAsia="等线" w:hAnsi="Times New Roman" w:cs="Times New Roman"/>
          <w:color w:val="000000" w:themeColor="text1"/>
          <w:kern w:val="2"/>
        </w:rPr>
        <w:t xml:space="preserve">. </w:t>
      </w:r>
      <w:r w:rsidRPr="00E43E0F">
        <w:rPr>
          <w:rFonts w:ascii="Times New Roman" w:eastAsia="等线" w:hAnsi="Times New Roman" w:cs="Times New Roman"/>
          <w:i/>
          <w:iCs/>
          <w:color w:val="000000" w:themeColor="text1"/>
          <w:kern w:val="2"/>
        </w:rPr>
        <w:t>SAUR</w:t>
      </w:r>
      <w:r w:rsidRPr="00E43E0F">
        <w:rPr>
          <w:rFonts w:ascii="Times New Roman" w:eastAsia="等线" w:hAnsi="Times New Roman" w:cs="Times New Roman"/>
          <w:color w:val="000000" w:themeColor="text1"/>
          <w:kern w:val="2"/>
        </w:rPr>
        <w:t xml:space="preserve">, </w:t>
      </w:r>
      <w:r w:rsidRPr="00E43E0F">
        <w:rPr>
          <w:rFonts w:ascii="Times New Roman" w:eastAsia="等线" w:hAnsi="Times New Roman" w:cs="Times New Roman"/>
          <w:i/>
          <w:iCs/>
          <w:color w:val="000000" w:themeColor="text1"/>
          <w:kern w:val="2"/>
        </w:rPr>
        <w:t>SMALL AUXIN UPREGULATED RNA</w:t>
      </w:r>
      <w:r w:rsidRPr="00E43E0F">
        <w:rPr>
          <w:rFonts w:ascii="Times New Roman" w:eastAsia="等线" w:hAnsi="Times New Roman" w:cs="Times New Roman"/>
          <w:color w:val="000000" w:themeColor="text1"/>
          <w:kern w:val="2"/>
        </w:rPr>
        <w:t xml:space="preserve">. </w:t>
      </w:r>
      <w:r w:rsidRPr="00E43E0F">
        <w:rPr>
          <w:rFonts w:ascii="Times New Roman" w:eastAsia="等线" w:hAnsi="Times New Roman" w:cs="Times New Roman"/>
          <w:i/>
          <w:iCs/>
          <w:color w:val="000000" w:themeColor="text1"/>
          <w:kern w:val="2"/>
        </w:rPr>
        <w:t>IPT</w:t>
      </w:r>
      <w:r w:rsidRPr="00E43E0F">
        <w:rPr>
          <w:rFonts w:ascii="Times New Roman" w:eastAsia="等线" w:hAnsi="Times New Roman" w:cs="Times New Roman"/>
          <w:color w:val="000000" w:themeColor="text1"/>
          <w:kern w:val="2"/>
        </w:rPr>
        <w:t xml:space="preserve">, </w:t>
      </w:r>
      <w:r w:rsidRPr="00E43E0F">
        <w:rPr>
          <w:rFonts w:ascii="Times New Roman" w:eastAsia="等线" w:hAnsi="Times New Roman" w:cs="Times New Roman"/>
          <w:i/>
          <w:iCs/>
          <w:color w:val="000000" w:themeColor="text1"/>
          <w:kern w:val="2"/>
        </w:rPr>
        <w:t>ISOPENTENYLTRANSFERASE</w:t>
      </w:r>
      <w:r w:rsidRPr="00E43E0F">
        <w:rPr>
          <w:rFonts w:ascii="Times New Roman" w:eastAsia="等线" w:hAnsi="Times New Roman" w:cs="Times New Roman"/>
          <w:color w:val="000000" w:themeColor="text1"/>
          <w:kern w:val="2"/>
        </w:rPr>
        <w:t xml:space="preserve">. </w:t>
      </w:r>
      <w:r w:rsidRPr="00E43E0F">
        <w:rPr>
          <w:rFonts w:ascii="Times New Roman" w:eastAsia="等线" w:hAnsi="Times New Roman" w:cs="Times New Roman"/>
          <w:i/>
          <w:iCs/>
          <w:color w:val="000000" w:themeColor="text1"/>
          <w:kern w:val="2"/>
        </w:rPr>
        <w:t>CKX</w:t>
      </w:r>
      <w:r w:rsidRPr="00E43E0F">
        <w:rPr>
          <w:rFonts w:ascii="Times New Roman" w:eastAsia="等线" w:hAnsi="Times New Roman" w:cs="Times New Roman"/>
          <w:color w:val="000000" w:themeColor="text1"/>
          <w:kern w:val="2"/>
        </w:rPr>
        <w:t xml:space="preserve">, </w:t>
      </w:r>
      <w:r w:rsidRPr="00E43E0F">
        <w:rPr>
          <w:rFonts w:ascii="Times New Roman" w:eastAsia="等线" w:hAnsi="Times New Roman" w:cs="Times New Roman"/>
          <w:i/>
          <w:iCs/>
          <w:color w:val="000000" w:themeColor="text1"/>
          <w:kern w:val="2"/>
        </w:rPr>
        <w:t>CYTOKININ OXIDASE</w:t>
      </w:r>
      <w:r w:rsidRPr="00E43E0F">
        <w:rPr>
          <w:rFonts w:ascii="Times New Roman" w:eastAsia="等线" w:hAnsi="Times New Roman" w:cs="Times New Roman"/>
          <w:color w:val="000000" w:themeColor="text1"/>
          <w:kern w:val="2"/>
        </w:rPr>
        <w:t xml:space="preserve">. </w:t>
      </w:r>
      <w:r w:rsidRPr="00E43E0F">
        <w:rPr>
          <w:rFonts w:ascii="Times New Roman" w:eastAsia="等线" w:hAnsi="Times New Roman" w:cs="Times New Roman"/>
          <w:i/>
          <w:iCs/>
          <w:color w:val="000000" w:themeColor="text1"/>
          <w:kern w:val="2"/>
        </w:rPr>
        <w:t>ARR</w:t>
      </w:r>
      <w:r w:rsidRPr="00E43E0F">
        <w:rPr>
          <w:rFonts w:ascii="Times New Roman" w:eastAsia="等线" w:hAnsi="Times New Roman" w:cs="Times New Roman"/>
          <w:color w:val="000000" w:themeColor="text1"/>
          <w:kern w:val="2"/>
        </w:rPr>
        <w:t xml:space="preserve">, </w:t>
      </w:r>
      <w:r w:rsidRPr="00E43E0F">
        <w:rPr>
          <w:rFonts w:ascii="Times New Roman" w:eastAsia="等线" w:hAnsi="Times New Roman" w:cs="Times New Roman"/>
          <w:i/>
          <w:iCs/>
          <w:color w:val="000000" w:themeColor="text1"/>
          <w:kern w:val="2"/>
        </w:rPr>
        <w:t>ARABIDOPSIS RESPONSE REGULATOR.</w:t>
      </w:r>
    </w:p>
    <w:p w14:paraId="309AE39F" w14:textId="77777777" w:rsidR="00550408" w:rsidRDefault="00550408">
      <w:pPr>
        <w:widowControl/>
        <w:jc w:val="left"/>
        <w:rPr>
          <w:rFonts w:ascii="Times New Roman" w:eastAsia="宋体" w:hAnsi="Times New Roman" w:cs="Times New Roman"/>
          <w:kern w:val="0"/>
          <w:sz w:val="24"/>
          <w:szCs w:val="24"/>
        </w:rPr>
      </w:pPr>
      <w:r>
        <w:rPr>
          <w:rFonts w:ascii="Times New Roman" w:hAnsi="Times New Roman" w:cs="Times New Roman"/>
        </w:rPr>
        <w:br w:type="page"/>
      </w:r>
    </w:p>
    <w:p w14:paraId="11A34000" w14:textId="6266784C" w:rsidR="00E43E0F" w:rsidRPr="00E43E0F" w:rsidRDefault="00E43E0F" w:rsidP="00550408">
      <w:pPr>
        <w:pStyle w:val="a3"/>
        <w:spacing w:before="0" w:beforeAutospacing="0" w:after="0" w:afterAutospacing="0" w:line="360" w:lineRule="auto"/>
        <w:rPr>
          <w:rFonts w:ascii="Times New Roman" w:hAnsi="Times New Roman" w:cs="Times New Roman"/>
        </w:rPr>
      </w:pPr>
      <w:r w:rsidRPr="00E43E0F">
        <w:rPr>
          <w:rFonts w:ascii="Times New Roman" w:hAnsi="Times New Roman" w:cs="Times New Roman"/>
        </w:rPr>
        <w:lastRenderedPageBreak/>
        <w:t>Fig</w:t>
      </w:r>
      <w:r w:rsidR="00550408">
        <w:rPr>
          <w:rFonts w:ascii="Times New Roman" w:hAnsi="Times New Roman" w:cs="Times New Roman"/>
        </w:rPr>
        <w:t>ure</w:t>
      </w:r>
      <w:r w:rsidRPr="00E43E0F">
        <w:rPr>
          <w:rFonts w:ascii="Times New Roman" w:hAnsi="Times New Roman" w:cs="Times New Roman"/>
        </w:rPr>
        <w:t xml:space="preserve"> S4</w:t>
      </w:r>
    </w:p>
    <w:p w14:paraId="65ECE8A4" w14:textId="49D48E96" w:rsidR="00E43E0F" w:rsidRDefault="00E43E0F" w:rsidP="00E43E0F">
      <w:r>
        <w:rPr>
          <w:noProof/>
        </w:rPr>
        <w:drawing>
          <wp:inline distT="0" distB="0" distL="0" distR="0" wp14:anchorId="3ADC49AC" wp14:editId="2A5A2DA6">
            <wp:extent cx="5274310" cy="334264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342640"/>
                    </a:xfrm>
                    <a:prstGeom prst="rect">
                      <a:avLst/>
                    </a:prstGeom>
                    <a:noFill/>
                    <a:ln>
                      <a:noFill/>
                    </a:ln>
                  </pic:spPr>
                </pic:pic>
              </a:graphicData>
            </a:graphic>
          </wp:inline>
        </w:drawing>
      </w:r>
    </w:p>
    <w:p w14:paraId="229DE2D8" w14:textId="25D6C7A5" w:rsidR="00E43E0F" w:rsidRPr="00E43E0F" w:rsidRDefault="00E43E0F" w:rsidP="00E43E0F">
      <w:pPr>
        <w:pStyle w:val="a3"/>
        <w:spacing w:before="0" w:beforeAutospacing="0" w:after="0" w:afterAutospacing="0" w:line="360" w:lineRule="auto"/>
        <w:jc w:val="both"/>
        <w:rPr>
          <w:rFonts w:ascii="Times New Roman" w:hAnsi="Times New Roman" w:cs="Times New Roman"/>
        </w:rPr>
      </w:pPr>
      <w:r w:rsidRPr="00E43E0F">
        <w:rPr>
          <w:rFonts w:ascii="Times New Roman" w:eastAsia="等线" w:hAnsi="Times New Roman" w:cs="Times New Roman"/>
          <w:b/>
          <w:bCs/>
          <w:color w:val="000000" w:themeColor="text1"/>
          <w:kern w:val="2"/>
        </w:rPr>
        <w:t>Fig</w:t>
      </w:r>
      <w:r w:rsidR="00550408">
        <w:rPr>
          <w:rFonts w:ascii="Times New Roman" w:eastAsia="等线" w:hAnsi="Times New Roman" w:cs="Times New Roman"/>
          <w:b/>
          <w:bCs/>
          <w:color w:val="000000" w:themeColor="text1"/>
          <w:kern w:val="2"/>
        </w:rPr>
        <w:t>ure</w:t>
      </w:r>
      <w:r w:rsidRPr="00E43E0F">
        <w:rPr>
          <w:rFonts w:ascii="Times New Roman" w:eastAsia="等线" w:hAnsi="Times New Roman" w:cs="Times New Roman"/>
          <w:b/>
          <w:bCs/>
          <w:color w:val="000000" w:themeColor="text1"/>
          <w:kern w:val="2"/>
        </w:rPr>
        <w:t xml:space="preserve"> S4. Gene ontology analysis reveals cell-wall remodeling process was activated in early stage of quinoa seed germination.</w:t>
      </w:r>
    </w:p>
    <w:p w14:paraId="03988B14" w14:textId="77777777" w:rsidR="00550408" w:rsidRDefault="00E43E0F" w:rsidP="00E43E0F">
      <w:pPr>
        <w:pStyle w:val="a3"/>
        <w:spacing w:before="0" w:beforeAutospacing="0" w:after="0" w:afterAutospacing="0" w:line="360" w:lineRule="auto"/>
        <w:jc w:val="both"/>
        <w:rPr>
          <w:rFonts w:ascii="Times New Roman" w:eastAsia="等线" w:hAnsi="Times New Roman" w:cs="Times New Roman"/>
          <w:color w:val="000000" w:themeColor="text1"/>
          <w:kern w:val="2"/>
        </w:rPr>
      </w:pPr>
      <w:r w:rsidRPr="00E43E0F">
        <w:rPr>
          <w:rFonts w:ascii="Times New Roman" w:eastAsia="等线" w:hAnsi="Times New Roman" w:cs="Times New Roman"/>
          <w:color w:val="000000" w:themeColor="text1"/>
          <w:kern w:val="2"/>
        </w:rPr>
        <w:t xml:space="preserve">GO analysis of DEGs among dry seeds (stage I) versus seeds imbibition (stage II). GO enrichment terms were classified into three functional groups including cellular components, molecular functions and biological process.   </w:t>
      </w:r>
    </w:p>
    <w:p w14:paraId="6B67EF49" w14:textId="77777777" w:rsidR="00550408" w:rsidRDefault="00550408">
      <w:pPr>
        <w:widowControl/>
        <w:jc w:val="left"/>
        <w:rPr>
          <w:rFonts w:ascii="Times New Roman" w:eastAsia="等线" w:hAnsi="Times New Roman" w:cs="Times New Roman"/>
          <w:color w:val="000000" w:themeColor="text1"/>
          <w:sz w:val="24"/>
          <w:szCs w:val="24"/>
        </w:rPr>
      </w:pPr>
      <w:r>
        <w:rPr>
          <w:rFonts w:ascii="Times New Roman" w:eastAsia="等线" w:hAnsi="Times New Roman" w:cs="Times New Roman"/>
          <w:color w:val="000000" w:themeColor="text1"/>
        </w:rPr>
        <w:br w:type="page"/>
      </w:r>
    </w:p>
    <w:p w14:paraId="7A75AFA8" w14:textId="12F8CB8B" w:rsidR="00E43E0F" w:rsidRDefault="00E43E0F" w:rsidP="00E43E0F">
      <w:pPr>
        <w:pStyle w:val="a3"/>
        <w:spacing w:before="0" w:beforeAutospacing="0" w:after="0" w:afterAutospacing="0" w:line="360" w:lineRule="auto"/>
        <w:jc w:val="both"/>
        <w:rPr>
          <w:rFonts w:ascii="Times New Roman" w:eastAsia="等线" w:hAnsi="Times New Roman" w:cs="Times New Roman"/>
          <w:color w:val="000000" w:themeColor="text1"/>
          <w:kern w:val="2"/>
        </w:rPr>
      </w:pPr>
      <w:r>
        <w:rPr>
          <w:rFonts w:ascii="Times New Roman" w:eastAsia="等线" w:hAnsi="Times New Roman" w:cs="Times New Roman"/>
          <w:color w:val="000000" w:themeColor="text1"/>
          <w:kern w:val="2"/>
        </w:rPr>
        <w:lastRenderedPageBreak/>
        <w:t>Fig</w:t>
      </w:r>
      <w:r w:rsidR="00550408">
        <w:rPr>
          <w:rFonts w:ascii="Times New Roman" w:eastAsia="等线" w:hAnsi="Times New Roman" w:cs="Times New Roman"/>
          <w:color w:val="000000" w:themeColor="text1"/>
          <w:kern w:val="2"/>
        </w:rPr>
        <w:t>ure</w:t>
      </w:r>
      <w:r>
        <w:rPr>
          <w:rFonts w:ascii="Times New Roman" w:eastAsia="等线" w:hAnsi="Times New Roman" w:cs="Times New Roman"/>
          <w:color w:val="000000" w:themeColor="text1"/>
          <w:kern w:val="2"/>
        </w:rPr>
        <w:t xml:space="preserve"> S</w:t>
      </w:r>
      <w:r w:rsidR="00BB515D">
        <w:rPr>
          <w:rFonts w:ascii="Times New Roman" w:eastAsia="等线" w:hAnsi="Times New Roman" w:cs="Times New Roman"/>
          <w:color w:val="000000" w:themeColor="text1"/>
          <w:kern w:val="2"/>
        </w:rPr>
        <w:t>5</w:t>
      </w:r>
    </w:p>
    <w:p w14:paraId="3667805C" w14:textId="384906F6" w:rsidR="00BB515D" w:rsidRDefault="00BB515D" w:rsidP="00E43E0F">
      <w:pPr>
        <w:pStyle w:val="a3"/>
        <w:spacing w:before="0" w:beforeAutospacing="0" w:after="0" w:afterAutospacing="0" w:line="360" w:lineRule="auto"/>
        <w:jc w:val="both"/>
        <w:rPr>
          <w:rFonts w:ascii="Times New Roman" w:hAnsi="Times New Roman" w:cs="Times New Roman"/>
        </w:rPr>
      </w:pPr>
      <w:r>
        <w:rPr>
          <w:noProof/>
        </w:rPr>
        <w:drawing>
          <wp:inline distT="0" distB="0" distL="0" distR="0" wp14:anchorId="40901D5F" wp14:editId="50642639">
            <wp:extent cx="5274310" cy="539813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5398135"/>
                    </a:xfrm>
                    <a:prstGeom prst="rect">
                      <a:avLst/>
                    </a:prstGeom>
                    <a:noFill/>
                    <a:ln>
                      <a:noFill/>
                    </a:ln>
                  </pic:spPr>
                </pic:pic>
              </a:graphicData>
            </a:graphic>
          </wp:inline>
        </w:drawing>
      </w:r>
    </w:p>
    <w:p w14:paraId="0F6CA465" w14:textId="1ED67ABC" w:rsidR="00BB515D" w:rsidRPr="00BB515D" w:rsidRDefault="00BB515D" w:rsidP="00BB515D">
      <w:pPr>
        <w:pStyle w:val="a3"/>
        <w:spacing w:before="0" w:beforeAutospacing="0" w:after="0" w:afterAutospacing="0" w:line="360" w:lineRule="auto"/>
        <w:jc w:val="both"/>
        <w:rPr>
          <w:rFonts w:ascii="Times New Roman" w:hAnsi="Times New Roman" w:cs="Times New Roman"/>
        </w:rPr>
      </w:pPr>
      <w:r w:rsidRPr="00BB515D">
        <w:rPr>
          <w:rFonts w:ascii="Times New Roman" w:eastAsia="等线" w:hAnsi="Times New Roman" w:cs="Times New Roman"/>
          <w:b/>
          <w:bCs/>
          <w:color w:val="000000" w:themeColor="text1"/>
          <w:kern w:val="2"/>
        </w:rPr>
        <w:t>Fig</w:t>
      </w:r>
      <w:r w:rsidR="00550408">
        <w:rPr>
          <w:rFonts w:ascii="Times New Roman" w:eastAsia="等线" w:hAnsi="Times New Roman" w:cs="Times New Roman"/>
          <w:b/>
          <w:bCs/>
          <w:color w:val="000000" w:themeColor="text1"/>
          <w:kern w:val="2"/>
        </w:rPr>
        <w:t>ure</w:t>
      </w:r>
      <w:r w:rsidRPr="00BB515D">
        <w:rPr>
          <w:rFonts w:ascii="Times New Roman" w:eastAsia="等线" w:hAnsi="Times New Roman" w:cs="Times New Roman"/>
          <w:b/>
          <w:bCs/>
          <w:color w:val="000000" w:themeColor="text1"/>
          <w:kern w:val="2"/>
        </w:rPr>
        <w:t xml:space="preserve"> S5. </w:t>
      </w:r>
      <w:proofErr w:type="spellStart"/>
      <w:r w:rsidRPr="00BB515D">
        <w:rPr>
          <w:rFonts w:ascii="Times New Roman" w:eastAsia="等线" w:hAnsi="Times New Roman" w:cs="Times New Roman"/>
          <w:b/>
          <w:bCs/>
          <w:color w:val="000000" w:themeColor="text1"/>
          <w:kern w:val="2"/>
        </w:rPr>
        <w:t>qRT</w:t>
      </w:r>
      <w:proofErr w:type="spellEnd"/>
      <w:r w:rsidRPr="00BB515D">
        <w:rPr>
          <w:rFonts w:ascii="Times New Roman" w:eastAsia="等线" w:hAnsi="Times New Roman" w:cs="Times New Roman"/>
          <w:b/>
          <w:bCs/>
          <w:color w:val="000000" w:themeColor="text1"/>
          <w:kern w:val="2"/>
        </w:rPr>
        <w:t xml:space="preserve">-PCR verification of the genes involved in photosynthesis process. </w:t>
      </w:r>
    </w:p>
    <w:p w14:paraId="649CD88B" w14:textId="252F3BAA" w:rsidR="00BB515D" w:rsidRPr="00BB515D" w:rsidRDefault="00BB515D" w:rsidP="00E43E0F">
      <w:pPr>
        <w:pStyle w:val="a3"/>
        <w:spacing w:before="0" w:beforeAutospacing="0" w:after="0" w:afterAutospacing="0" w:line="360" w:lineRule="auto"/>
        <w:jc w:val="both"/>
        <w:rPr>
          <w:rFonts w:ascii="Times New Roman" w:hAnsi="Times New Roman" w:cs="Times New Roman"/>
        </w:rPr>
      </w:pPr>
      <w:r w:rsidRPr="00BB515D">
        <w:rPr>
          <w:rFonts w:ascii="Times New Roman" w:eastAsia="等线" w:hAnsi="Times New Roman" w:cs="Times New Roman"/>
          <w:color w:val="000000" w:themeColor="text1"/>
          <w:kern w:val="2"/>
        </w:rPr>
        <w:t xml:space="preserve">The transcript levels of four genes involved in photosynthesis, </w:t>
      </w:r>
      <w:proofErr w:type="spellStart"/>
      <w:r w:rsidRPr="00BB515D">
        <w:rPr>
          <w:rFonts w:ascii="Times New Roman" w:eastAsia="等线" w:hAnsi="Times New Roman" w:cs="Times New Roman"/>
          <w:i/>
          <w:iCs/>
          <w:color w:val="000000" w:themeColor="text1"/>
          <w:kern w:val="2"/>
        </w:rPr>
        <w:t>CqPsaK</w:t>
      </w:r>
      <w:proofErr w:type="spellEnd"/>
      <w:r w:rsidRPr="00BB515D">
        <w:rPr>
          <w:rFonts w:ascii="Times New Roman" w:eastAsia="等线" w:hAnsi="Times New Roman" w:cs="Times New Roman"/>
          <w:i/>
          <w:iCs/>
          <w:color w:val="000000" w:themeColor="text1"/>
          <w:kern w:val="2"/>
        </w:rPr>
        <w:t xml:space="preserve"> </w:t>
      </w:r>
      <w:r w:rsidRPr="00BB515D">
        <w:rPr>
          <w:rFonts w:ascii="Times New Roman" w:eastAsia="等线" w:hAnsi="Times New Roman" w:cs="Times New Roman"/>
          <w:color w:val="000000" w:themeColor="text1"/>
          <w:kern w:val="2"/>
        </w:rPr>
        <w:t xml:space="preserve">(photosystem I subunit), </w:t>
      </w:r>
      <w:r w:rsidRPr="00BB515D">
        <w:rPr>
          <w:rFonts w:ascii="Times New Roman" w:eastAsia="等线" w:hAnsi="Times New Roman" w:cs="Times New Roman"/>
          <w:i/>
          <w:iCs/>
          <w:color w:val="000000" w:themeColor="text1"/>
          <w:kern w:val="2"/>
        </w:rPr>
        <w:t>CqLHCA1</w:t>
      </w:r>
      <w:r w:rsidRPr="00BB515D">
        <w:rPr>
          <w:rFonts w:ascii="Times New Roman" w:eastAsia="等线" w:hAnsi="Times New Roman" w:cs="Times New Roman"/>
          <w:color w:val="000000" w:themeColor="text1"/>
          <w:kern w:val="2"/>
        </w:rPr>
        <w:t xml:space="preserve"> and </w:t>
      </w:r>
      <w:r w:rsidRPr="00BB515D">
        <w:rPr>
          <w:rFonts w:ascii="Times New Roman" w:eastAsia="等线" w:hAnsi="Times New Roman" w:cs="Times New Roman"/>
          <w:i/>
          <w:iCs/>
          <w:color w:val="000000" w:themeColor="text1"/>
          <w:kern w:val="2"/>
        </w:rPr>
        <w:t xml:space="preserve">CqLHCA3 </w:t>
      </w:r>
      <w:r w:rsidRPr="00BB515D">
        <w:rPr>
          <w:rFonts w:ascii="Times New Roman" w:eastAsia="等线" w:hAnsi="Times New Roman" w:cs="Times New Roman"/>
          <w:color w:val="000000" w:themeColor="text1"/>
          <w:kern w:val="2"/>
        </w:rPr>
        <w:t xml:space="preserve">(photosystem I-LHC), </w:t>
      </w:r>
      <w:r w:rsidRPr="00BB515D">
        <w:rPr>
          <w:rFonts w:ascii="Times New Roman" w:eastAsia="等线" w:hAnsi="Times New Roman" w:cs="Times New Roman"/>
          <w:i/>
          <w:iCs/>
          <w:color w:val="000000" w:themeColor="text1"/>
          <w:kern w:val="2"/>
        </w:rPr>
        <w:t xml:space="preserve">CqLHCA4.2 </w:t>
      </w:r>
      <w:r w:rsidRPr="00BB515D">
        <w:rPr>
          <w:rFonts w:ascii="Times New Roman" w:eastAsia="等线" w:hAnsi="Times New Roman" w:cs="Times New Roman"/>
          <w:color w:val="000000" w:themeColor="text1"/>
          <w:kern w:val="2"/>
        </w:rPr>
        <w:t xml:space="preserve">(photosystem II-LHC), </w:t>
      </w:r>
      <w:proofErr w:type="spellStart"/>
      <w:r w:rsidRPr="00BB515D">
        <w:rPr>
          <w:rFonts w:ascii="Times New Roman" w:eastAsia="等线" w:hAnsi="Times New Roman" w:cs="Times New Roman"/>
          <w:i/>
          <w:iCs/>
          <w:color w:val="000000" w:themeColor="text1"/>
          <w:kern w:val="2"/>
        </w:rPr>
        <w:t>CqPETC</w:t>
      </w:r>
      <w:proofErr w:type="spellEnd"/>
      <w:r w:rsidRPr="00BB515D">
        <w:rPr>
          <w:rFonts w:ascii="Times New Roman" w:eastAsia="等线" w:hAnsi="Times New Roman" w:cs="Times New Roman"/>
          <w:color w:val="000000" w:themeColor="text1"/>
          <w:kern w:val="2"/>
        </w:rPr>
        <w:t xml:space="preserve"> (electron transfer) and </w:t>
      </w:r>
      <w:r w:rsidRPr="00BB515D">
        <w:rPr>
          <w:rFonts w:ascii="Times New Roman" w:eastAsia="等线" w:hAnsi="Times New Roman" w:cs="Times New Roman"/>
          <w:i/>
          <w:iCs/>
          <w:color w:val="000000" w:themeColor="text1"/>
          <w:kern w:val="2"/>
        </w:rPr>
        <w:t xml:space="preserve">CqRBCS1A </w:t>
      </w:r>
      <w:r w:rsidRPr="00BB515D">
        <w:rPr>
          <w:rFonts w:ascii="Times New Roman" w:eastAsia="等线" w:hAnsi="Times New Roman" w:cs="Times New Roman"/>
          <w:color w:val="000000" w:themeColor="text1"/>
          <w:kern w:val="2"/>
        </w:rPr>
        <w:t xml:space="preserve">(Calvin-cycle related), were detected by </w:t>
      </w:r>
      <w:proofErr w:type="spellStart"/>
      <w:r w:rsidRPr="00BB515D">
        <w:rPr>
          <w:rFonts w:ascii="Times New Roman" w:eastAsia="等线" w:hAnsi="Times New Roman" w:cs="Times New Roman"/>
          <w:color w:val="000000" w:themeColor="text1"/>
          <w:kern w:val="2"/>
        </w:rPr>
        <w:t>qRT</w:t>
      </w:r>
      <w:proofErr w:type="spellEnd"/>
      <w:r w:rsidRPr="00BB515D">
        <w:rPr>
          <w:rFonts w:ascii="Times New Roman" w:eastAsia="等线" w:hAnsi="Times New Roman" w:cs="Times New Roman"/>
          <w:color w:val="000000" w:themeColor="text1"/>
          <w:kern w:val="2"/>
        </w:rPr>
        <w:t xml:space="preserve">-PCR assay, which were upregulated at imbibed stage during germination. Values are means ± SD (n = 3). *** </w:t>
      </w:r>
      <w:r w:rsidRPr="00BB515D">
        <w:rPr>
          <w:rFonts w:ascii="Times New Roman" w:eastAsia="等线" w:hAnsi="Times New Roman" w:cs="Times New Roman"/>
          <w:i/>
          <w:iCs/>
          <w:color w:val="000000" w:themeColor="text1"/>
          <w:kern w:val="2"/>
        </w:rPr>
        <w:t>P</w:t>
      </w:r>
      <w:r w:rsidRPr="00BB515D">
        <w:rPr>
          <w:rFonts w:ascii="Times New Roman" w:eastAsia="等线" w:hAnsi="Times New Roman" w:cs="Times New Roman"/>
          <w:color w:val="000000" w:themeColor="text1"/>
          <w:kern w:val="2"/>
        </w:rPr>
        <w:t xml:space="preserve"> &lt; 0.001, Student's t-test.</w:t>
      </w:r>
    </w:p>
    <w:p w14:paraId="7A6EDF50" w14:textId="77777777" w:rsidR="00E43E0F" w:rsidRPr="00E43E0F" w:rsidRDefault="00E43E0F" w:rsidP="00E43E0F">
      <w:pPr>
        <w:spacing w:line="360" w:lineRule="auto"/>
        <w:rPr>
          <w:rFonts w:ascii="Times New Roman" w:hAnsi="Times New Roman" w:cs="Times New Roman"/>
          <w:sz w:val="24"/>
          <w:szCs w:val="24"/>
        </w:rPr>
      </w:pPr>
    </w:p>
    <w:sectPr w:rsidR="00E43E0F" w:rsidRPr="00E43E0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93E26" w14:textId="77777777" w:rsidR="00E40915" w:rsidRDefault="00E40915" w:rsidP="00B95147">
      <w:r>
        <w:separator/>
      </w:r>
    </w:p>
  </w:endnote>
  <w:endnote w:type="continuationSeparator" w:id="0">
    <w:p w14:paraId="3AE0BFEA" w14:textId="77777777" w:rsidR="00E40915" w:rsidRDefault="00E40915" w:rsidP="00B95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CA7A3" w14:textId="77777777" w:rsidR="00E40915" w:rsidRDefault="00E40915" w:rsidP="00B95147">
      <w:r>
        <w:separator/>
      </w:r>
    </w:p>
  </w:footnote>
  <w:footnote w:type="continuationSeparator" w:id="0">
    <w:p w14:paraId="1C2D83E4" w14:textId="77777777" w:rsidR="00E40915" w:rsidRDefault="00E40915" w:rsidP="00B951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E0F"/>
    <w:rsid w:val="002C12B9"/>
    <w:rsid w:val="00410A4C"/>
    <w:rsid w:val="00524AF6"/>
    <w:rsid w:val="00550408"/>
    <w:rsid w:val="00AA2EF8"/>
    <w:rsid w:val="00B95147"/>
    <w:rsid w:val="00B9554F"/>
    <w:rsid w:val="00BB515D"/>
    <w:rsid w:val="00C2409E"/>
    <w:rsid w:val="00D80004"/>
    <w:rsid w:val="00E40915"/>
    <w:rsid w:val="00E43E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A546D"/>
  <w15:chartTrackingRefBased/>
  <w15:docId w15:val="{D9DE3061-E900-45D5-84FE-1400C1D99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43E0F"/>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a5"/>
    <w:uiPriority w:val="99"/>
    <w:unhideWhenUsed/>
    <w:rsid w:val="00B9514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B95147"/>
    <w:rPr>
      <w:sz w:val="18"/>
      <w:szCs w:val="18"/>
    </w:rPr>
  </w:style>
  <w:style w:type="paragraph" w:styleId="a6">
    <w:name w:val="footer"/>
    <w:basedOn w:val="a"/>
    <w:link w:val="a7"/>
    <w:uiPriority w:val="99"/>
    <w:unhideWhenUsed/>
    <w:rsid w:val="00B95147"/>
    <w:pPr>
      <w:tabs>
        <w:tab w:val="center" w:pos="4153"/>
        <w:tab w:val="right" w:pos="8306"/>
      </w:tabs>
      <w:snapToGrid w:val="0"/>
      <w:jc w:val="left"/>
    </w:pPr>
    <w:rPr>
      <w:sz w:val="18"/>
      <w:szCs w:val="18"/>
    </w:rPr>
  </w:style>
  <w:style w:type="character" w:customStyle="1" w:styleId="a7">
    <w:name w:val="页脚 字符"/>
    <w:basedOn w:val="a0"/>
    <w:link w:val="a6"/>
    <w:uiPriority w:val="99"/>
    <w:rsid w:val="00B9514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37906">
      <w:bodyDiv w:val="1"/>
      <w:marLeft w:val="0"/>
      <w:marRight w:val="0"/>
      <w:marTop w:val="0"/>
      <w:marBottom w:val="0"/>
      <w:divBdr>
        <w:top w:val="none" w:sz="0" w:space="0" w:color="auto"/>
        <w:left w:val="none" w:sz="0" w:space="0" w:color="auto"/>
        <w:bottom w:val="none" w:sz="0" w:space="0" w:color="auto"/>
        <w:right w:val="none" w:sz="0" w:space="0" w:color="auto"/>
      </w:divBdr>
    </w:div>
    <w:div w:id="290526627">
      <w:bodyDiv w:val="1"/>
      <w:marLeft w:val="0"/>
      <w:marRight w:val="0"/>
      <w:marTop w:val="0"/>
      <w:marBottom w:val="0"/>
      <w:divBdr>
        <w:top w:val="none" w:sz="0" w:space="0" w:color="auto"/>
        <w:left w:val="none" w:sz="0" w:space="0" w:color="auto"/>
        <w:bottom w:val="none" w:sz="0" w:space="0" w:color="auto"/>
        <w:right w:val="none" w:sz="0" w:space="0" w:color="auto"/>
      </w:divBdr>
    </w:div>
    <w:div w:id="31746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309</Words>
  <Characters>1762</Characters>
  <Application>Microsoft Office Word</Application>
  <DocSecurity>0</DocSecurity>
  <Lines>14</Lines>
  <Paragraphs>4</Paragraphs>
  <ScaleCrop>false</ScaleCrop>
  <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812058219@qq.com</dc:creator>
  <cp:keywords/>
  <dc:description/>
  <cp:lastModifiedBy>Lenovo</cp:lastModifiedBy>
  <cp:revision>6</cp:revision>
  <dcterms:created xsi:type="dcterms:W3CDTF">2022-02-05T15:15:00Z</dcterms:created>
  <dcterms:modified xsi:type="dcterms:W3CDTF">2022-02-17T09:39:00Z</dcterms:modified>
</cp:coreProperties>
</file>