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D4" w:rsidRPr="00510A05" w:rsidRDefault="00C278D4" w:rsidP="00C278D4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Figure 1: Explanation of the derivation of effectiveness parameters; daily case data (velocity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v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; following a hypothetical Gaussian function of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v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1000 </w:t>
      </w:r>
      <w:proofErr w:type="spellStart"/>
      <w:r w:rsidRPr="00510A05">
        <w:rPr>
          <w:rFonts w:ascii="Times New Roman" w:hAnsi="Times New Roman" w:cs="Times New Roman"/>
          <w:color w:val="000000"/>
          <w:sz w:val="22"/>
          <w:szCs w:val="22"/>
        </w:rPr>
        <w:t>exp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>[–(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– 20)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/7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]) against time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510A05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.5pt;height:13.5pt" o:ole="" fillcolor="window">
            <v:imagedata r:id="rId4" o:title=""/>
          </v:shape>
          <o:OLEObject Type="Embed" ProgID="Equation.3" ShapeID="_x0000_i1034" DrawAspect="Content" ObjectID="_1670769927" r:id="rId5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average velocity of the effective phase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proofErr w:type="spellStart"/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v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max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peak velocity); acceleration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, first time derivative of the daily case data (</w:t>
      </w:r>
      <w:proofErr w:type="spellStart"/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max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+</w:t>
      </w:r>
      <w:proofErr w:type="spellStart"/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maximum acceleration; </w:t>
      </w:r>
      <w:proofErr w:type="spellStart"/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min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–</w:t>
      </w:r>
      <w:proofErr w:type="spellStart"/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minimum; </w:t>
      </w:r>
      <w:r w:rsidRPr="00510A05">
        <w:rPr>
          <w:rFonts w:ascii="Symbol" w:hAnsi="Symbol" w:cs="Times New Roman"/>
          <w:color w:val="000000"/>
          <w:sz w:val="22"/>
          <w:szCs w:val="22"/>
        </w:rPr>
        <w:t>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proofErr w:type="spellStart"/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max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min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;  </w:t>
      </w:r>
      <w:r w:rsidRPr="00510A05">
        <w:rPr>
          <w:rFonts w:ascii="Symbol" w:hAnsi="Symbol" w:cs="Times New Roman"/>
          <w:color w:val="000000"/>
          <w:sz w:val="22"/>
          <w:szCs w:val="22"/>
        </w:rPr>
        <w:t>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acceleration gradient across the effective phase); jerk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j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, second time derivative of the daily case data (</w:t>
      </w:r>
      <w:r w:rsidRPr="00510A05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00" w:dyaOrig="340">
          <v:shape id="_x0000_i1035" type="#_x0000_t75" style="width:10.5pt;height:17.25pt" o:ole="" fillcolor="window">
            <v:imagedata r:id="rId6" o:title=""/>
          </v:shape>
          <o:OLEObject Type="Embed" ProgID="Equation.3" ShapeID="_x0000_i1035" DrawAspect="Content" ObjectID="_1670769928" r:id="rId7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average jerk of the effective phase); and effectiveness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of control measures against time (</w:t>
      </w:r>
      <w:r w:rsidRPr="00510A05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300">
          <v:shape id="_x0000_i1036" type="#_x0000_t75" style="width:13.5pt;height:15pt" o:ole="" fillcolor="window">
            <v:imagedata r:id="rId8" o:title=""/>
          </v:shape>
          <o:OLEObject Type="Embed" ProgID="Equation.3" ShapeID="_x0000_i1036" DrawAspect="Content" ObjectID="_1670769929" r:id="rId9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average effectiveness of the effective phase);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1,2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start and end of effective phase.</w:t>
      </w:r>
    </w:p>
    <w:p w:rsidR="0003196F" w:rsidRDefault="0003196F" w:rsidP="00C278D4"/>
    <w:p w:rsidR="00C278D4" w:rsidRPr="00510A05" w:rsidRDefault="00C278D4" w:rsidP="00C278D4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Figure 2: velocity, acceleration, jerk and effectiveness of the spreading virus against time (day 1 = 01/01/2020) for 4 different velocity profiles: 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: Gaussian (Australia,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+0.01, medium effective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>1.56∙10</w:t>
      </w:r>
      <w:r w:rsidRPr="00510A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–3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), 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: triangular (Ireland,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+0.22, very effective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>3.25∙10</w:t>
      </w:r>
      <w:r w:rsidRPr="00510A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–3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), 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: short trapezoidal (New Zealand,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0.10, medium effective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>1.13∙10</w:t>
      </w:r>
      <w:r w:rsidRPr="00510A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–3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); 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: long trapezoidal (Malaysia,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0.22, ineffective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>0.20∙10</w:t>
      </w:r>
      <w:r w:rsidRPr="00510A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–3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); green curve: filtered velocity data and their time derivatives; light blue and pink curves denote upper and lower confidence intervals (note that after differentiation, upper and lower boundaries can switch their positions);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1,2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start and end of effective phase;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acceleration; </w:t>
      </w:r>
    </w:p>
    <w:p w:rsidR="00C278D4" w:rsidRDefault="00C278D4" w:rsidP="00C278D4"/>
    <w:p w:rsidR="00C278D4" w:rsidRPr="00510A05" w:rsidRDefault="00C278D4" w:rsidP="00C278D4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Figure 3:  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: average effectiveness (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40" type="#_x0000_t75" style="width:13.5pt;height:15pt" o:ole="" fillcolor="window">
            <v:imagedata r:id="rId10" o:title=""/>
          </v:shape>
          <o:OLEObject Type="Embed" ProgID="Equation.3" ShapeID="_x0000_i1040" DrawAspect="Content" ObjectID="_1670769930" r:id="rId11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against the duration of the effective phase (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); blue curve: Gaussian function; green area: velocity profiles between triangular and Gaussian; yellow area: velocity profile transition from triangular across Gaussian to trapezoidal; pink area: velocity profiles between Gaussian and trapezoidal; dark-green dashed lines: </w:t>
      </w:r>
      <w:proofErr w:type="spellStart"/>
      <w:r w:rsidRPr="00510A05">
        <w:rPr>
          <w:rFonts w:ascii="Times New Roman" w:hAnsi="Times New Roman" w:cs="Times New Roman"/>
          <w:color w:val="000000"/>
          <w:sz w:val="22"/>
          <w:szCs w:val="22"/>
        </w:rPr>
        <w:t>isolines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of the 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41" type="#_x0000_t75" style="width:13.5pt;height:15pt" o:ole="" fillcolor="window">
            <v:imagedata r:id="rId10" o:title=""/>
          </v:shape>
          <o:OLEObject Type="Embed" ProgID="Equation.3" ShapeID="_x0000_i1041" DrawAspect="Content" ObjectID="_1670769931" r:id="rId12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ratio (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); dashed black curve: power function fit of all data; note that data located on the blue curve (Gaussian function) are not necessarily Gaussian but can be pseudo-Gaussian, as the transition from triangular to trapezoid velocity profile (as shown in subfigure 3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can be a very short trapezoid plateau (shorter than the one of New Zealand shown in Figure 2b).</w:t>
      </w:r>
    </w:p>
    <w:p w:rsidR="00C278D4" w:rsidRPr="00510A05" w:rsidRDefault="00C278D4" w:rsidP="00C278D4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: average effectiveness (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42" type="#_x0000_t75" style="width:13.5pt;height:15pt" o:ole="" fillcolor="window">
            <v:imagedata r:id="rId10" o:title=""/>
          </v:shape>
          <o:OLEObject Type="Embed" ProgID="Equation.3" ShapeID="_x0000_i1042" DrawAspect="Content" ObjectID="_1670769932" r:id="rId13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against the duration of the effective phase (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 on a double-logarithmic graph; the pink lines are </w:t>
      </w:r>
      <w:proofErr w:type="spellStart"/>
      <w:r w:rsidRPr="00510A05">
        <w:rPr>
          <w:rFonts w:ascii="Times New Roman" w:hAnsi="Times New Roman" w:cs="Times New Roman"/>
          <w:color w:val="000000"/>
          <w:sz w:val="22"/>
          <w:szCs w:val="22"/>
        </w:rPr>
        <w:t>isolines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of the shape parameter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s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, associated with the width of the velocity profile (the smaller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s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, the more effective); the light-blue lines are </w:t>
      </w:r>
      <w:proofErr w:type="spellStart"/>
      <w:r w:rsidRPr="00510A05">
        <w:rPr>
          <w:rFonts w:ascii="Times New Roman" w:hAnsi="Times New Roman" w:cs="Times New Roman"/>
          <w:color w:val="000000"/>
          <w:sz w:val="22"/>
          <w:szCs w:val="22"/>
        </w:rPr>
        <w:t>isolines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of shape parameter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h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, associated with the shape of the velocity profile, indicating the transition from triangular velocity profile over Gaussian and trapezoidal to a hypothetical rectangular profile. </w:t>
      </w:r>
    </w:p>
    <w:p w:rsidR="00C278D4" w:rsidRPr="00510A05" w:rsidRDefault="00C278D4" w:rsidP="00C278D4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: average effectiveness (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43" type="#_x0000_t75" style="width:13.5pt;height:15pt" o:ole="" fillcolor="window">
            <v:imagedata r:id="rId10" o:title=""/>
          </v:shape>
          <o:OLEObject Type="Embed" ProgID="Equation.3" ShapeID="_x0000_i1043" DrawAspect="Content" ObjectID="_1670769933" r:id="rId14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against the duration of the effective phase (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 on a double-logarithmic graph; parameter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is the ratio of 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44" type="#_x0000_t75" style="width:13.5pt;height:15pt" o:ole="" fillcolor="window">
            <v:imagedata r:id="rId10" o:title=""/>
          </v:shape>
          <o:OLEObject Type="Embed" ProgID="Equation.3" ShapeID="_x0000_i1044" DrawAspect="Content" ObjectID="_1670769934" r:id="rId15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10A05"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, (the greater, the more effective); parameter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is another parameter 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lastRenderedPageBreak/>
        <w:t>associated with the shape of the velocity profile, which indicates the transition from triangular velocity profile over Gaussian to a trapezoidal profile.</w:t>
      </w:r>
    </w:p>
    <w:p w:rsidR="00C278D4" w:rsidRDefault="00C278D4" w:rsidP="00C278D4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against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on a single-logarithmic graph; the green, yellow and pink areas correspond to the ones shown in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</w:p>
    <w:p w:rsidR="00C278D4" w:rsidRDefault="00C278D4" w:rsidP="00C278D4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278D4" w:rsidRPr="00510A05" w:rsidRDefault="00C278D4" w:rsidP="00C278D4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Figure 4: Maps of Europe, showing the effectiveness of control measures of each country, for countries whose effective phase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ended the latest on 15 May 2020; upper row: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): duration of effective phase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;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 average effectiveness 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56" type="#_x0000_t75" style="width:13.5pt;height:15pt" o:ole="" fillcolor="window">
            <v:imagedata r:id="rId10" o:title=""/>
          </v:shape>
          <o:OLEObject Type="Embed" ProgID="Equation.3" ShapeID="_x0000_i1056" DrawAspect="Content" ObjectID="_1670769935" r:id="rId16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;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57" type="#_x0000_t75" style="width:13.5pt;height:15pt" o:ole="" fillcolor="window">
            <v:imagedata r:id="rId10" o:title=""/>
          </v:shape>
          <o:OLEObject Type="Embed" ProgID="Equation.3" ShapeID="_x0000_i1057" DrawAspect="Content" ObjectID="_1670769936" r:id="rId17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ratio);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(shape parameter: blue: Gaussian velocity profile, green: triangular velocity profile, red: trapezoidal velocity profile); for subfigures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),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and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): the darker the more effective.</w:t>
      </w:r>
    </w:p>
    <w:p w:rsidR="00C278D4" w:rsidRDefault="00C278D4" w:rsidP="00C278D4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278D4" w:rsidRPr="00510A05" w:rsidRDefault="00C278D4" w:rsidP="00C278D4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Figure 5: average effectiveness </w:t>
      </w:r>
      <w:r w:rsidRPr="00510A05">
        <w:rPr>
          <w:rFonts w:ascii="Times New Roman" w:hAnsi="Times New Roman" w:cs="Times New Roman"/>
          <w:color w:val="000000"/>
          <w:position w:val="-10"/>
          <w:sz w:val="22"/>
          <w:szCs w:val="22"/>
        </w:rPr>
        <w:object w:dxaOrig="320" w:dyaOrig="360">
          <v:shape id="_x0000_i1060" type="#_x0000_t75" style="width:16.5pt;height:18.75pt" o:ole="" fillcolor="window">
            <v:imagedata r:id="rId18" o:title=""/>
          </v:shape>
          <o:OLEObject Type="Embed" ProgID="Equation.3" ShapeID="_x0000_i1060" DrawAspect="Content" ObjectID="_1670769937" r:id="rId19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calculated from the effective reproductive number </w:t>
      </w:r>
      <w:proofErr w:type="spellStart"/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R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eff</w:t>
      </w:r>
      <w:proofErr w:type="spellEnd"/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against the average effectiveness 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61" type="#_x0000_t75" style="width:9pt;height:15pt" o:ole="" fillcolor="window">
            <v:imagedata r:id="rId10" o:title=""/>
          </v:shape>
          <o:OLEObject Type="Embed" ProgID="Equation.3" ShapeID="_x0000_i1061" DrawAspect="Content" ObjectID="_1670769938" r:id="rId20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 and slope of the regression of </w:t>
      </w:r>
      <w:r w:rsidRPr="00510A05">
        <w:rPr>
          <w:rFonts w:ascii="Times New Roman" w:hAnsi="Times New Roman" w:cs="Times New Roman"/>
          <w:color w:val="000000"/>
          <w:position w:val="-10"/>
          <w:sz w:val="22"/>
          <w:szCs w:val="22"/>
        </w:rPr>
        <w:object w:dxaOrig="320" w:dyaOrig="360">
          <v:shape id="_x0000_i1062" type="#_x0000_t75" style="width:16.5pt;height:18.75pt" o:ole="" fillcolor="window">
            <v:imagedata r:id="rId18" o:title=""/>
          </v:shape>
          <o:OLEObject Type="Embed" ProgID="Equation.3" ShapeID="_x0000_i1062" DrawAspect="Content" ObjectID="_1670769939" r:id="rId21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vs 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63" type="#_x0000_t75" style="width:9pt;height:15pt" o:ole="" fillcolor="window">
            <v:imagedata r:id="rId10" o:title=""/>
          </v:shape>
          <o:OLEObject Type="Embed" ProgID="Equation.3" ShapeID="_x0000_i1063" DrawAspect="Content" ObjectID="_1670769940" r:id="rId22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b)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; in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), the dashed grey line represents the linear fit function of the regression, whereas the dashed blue line represents the function expected from a Gaussian model; in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), to assess the dependency of the regression slope on the shape parameter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, the data of 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64" type="#_x0000_t75" style="width:13.5pt;height:15pt" o:ole="" fillcolor="window">
            <v:imagedata r:id="rId10" o:title=""/>
          </v:shape>
          <o:OLEObject Type="Embed" ProgID="Equation.3" ShapeID="_x0000_i1064" DrawAspect="Content" ObjectID="_1670769941" r:id="rId23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10A05">
        <w:rPr>
          <w:rFonts w:ascii="Times New Roman" w:hAnsi="Times New Roman" w:cs="Times New Roman"/>
          <w:color w:val="000000"/>
          <w:position w:val="-10"/>
          <w:sz w:val="22"/>
          <w:szCs w:val="22"/>
        </w:rPr>
        <w:object w:dxaOrig="320" w:dyaOrig="360">
          <v:shape id="_x0000_i1065" type="#_x0000_t75" style="width:16.5pt;height:18.75pt" o:ole="" fillcolor="window">
            <v:imagedata r:id="rId18" o:title=""/>
          </v:shape>
          <o:OLEObject Type="Embed" ProgID="Equation.3" ShapeID="_x0000_i1065" DrawAspect="Content" ObjectID="_1670769942" r:id="rId24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and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were sorted with respect to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; and the averages of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and the regression slope of </w:t>
      </w:r>
      <w:r w:rsidRPr="00510A05">
        <w:rPr>
          <w:rFonts w:ascii="Times New Roman" w:hAnsi="Times New Roman" w:cs="Times New Roman"/>
          <w:color w:val="000000"/>
          <w:position w:val="-10"/>
          <w:sz w:val="22"/>
          <w:szCs w:val="22"/>
        </w:rPr>
        <w:object w:dxaOrig="320" w:dyaOrig="360">
          <v:shape id="_x0000_i1066" type="#_x0000_t75" style="width:16.5pt;height:18.75pt" o:ole="" fillcolor="window">
            <v:imagedata r:id="rId18" o:title=""/>
          </v:shape>
          <o:OLEObject Type="Embed" ProgID="Equation.3" ShapeID="_x0000_i1066" DrawAspect="Content" ObjectID="_1670769943" r:id="rId25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vs 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67" type="#_x0000_t75" style="width:13.5pt;height:15pt" o:ole="" fillcolor="window">
            <v:imagedata r:id="rId10" o:title=""/>
          </v:shape>
          <o:OLEObject Type="Embed" ProgID="Equation.3" ShapeID="_x0000_i1067" DrawAspect="Content" ObjectID="_1670769944" r:id="rId26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were calculated across a running window of 15 data; dashed green line: slope value expected from a Gaussian model; dashed blue line: Gaussian model data at log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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= 0.</w:t>
      </w:r>
    </w:p>
    <w:p w:rsidR="00C278D4" w:rsidRDefault="00C278D4" w:rsidP="00C278D4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278D4" w:rsidRPr="00510A05" w:rsidRDefault="00C278D4" w:rsidP="00C278D4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0A05">
        <w:rPr>
          <w:rFonts w:ascii="Times New Roman" w:hAnsi="Times New Roman" w:cs="Times New Roman"/>
          <w:color w:val="000000"/>
          <w:sz w:val="22"/>
          <w:szCs w:val="22"/>
        </w:rPr>
        <w:t>Figure 6: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 xml:space="preserve"> instantaneous effectiveness </w:t>
      </w:r>
      <w:r w:rsidRPr="00510A05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10A0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10A05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average effectiveness </w:t>
      </w:r>
      <w:r w:rsidRPr="00510A05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300">
          <v:shape id="_x0000_i1076" type="#_x0000_t75" style="width:13.5pt;height:15pt" o:ole="" fillcolor="window">
            <v:imagedata r:id="rId10" o:title=""/>
          </v:shape>
          <o:OLEObject Type="Embed" ProgID="Equation.3" ShapeID="_x0000_i1076" DrawAspect="Content" ObjectID="_1670769945" r:id="rId27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against time in days (day 1 = 01/01/2020) for countries, states and provinces whose effective phase ended the latest on 15 May 2020; 3-letter country codes according to ISO 3166-1 Alpha-3; Chinese provinces 2-letter codes: ISO 3166-2:CN; 2-letter code of the states of the USA: ISO 3166-2:US; KOS = Kosovo; note that countries can exhibit multiple effectiveness peaks, as seen in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for Uruguay and some Chinese provinces, and in Figure 2.</w:t>
      </w:r>
    </w:p>
    <w:p w:rsidR="00C278D4" w:rsidRDefault="00C278D4" w:rsidP="00C278D4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278D4" w:rsidRPr="00C278D4" w:rsidRDefault="00C278D4" w:rsidP="00C278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Figure 7: comparison of countries with and without lockdown measures for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), </w:t>
      </w:r>
      <w:r w:rsidRPr="00510A05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260" w:dyaOrig="300">
          <v:shape id="_x0000_i1078" type="#_x0000_t75" style="width:13.5pt;height:15pt" o:ole="" fillcolor="window">
            <v:imagedata r:id="rId10" o:title=""/>
          </v:shape>
          <o:OLEObject Type="Embed" ProgID="Equation.3" ShapeID="_x0000_i1078" DrawAspect="Content" ObjectID="_1670769946" r:id="rId28"/>
        </w:objec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b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), and </w:t>
      </w:r>
      <w:r w:rsidRPr="00510A05">
        <w:rPr>
          <w:rFonts w:ascii="Symbol" w:hAnsi="Symbol" w:cs="Times New Roman"/>
          <w:i/>
          <w:color w:val="000000"/>
          <w:sz w:val="22"/>
          <w:szCs w:val="22"/>
        </w:rPr>
        <w:t>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) by means of Box-Whisker plots; (</w:t>
      </w:r>
      <w:r w:rsidRPr="00510A05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 xml:space="preserve">) time between the first day of lockdown and the first day of 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</w:rPr>
        <w:t>T</w:t>
      </w:r>
      <w:r w:rsidRPr="00510A05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E</w:t>
      </w:r>
      <w:r w:rsidRPr="00510A05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C278D4" w:rsidRPr="00C278D4" w:rsidRDefault="00C278D4" w:rsidP="00C278D4"/>
    <w:sectPr w:rsidR="00C278D4" w:rsidRPr="00C2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D4"/>
    <w:rsid w:val="0003196F"/>
    <w:rsid w:val="00C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BB2D"/>
  <w15:chartTrackingRefBased/>
  <w15:docId w15:val="{2DC2BAEE-AA8F-47C7-AE15-8816AF5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D4"/>
    <w:pPr>
      <w:spacing w:after="0" w:line="240" w:lineRule="auto"/>
    </w:pPr>
    <w:rPr>
      <w:rFonts w:ascii="Arial" w:eastAsia="MS Mincho" w:hAnsi="Arial" w:cs="Arial"/>
      <w:sz w:val="20"/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4616</Characters>
  <Application>Microsoft Office Word</Application>
  <DocSecurity>0</DocSecurity>
  <Lines>38</Lines>
  <Paragraphs>10</Paragraphs>
  <ScaleCrop>false</ScaleCrop>
  <Company>Springer Nature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2020-12-29T12:27:00Z</dcterms:created>
  <dcterms:modified xsi:type="dcterms:W3CDTF">2020-12-29T12:29:00Z</dcterms:modified>
</cp:coreProperties>
</file>