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Table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1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Characteristics of the Patients at Baseline.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1857"/>
        <w:gridCol w:w="1757"/>
        <w:gridCol w:w="1914"/>
        <w:gridCol w:w="1929"/>
        <w:gridCol w:w="1671"/>
        <w:gridCol w:w="15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Study </w:t>
            </w:r>
          </w:p>
        </w:tc>
        <w:tc>
          <w:tcPr>
            <w:tcW w:w="1857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POLLUX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       C</w:t>
            </w:r>
          </w:p>
        </w:tc>
        <w:tc>
          <w:tcPr>
            <w:tcW w:w="1757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CASTOR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       C</w:t>
            </w:r>
          </w:p>
        </w:tc>
        <w:tc>
          <w:tcPr>
            <w:tcW w:w="1914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NCT02252172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        C</w:t>
            </w:r>
          </w:p>
        </w:tc>
        <w:tc>
          <w:tcPr>
            <w:tcW w:w="1929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80" w:firstLineChars="100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ALCYONE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T       C</w:t>
            </w:r>
          </w:p>
        </w:tc>
        <w:tc>
          <w:tcPr>
            <w:tcW w:w="1671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ICARIA-MM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         C</w:t>
            </w:r>
          </w:p>
        </w:tc>
        <w:tc>
          <w:tcPr>
            <w:tcW w:w="1572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CASSIOPEIA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        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Number of patients</w:t>
            </w:r>
          </w:p>
        </w:tc>
        <w:tc>
          <w:tcPr>
            <w:tcW w:w="1857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286     283</w:t>
            </w:r>
          </w:p>
        </w:tc>
        <w:tc>
          <w:tcPr>
            <w:tcW w:w="1757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251     247</w:t>
            </w:r>
          </w:p>
        </w:tc>
        <w:tc>
          <w:tcPr>
            <w:tcW w:w="1914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368      369</w:t>
            </w:r>
          </w:p>
        </w:tc>
        <w:tc>
          <w:tcPr>
            <w:tcW w:w="1929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350      356</w:t>
            </w:r>
          </w:p>
        </w:tc>
        <w:tc>
          <w:tcPr>
            <w:tcW w:w="1671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154       153</w:t>
            </w:r>
          </w:p>
        </w:tc>
        <w:tc>
          <w:tcPr>
            <w:tcW w:w="1572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543     524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Median age(year)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65      65</w:t>
            </w: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64      64</w:t>
            </w: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73       74</w:t>
            </w: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71       71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68        66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59       58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ECOG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  <w:lang w:val="en-US" w:eastAsia="zh-CN"/>
              </w:rPr>
              <w:t>‡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performance status -no. (%)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139(48.6)150(53.0)</w:t>
            </w: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NA</w:t>
            </w: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127(34.5) 123(33.3)</w:t>
            </w: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78(22.3) 99(27.8)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265(49)257(47)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NA</w:t>
            </w: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NA</w:t>
            </w: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178(48.4)187 (50.7)</w:t>
            </w: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182(52.0)173(48.6) 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225(41)230(42)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NA</w:t>
            </w: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NA</w:t>
            </w: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63 (17.1) 59 (16.0) </w:t>
            </w: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90 (25.7) 84 (23.6) 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53(10)  55(10)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ISS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  <w:lang w:val="en-US" w:eastAsia="zh-CN"/>
              </w:rPr>
              <w:t>§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disease stage -no. (%)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137(47.9)140(49.5)</w:t>
            </w: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98(39.0)96(38.9)</w:t>
            </w: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98 (26.6) 103 (27.9)</w:t>
            </w: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69 (19.7) 67 (18.8) 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64 (42)  51 (33)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204(38)228(42)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93 (32.5) 86 (30.4)</w:t>
            </w: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94(37.5)100(40.5) </w:t>
            </w: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163(44.3)156 (42.3)</w:t>
            </w: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139(39.7)160 (44.9)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53(34)  56 (37)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255(47)233(43)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56 (19.6) 57 (20.1)</w:t>
            </w: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59(23.5) 51 (20.6)</w:t>
            </w: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107(29.1)110 (29.8)</w:t>
            </w: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142(40.6)129 (36.2)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34(22)  43 (28)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84(15)  81(15)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Cytogenetic profile -no. (%)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Standard risk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T:193/228(84.6) 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C: 176/211(83.4)</w:t>
            </w: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T:140/181(77.3) C:137/174 (78.7)</w:t>
            </w: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T:271/319(85.0) C:279/323 (86.4)</w:t>
            </w: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T:261/314(83.1) C:257/302 (85.1)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103(67)  78(51)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T:460/542(85) C:454/540 (84)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High risk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T:35/228(15.4) C:35/211 (16.6)</w:t>
            </w: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T:41/181(22.7) C:37/174 (21.3)</w:t>
            </w: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T:48/319(15.0) C:44/323 (13.6)</w:t>
            </w: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T:53/314(16.9) C:45/302 (14.9)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24(16)  36 (24)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T:82/542(15) C:86/540 (16)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Median time since initial diagnosis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3.5yr    4.0yr</w:t>
            </w: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3.87yr   3.72yr</w:t>
            </w: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0.95M  0.89 M</w:t>
            </w: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0.8M    0.8M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4.46yr   4.09yr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0.92M  0.92M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Median no. of previous lines of therapy 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1        1</w:t>
            </w:r>
          </w:p>
        </w:tc>
        <w:tc>
          <w:tcPr>
            <w:tcW w:w="1757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2        2</w:t>
            </w:r>
          </w:p>
        </w:tc>
        <w:tc>
          <w:tcPr>
            <w:tcW w:w="191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0       0</w:t>
            </w:r>
          </w:p>
        </w:tc>
        <w:tc>
          <w:tcPr>
            <w:tcW w:w="192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0        0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3         3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0       0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‡ Eastern Cooperative Oncology Group (ECOG) performance status is scored on a scale from 0 to 5, with 0 indicating no symptoms and higher scores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indicating increasing disability</w:t>
      </w:r>
    </w:p>
    <w:p>
      <w:pPr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§ The International Staging System (ISS) disease stage is derived on the basis of the combination of serum β2microglobulin and albumin levels.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Higher stages indicate more advanced disease.</w:t>
      </w:r>
    </w:p>
    <w:p>
      <w:pPr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Abbreviation：NA,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not available  T, trail  C, control  M, month</w:t>
      </w:r>
    </w:p>
    <w:p>
      <w:pPr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Table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Characteristics of the Patients at Baseline.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1"/>
        <w:gridCol w:w="1923"/>
        <w:gridCol w:w="1786"/>
        <w:gridCol w:w="1843"/>
        <w:gridCol w:w="1671"/>
        <w:gridCol w:w="181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Study </w:t>
            </w:r>
          </w:p>
        </w:tc>
        <w:tc>
          <w:tcPr>
            <w:tcW w:w="1923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KEYNOTE-183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          C</w:t>
            </w:r>
          </w:p>
        </w:tc>
        <w:tc>
          <w:tcPr>
            <w:tcW w:w="1786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KEYNOTE-185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          C</w:t>
            </w:r>
          </w:p>
        </w:tc>
        <w:tc>
          <w:tcPr>
            <w:tcW w:w="1843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NCT01478048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         C</w:t>
            </w:r>
          </w:p>
        </w:tc>
        <w:tc>
          <w:tcPr>
            <w:tcW w:w="1671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ELOQUENT-3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        C</w:t>
            </w:r>
          </w:p>
        </w:tc>
        <w:tc>
          <w:tcPr>
            <w:tcW w:w="1815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ELOQUENT-2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       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Number of patients</w:t>
            </w:r>
          </w:p>
        </w:tc>
        <w:tc>
          <w:tcPr>
            <w:tcW w:w="1923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125       124</w:t>
            </w:r>
          </w:p>
        </w:tc>
        <w:tc>
          <w:tcPr>
            <w:tcW w:w="1786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151        150</w:t>
            </w:r>
          </w:p>
        </w:tc>
        <w:tc>
          <w:tcPr>
            <w:tcW w:w="1843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77        75</w:t>
            </w:r>
          </w:p>
        </w:tc>
        <w:tc>
          <w:tcPr>
            <w:tcW w:w="1671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60       57</w:t>
            </w:r>
          </w:p>
        </w:tc>
        <w:tc>
          <w:tcPr>
            <w:tcW w:w="1815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321     325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Median age(year)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65        67</w:t>
            </w: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74          74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65        65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69       66</w:t>
            </w: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67      66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ECOG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  <w:lang w:val="en-US" w:eastAsia="zh-CN"/>
              </w:rPr>
              <w:t>‡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performance status -no. (%)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60 (48)    60 (48)</w:t>
            </w: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51 (34)   55 (37)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38 (49)    46 (61)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65 (52)    64 (52)</w:t>
            </w: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100 (66)  92(61)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35 (46)    23 (31)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0         0</w:t>
            </w: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        1 (1)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 (3)      6 (8)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ISS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  <w:lang w:val="en-US" w:eastAsia="zh-CN"/>
              </w:rPr>
              <w:t>§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disease stage -no. (%)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45 (36)   45 (36)</w:t>
            </w: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38 (25)   51 (34)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26 (34)   19 (25)</w:t>
            </w:r>
          </w:p>
        </w:tc>
        <w:tc>
          <w:tcPr>
            <w:tcW w:w="1671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(1 or 2)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53 (88)  50 (88)</w:t>
            </w: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141(44)  138 (42)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46 (37)   39 (31)</w:t>
            </w: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68 (45)   66 (44)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23 (30)   20 (27)</w:t>
            </w:r>
          </w:p>
        </w:tc>
        <w:tc>
          <w:tcPr>
            <w:tcW w:w="167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102(32)  105(32)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33 (26)   33 (27)</w:t>
            </w: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44 (29)   31 (21)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11 (14)   16 (21)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7 (12)  7 (12)</w:t>
            </w: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66 (21)   68 (21)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Cytogenetic profile -no. (%)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Standard risk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52 (42)   71 (57)</w:t>
            </w: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93 (62)   89 (59)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High risk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28 (22)   17 (14) </w:t>
            </w: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24 (16)   10 (7)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Median time since initial diagnosis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45M      44M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4.8yr    4.4yr</w:t>
            </w: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Median no. of previous lines of therapy </w:t>
            </w:r>
          </w:p>
        </w:tc>
        <w:tc>
          <w:tcPr>
            <w:tcW w:w="19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3         3</w:t>
            </w:r>
          </w:p>
        </w:tc>
        <w:tc>
          <w:tcPr>
            <w:tcW w:w="178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0        0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NA       NA</w:t>
            </w:r>
          </w:p>
        </w:tc>
        <w:tc>
          <w:tcPr>
            <w:tcW w:w="167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3        3</w:t>
            </w:r>
          </w:p>
        </w:tc>
        <w:tc>
          <w:tcPr>
            <w:tcW w:w="1815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2         2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‡ Eastern Cooperative Oncology Group (ECOG) performance status is scored on a scale from 0 to 5, with 0 indicating no symptoms and higher</w:t>
      </w:r>
    </w:p>
    <w:p>
      <w:pPr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scores indicating increasing disability.</w:t>
      </w:r>
    </w:p>
    <w:p>
      <w:pPr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§ The International Staging System (ISS) disease stage is derived on the basis of the combination of serum β2microglobulin and albumin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levels. Higher stages indicate more advanced disease.</w:t>
      </w:r>
    </w:p>
    <w:p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Abbreviation：NA,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not available  T, trail  C, control  M, month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E388A"/>
    <w:rsid w:val="0E5240D2"/>
    <w:rsid w:val="3E7F1AC5"/>
    <w:rsid w:val="58122799"/>
    <w:rsid w:val="7D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2020-10-16T09:12:00Z</dcterms:created>
  <dc:creator>ASUS</dc:creator>
  <cp:lastModifiedBy>十里红妆</cp:lastModifiedBy>
  <dcterms:modified xsi:type="dcterms:W3CDTF">2020-11-09T09:08:05Z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