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60" w:rsidRPr="00234208" w:rsidRDefault="00FF2160" w:rsidP="00FF2160">
      <w:pPr>
        <w:pStyle w:val="berschrift2"/>
        <w:numPr>
          <w:ilvl w:val="0"/>
          <w:numId w:val="0"/>
        </w:numPr>
      </w:pPr>
      <w:r>
        <w:t>T</w:t>
      </w:r>
      <w:bookmarkStart w:id="0" w:name="_GoBack"/>
      <w:bookmarkEnd w:id="0"/>
      <w:r>
        <w:t xml:space="preserve">able S1. </w:t>
      </w:r>
      <w:proofErr w:type="spellStart"/>
      <w:r w:rsidRPr="00D832F7">
        <w:t>Clinicopathological</w:t>
      </w:r>
      <w:proofErr w:type="spellEnd"/>
      <w:r w:rsidRPr="00D832F7">
        <w:t xml:space="preserve"> characteristics of the prostate tissue samples.</w:t>
      </w:r>
    </w:p>
    <w:tbl>
      <w:tblPr>
        <w:tblStyle w:val="Gritternetztabelle6farbig"/>
        <w:tblW w:w="8887" w:type="dxa"/>
        <w:tblLook w:val="04A0" w:firstRow="1" w:lastRow="0" w:firstColumn="1" w:lastColumn="0" w:noHBand="0" w:noVBand="1"/>
      </w:tblPr>
      <w:tblGrid>
        <w:gridCol w:w="3505"/>
        <w:gridCol w:w="2070"/>
        <w:gridCol w:w="3312"/>
      </w:tblGrid>
      <w:tr w:rsidR="00FF2160" w:rsidRPr="00DC7FDC" w:rsidTr="0029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:rsidR="00FF2160" w:rsidRPr="00DC7FDC" w:rsidRDefault="00FF2160" w:rsidP="002916E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C7FDC">
              <w:rPr>
                <w:rFonts w:cs="Times New Roman"/>
                <w:szCs w:val="24"/>
              </w:rPr>
              <w:t>Prostate cancer</w:t>
            </w:r>
          </w:p>
        </w:tc>
        <w:tc>
          <w:tcPr>
            <w:tcW w:w="3312" w:type="dxa"/>
          </w:tcPr>
          <w:p w:rsidR="00FF2160" w:rsidRPr="00DC7FDC" w:rsidRDefault="00FF2160" w:rsidP="002916E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Benign prostatic</w:t>
            </w:r>
            <w:r w:rsidRPr="00DC7FDC">
              <w:rPr>
                <w:rFonts w:cs="Times New Roman"/>
                <w:szCs w:val="24"/>
              </w:rPr>
              <w:t xml:space="preserve"> hyperplasia</w:t>
            </w:r>
          </w:p>
        </w:tc>
      </w:tr>
      <w:tr w:rsidR="00FF2160" w:rsidRPr="00DC7FDC" w:rsidTr="0029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 w:hint="eastAsia"/>
                <w:szCs w:val="24"/>
              </w:rPr>
              <w:t>Total number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52</w:t>
            </w:r>
          </w:p>
        </w:tc>
        <w:tc>
          <w:tcPr>
            <w:tcW w:w="3312" w:type="dxa"/>
          </w:tcPr>
          <w:p w:rsidR="00FF2160" w:rsidRPr="006A59B3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16</w:t>
            </w:r>
          </w:p>
        </w:tc>
      </w:tr>
      <w:tr w:rsidR="00FF2160" w:rsidRPr="00DC7FDC" w:rsidTr="0029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 w:hint="eastAsia"/>
                <w:szCs w:val="24"/>
              </w:rPr>
              <w:t>Age in years, mean</w:t>
            </w:r>
            <w:r>
              <w:rPr>
                <w:rFonts w:cs="Times New Roman"/>
                <w:szCs w:val="24"/>
              </w:rPr>
              <w:t xml:space="preserve"> </w:t>
            </w:r>
            <w:r w:rsidRPr="00DC7FDC">
              <w:rPr>
                <w:rFonts w:cs="Times New Roman"/>
                <w:szCs w:val="24"/>
              </w:rPr>
              <w:t>(range)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6</w:t>
            </w:r>
            <w:r w:rsidRPr="006A59B3">
              <w:rPr>
                <w:rFonts w:cs="Times New Roman"/>
                <w:szCs w:val="24"/>
              </w:rPr>
              <w:t>7 (53-79)</w:t>
            </w:r>
          </w:p>
        </w:tc>
        <w:tc>
          <w:tcPr>
            <w:tcW w:w="3312" w:type="dxa"/>
          </w:tcPr>
          <w:p w:rsidR="00FF2160" w:rsidRPr="006A59B3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69 (</w:t>
            </w:r>
            <w:r w:rsidRPr="006A59B3">
              <w:rPr>
                <w:rFonts w:cs="Times New Roman"/>
                <w:szCs w:val="24"/>
              </w:rPr>
              <w:t>60-85</w:t>
            </w:r>
            <w:r w:rsidRPr="006A59B3">
              <w:rPr>
                <w:rFonts w:cs="Times New Roman" w:hint="eastAsia"/>
                <w:szCs w:val="24"/>
              </w:rPr>
              <w:t>)</w:t>
            </w:r>
          </w:p>
        </w:tc>
      </w:tr>
      <w:tr w:rsidR="00FF2160" w:rsidRPr="00DC7FDC" w:rsidTr="0029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/>
                <w:szCs w:val="24"/>
              </w:rPr>
              <w:t>TNM stage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3312" w:type="dxa"/>
          </w:tcPr>
          <w:p w:rsidR="00FF2160" w:rsidRPr="00DC7FDC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FF2160" w:rsidRPr="00DC7FDC" w:rsidTr="0029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 w:hint="eastAsia"/>
                <w:szCs w:val="24"/>
              </w:rPr>
              <w:t>T2</w:t>
            </w:r>
            <w:r>
              <w:rPr>
                <w:rFonts w:cs="Times New Roman"/>
                <w:szCs w:val="24"/>
              </w:rPr>
              <w:t>, n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15</w:t>
            </w:r>
          </w:p>
        </w:tc>
        <w:tc>
          <w:tcPr>
            <w:tcW w:w="3312" w:type="dxa"/>
          </w:tcPr>
          <w:p w:rsidR="00FF2160" w:rsidRPr="00DC7FDC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FF2160" w:rsidRPr="00DC7FDC" w:rsidTr="0029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 w:hint="eastAsia"/>
                <w:szCs w:val="24"/>
              </w:rPr>
              <w:t>T3</w:t>
            </w:r>
            <w:r>
              <w:rPr>
                <w:rFonts w:cs="Times New Roman"/>
                <w:szCs w:val="24"/>
              </w:rPr>
              <w:t>, n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8</w:t>
            </w:r>
          </w:p>
        </w:tc>
        <w:tc>
          <w:tcPr>
            <w:tcW w:w="3312" w:type="dxa"/>
          </w:tcPr>
          <w:p w:rsidR="00FF2160" w:rsidRPr="00DC7FDC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FF2160" w:rsidRPr="00DC7FDC" w:rsidTr="0029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 w:hint="eastAsia"/>
                <w:szCs w:val="24"/>
              </w:rPr>
              <w:t>T4</w:t>
            </w:r>
            <w:r>
              <w:rPr>
                <w:rFonts w:cs="Times New Roman"/>
                <w:szCs w:val="24"/>
              </w:rPr>
              <w:t>, n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9</w:t>
            </w:r>
          </w:p>
        </w:tc>
        <w:tc>
          <w:tcPr>
            <w:tcW w:w="3312" w:type="dxa"/>
          </w:tcPr>
          <w:p w:rsidR="00FF2160" w:rsidRPr="00DC7FDC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FF2160" w:rsidRPr="00DC7FDC" w:rsidTr="0029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 w:hint="eastAsia"/>
                <w:szCs w:val="24"/>
              </w:rPr>
              <w:t>Gleason score</w:t>
            </w:r>
            <w:r>
              <w:rPr>
                <w:rFonts w:cs="Times New Roman"/>
                <w:szCs w:val="24"/>
              </w:rPr>
              <w:t>s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3312" w:type="dxa"/>
          </w:tcPr>
          <w:p w:rsidR="00FF2160" w:rsidRPr="00DC7FDC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FF2160" w:rsidRPr="00DC7FDC" w:rsidTr="0029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 w:hint="eastAsia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, n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8</w:t>
            </w:r>
          </w:p>
        </w:tc>
        <w:tc>
          <w:tcPr>
            <w:tcW w:w="3312" w:type="dxa"/>
          </w:tcPr>
          <w:p w:rsidR="00FF2160" w:rsidRPr="00DC7FDC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FF2160" w:rsidRPr="00DC7FDC" w:rsidTr="0029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 w:hint="eastAsia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, n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19</w:t>
            </w:r>
          </w:p>
        </w:tc>
        <w:tc>
          <w:tcPr>
            <w:tcW w:w="3312" w:type="dxa"/>
          </w:tcPr>
          <w:p w:rsidR="00FF2160" w:rsidRPr="00DC7FDC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FF2160" w:rsidRPr="00DC7FDC" w:rsidTr="0029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 w:hint="eastAsia"/>
                <w:szCs w:val="24"/>
              </w:rPr>
              <w:t>8-10</w:t>
            </w:r>
            <w:r>
              <w:rPr>
                <w:rFonts w:cs="Times New Roman"/>
                <w:szCs w:val="24"/>
              </w:rPr>
              <w:t>, n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25</w:t>
            </w:r>
          </w:p>
        </w:tc>
        <w:tc>
          <w:tcPr>
            <w:tcW w:w="3312" w:type="dxa"/>
          </w:tcPr>
          <w:p w:rsidR="00FF2160" w:rsidRPr="00DC7FDC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FF2160" w:rsidRPr="00DC7FDC" w:rsidTr="0029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 w:hint="eastAsia"/>
                <w:szCs w:val="24"/>
              </w:rPr>
              <w:t>PSA value</w:t>
            </w:r>
            <w:r>
              <w:rPr>
                <w:rFonts w:cs="Times New Roman"/>
                <w:szCs w:val="24"/>
              </w:rPr>
              <w:t>s</w:t>
            </w:r>
            <w:r w:rsidRPr="00DC7FDC">
              <w:rPr>
                <w:rFonts w:cs="Times New Roman" w:hint="eastAsia"/>
                <w:szCs w:val="24"/>
              </w:rPr>
              <w:t xml:space="preserve"> ng/ml, mean</w:t>
            </w:r>
            <w:r>
              <w:rPr>
                <w:rFonts w:cs="Times New Roman"/>
                <w:szCs w:val="24"/>
              </w:rPr>
              <w:t xml:space="preserve"> </w:t>
            </w:r>
            <w:r w:rsidRPr="00DC7FDC">
              <w:rPr>
                <w:rFonts w:cs="Times New Roman"/>
                <w:szCs w:val="24"/>
              </w:rPr>
              <w:t>(range)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53.13</w:t>
            </w:r>
            <w:r>
              <w:rPr>
                <w:rFonts w:cs="Times New Roman"/>
                <w:szCs w:val="24"/>
              </w:rPr>
              <w:t xml:space="preserve"> </w:t>
            </w:r>
            <w:r w:rsidRPr="006A59B3">
              <w:rPr>
                <w:rFonts w:cs="Times New Roman" w:hint="eastAsia"/>
                <w:szCs w:val="24"/>
              </w:rPr>
              <w:t>(</w:t>
            </w:r>
            <w:r w:rsidRPr="006A59B3">
              <w:rPr>
                <w:rFonts w:cs="Times New Roman"/>
                <w:szCs w:val="24"/>
              </w:rPr>
              <w:t>0.008-647</w:t>
            </w:r>
            <w:r w:rsidRPr="006A59B3">
              <w:rPr>
                <w:rFonts w:cs="Times New Roman" w:hint="eastAsia"/>
                <w:szCs w:val="24"/>
              </w:rPr>
              <w:t>)</w:t>
            </w:r>
          </w:p>
        </w:tc>
        <w:tc>
          <w:tcPr>
            <w:tcW w:w="3312" w:type="dxa"/>
          </w:tcPr>
          <w:p w:rsidR="00FF2160" w:rsidRPr="00DC7FDC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FF2160" w:rsidRPr="00DC7FDC" w:rsidTr="0029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 w:hint="eastAsia"/>
                <w:szCs w:val="24"/>
              </w:rPr>
              <w:t>&lt;10</w:t>
            </w:r>
            <w:r>
              <w:rPr>
                <w:rFonts w:cs="Times New Roman"/>
                <w:szCs w:val="24"/>
              </w:rPr>
              <w:t>, n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17</w:t>
            </w:r>
          </w:p>
        </w:tc>
        <w:tc>
          <w:tcPr>
            <w:tcW w:w="3312" w:type="dxa"/>
          </w:tcPr>
          <w:p w:rsidR="00FF2160" w:rsidRPr="00DC7FDC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FF2160" w:rsidRPr="00DC7FDC" w:rsidTr="0029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 w:hint="eastAsia"/>
                <w:szCs w:val="24"/>
              </w:rPr>
              <w:t>10-20</w:t>
            </w:r>
            <w:r>
              <w:rPr>
                <w:rFonts w:cs="Times New Roman"/>
                <w:szCs w:val="24"/>
              </w:rPr>
              <w:t>, n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10</w:t>
            </w:r>
          </w:p>
        </w:tc>
        <w:tc>
          <w:tcPr>
            <w:tcW w:w="3312" w:type="dxa"/>
          </w:tcPr>
          <w:p w:rsidR="00FF2160" w:rsidRPr="00DC7FDC" w:rsidRDefault="00FF2160" w:rsidP="00291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FF2160" w:rsidRPr="00DC7FDC" w:rsidTr="0029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F2160" w:rsidRPr="00DC7FDC" w:rsidRDefault="00FF2160" w:rsidP="002916ED">
            <w:pPr>
              <w:spacing w:line="276" w:lineRule="auto"/>
              <w:rPr>
                <w:rFonts w:cs="Times New Roman"/>
                <w:szCs w:val="24"/>
              </w:rPr>
            </w:pPr>
            <w:r w:rsidRPr="00DC7FDC">
              <w:rPr>
                <w:rFonts w:cs="Times New Roman" w:hint="eastAsia"/>
                <w:szCs w:val="24"/>
              </w:rPr>
              <w:t>&gt;20</w:t>
            </w:r>
            <w:r>
              <w:rPr>
                <w:rFonts w:cs="Times New Roman"/>
                <w:szCs w:val="24"/>
              </w:rPr>
              <w:t>, n</w:t>
            </w:r>
          </w:p>
        </w:tc>
        <w:tc>
          <w:tcPr>
            <w:tcW w:w="2070" w:type="dxa"/>
          </w:tcPr>
          <w:p w:rsidR="00FF2160" w:rsidRPr="006A59B3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A59B3">
              <w:rPr>
                <w:rFonts w:cs="Times New Roman" w:hint="eastAsia"/>
                <w:szCs w:val="24"/>
              </w:rPr>
              <w:t>25</w:t>
            </w:r>
          </w:p>
        </w:tc>
        <w:tc>
          <w:tcPr>
            <w:tcW w:w="3312" w:type="dxa"/>
          </w:tcPr>
          <w:p w:rsidR="00FF2160" w:rsidRPr="00DC7FDC" w:rsidRDefault="00FF2160" w:rsidP="002916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</w:tbl>
    <w:p w:rsidR="00FF2160" w:rsidRDefault="00FF2160" w:rsidP="00FF2160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 w:hint="eastAsia"/>
          <w:b/>
          <w:szCs w:val="24"/>
        </w:rPr>
        <w:t>*: TNM stages were not available for all patients.</w:t>
      </w:r>
    </w:p>
    <w:p w:rsidR="00CF4A8F" w:rsidRDefault="00CF4A8F"/>
    <w:sectPr w:rsidR="00CF4A8F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60"/>
    <w:rsid w:val="00CF4A8F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2368C-D643-4454-9434-1ED5FA0D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2160"/>
    <w:pPr>
      <w:spacing w:before="120" w:after="240" w:line="240" w:lineRule="auto"/>
    </w:pPr>
    <w:rPr>
      <w:rFonts w:ascii="Times New Roman" w:eastAsia="SimSun" w:hAnsi="Times New Roman"/>
      <w:sz w:val="24"/>
      <w:lang w:eastAsia="en-US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FF2160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FF2160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FF2160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FF2160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FF2160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FF2160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FF2160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FF2160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FF2160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FF2160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numbering" w:customStyle="1" w:styleId="Headings">
    <w:name w:val="Headings"/>
    <w:uiPriority w:val="99"/>
    <w:rsid w:val="00FF2160"/>
    <w:pPr>
      <w:numPr>
        <w:numId w:val="1"/>
      </w:numPr>
    </w:pPr>
  </w:style>
  <w:style w:type="table" w:styleId="Gritternetztabelle6farbig">
    <w:name w:val="Grid Table 6 Colorful"/>
    <w:basedOn w:val="NormaleTabelle"/>
    <w:uiPriority w:val="51"/>
    <w:rsid w:val="00FF2160"/>
    <w:pPr>
      <w:spacing w:after="0" w:line="240" w:lineRule="auto"/>
    </w:pPr>
    <w:rPr>
      <w:color w:val="000000" w:themeColor="text1"/>
      <w:kern w:val="2"/>
      <w:sz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FF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2022-02-03T10:27:00Z</dcterms:created>
  <dcterms:modified xsi:type="dcterms:W3CDTF">2022-02-03T10:29:00Z</dcterms:modified>
</cp:coreProperties>
</file>