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  <w:t>Supplementary Materials</w:t>
      </w:r>
    </w:p>
    <w:p>
      <w:pPr>
        <w:pStyle w:val="4"/>
        <w:spacing w:line="360" w:lineRule="auto"/>
        <w:rPr>
          <w:rFonts w:ascii="Times New Roman" w:hAnsi="Times New Roman" w:eastAsiaTheme="minorEastAsia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/>
          <w:b w:val="0"/>
          <w:bCs w:val="0"/>
          <w:sz w:val="24"/>
          <w:szCs w:val="24"/>
          <w:highlight w:val="none"/>
          <w:lang w:eastAsia="zh-CN"/>
        </w:rPr>
        <w:t xml:space="preserve">Fig. </w:t>
      </w:r>
      <w:r>
        <w:rPr>
          <w:rFonts w:ascii="Times New Roman" w:hAnsi="Times New Roman"/>
          <w:b w:val="0"/>
          <w:bCs w:val="0"/>
          <w:sz w:val="24"/>
          <w:szCs w:val="24"/>
          <w:highlight w:val="none"/>
        </w:rPr>
        <w:t>S1</w:t>
      </w:r>
      <w:r>
        <w:rPr>
          <w:rFonts w:ascii="Times New Roman" w:hAnsi="Times New Roman" w:eastAsia="宋体"/>
          <w:b w:val="0"/>
          <w:bCs w:val="0"/>
          <w:sz w:val="24"/>
          <w:szCs w:val="24"/>
          <w:highlight w:val="none"/>
          <w:lang w:eastAsia="zh-CN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  <w:highlight w:val="none"/>
        </w:rPr>
        <w:t xml:space="preserve"> Venn diagrams showing </w:t>
      </w:r>
      <w:r>
        <w:rPr>
          <w:rFonts w:ascii="Times New Roman" w:hAnsi="Times New Roman" w:eastAsiaTheme="minorEastAsia"/>
          <w:b w:val="0"/>
          <w:bCs w:val="0"/>
          <w:sz w:val="24"/>
          <w:szCs w:val="24"/>
          <w:highlight w:val="none"/>
          <w:lang w:eastAsia="zh-CN"/>
        </w:rPr>
        <w:t>the changes of DEGs expression in all comparison groups.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S1. Result of the</w:t>
      </w:r>
      <w:r>
        <w:rPr>
          <w:rFonts w:eastAsia="宋体"/>
          <w:b w:val="0"/>
          <w:bCs w:val="0"/>
          <w:i/>
          <w:iCs/>
          <w:szCs w:val="21"/>
          <w:highlight w:val="none"/>
        </w:rPr>
        <w:t xml:space="preserve"> de novo</w:t>
      </w:r>
      <w:r>
        <w:rPr>
          <w:rFonts w:eastAsia="宋体"/>
          <w:b w:val="0"/>
          <w:bCs w:val="0"/>
          <w:szCs w:val="21"/>
          <w:highlight w:val="none"/>
        </w:rPr>
        <w:t xml:space="preserve"> transcriptome assembly.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S2. Up- and down-regulation DEGs in comparison groups T/CK.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S3. Up- and down-regulation DEGs in comparison groups R/T.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S4. Up- and down-regulation DEGs in comparison groups R/CK.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S5. The 29 DEGs up-regulated in T/CK and down-regulated in R/T.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S6. The 44 DEGs down-regulated in T/CK and up-regulated in R/T.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S7. Enriched significantly GO terms in T/CK (P-adjust&lt;0.05).</w:t>
      </w:r>
    </w:p>
    <w:p>
      <w:pPr>
        <w:spacing w:line="360" w:lineRule="auto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>Table S8. Top 20 GO terms enriched in R/T.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S9. Top 20 GO terms enriched in R/CK.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S10. Statistical enrichment analysis for KEGG pathways in T/CK.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S11. Statistical enrichment analysis for KEGG pathways in R/T.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S12. Statistical enrichment analysis for KEGG pathways in R/CK.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S13. The differentially expressed transcription factors (TFs) between different treatment.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S14. The differentially expressed transporter proteins (TPs) between different treatment.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>Table S15. The differentially expressed unigenes associated with ROS scavenging between different treatment.</w:t>
      </w:r>
    </w:p>
    <w:p>
      <w:pPr>
        <w:spacing w:line="360" w:lineRule="auto"/>
        <w:rPr>
          <w:rFonts w:eastAsia="宋体"/>
          <w:b w:val="0"/>
          <w:bCs w:val="0"/>
          <w:szCs w:val="21"/>
          <w:highlight w:val="none"/>
        </w:rPr>
      </w:pPr>
      <w:r>
        <w:rPr>
          <w:rFonts w:eastAsia="宋体"/>
          <w:b w:val="0"/>
          <w:bCs w:val="0"/>
          <w:szCs w:val="21"/>
          <w:highlight w:val="none"/>
        </w:rPr>
        <w:t xml:space="preserve">Table S16. The differentially expressed unigenes associated with </w:t>
      </w:r>
      <w:r>
        <w:rPr>
          <w:rFonts w:hint="eastAsia" w:eastAsia="宋体"/>
          <w:b w:val="0"/>
          <w:bCs w:val="0"/>
          <w:szCs w:val="21"/>
          <w:highlight w:val="none"/>
          <w:lang w:eastAsia="zh-CN"/>
        </w:rPr>
        <w:t>Proline</w:t>
      </w:r>
      <w:r>
        <w:rPr>
          <w:rFonts w:eastAsia="宋体"/>
          <w:b w:val="0"/>
          <w:bCs w:val="0"/>
          <w:szCs w:val="21"/>
          <w:highlight w:val="none"/>
        </w:rPr>
        <w:t xml:space="preserve"> metabolism pathway.</w:t>
      </w:r>
    </w:p>
    <w:p>
      <w:pPr>
        <w:spacing w:line="360" w:lineRule="auto"/>
        <w:rPr>
          <w:rFonts w:eastAsiaTheme="minorEastAsia"/>
          <w:b w:val="0"/>
          <w:bCs w:val="0"/>
          <w:szCs w:val="24"/>
          <w:highlight w:val="none"/>
          <w:lang w:eastAsia="zh-CN"/>
        </w:rPr>
      </w:pPr>
      <w:r>
        <w:rPr>
          <w:b w:val="0"/>
          <w:bCs w:val="0"/>
          <w:highlight w:val="none"/>
        </w:rPr>
        <w:t>Table S17. qRT-PCR primers used in this study.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40" w:lineRule="atLeast"/>
      <w:jc w:val="both"/>
    </w:pPr>
    <w:rPr>
      <w:rFonts w:ascii="Times New Roman" w:hAnsi="Times New Roman" w:eastAsia="Times New Roman" w:cs="Times New Roman"/>
      <w:color w:val="000000"/>
      <w:sz w:val="24"/>
      <w:lang w:val="en-US" w:eastAsia="de-DE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DPI_6.1_Supplementary"/>
    <w:basedOn w:val="5"/>
    <w:qFormat/>
    <w:uiPriority w:val="0"/>
    <w:pPr>
      <w:spacing w:before="240"/>
    </w:pPr>
    <w:rPr>
      <w:lang w:eastAsia="en-US"/>
    </w:rPr>
  </w:style>
  <w:style w:type="paragraph" w:customStyle="1" w:styleId="5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2022-02-03T07:08:02Z</dcterms:created>
  <dc:creator>zy</dc:creator>
  <cp:lastModifiedBy>张岳</cp:lastModifiedBy>
  <dcterms:modified xsi:type="dcterms:W3CDTF">2022-02-03T07:08:13Z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0E14ECAF15C3467396659852DFC9B4E7</vt:lpwstr>
  </property>
</Properties>
</file>