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12"/>
        <w:gridCol w:w="1104"/>
        <w:gridCol w:w="877"/>
        <w:gridCol w:w="1441"/>
        <w:gridCol w:w="247"/>
        <w:gridCol w:w="1167"/>
        <w:gridCol w:w="1163"/>
        <w:gridCol w:w="1441"/>
        <w:gridCol w:w="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73" w:hRule="atLeast"/>
        </w:trPr>
        <w:tc>
          <w:tcPr>
            <w:tcW w:w="974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" w:hAnsi="Times" w:eastAsia="Times New Roman" w:cs="Arial"/>
                <w:bCs/>
                <w:iCs/>
                <w:color w:val="000000"/>
                <w:sz w:val="24"/>
                <w:szCs w:val="21"/>
              </w:rPr>
            </w:pPr>
          </w:p>
          <w:p>
            <w:pPr>
              <w:rPr>
                <w:rFonts w:ascii="Times" w:hAnsi="Times" w:eastAsia="Times New Roman" w:cs="Arial"/>
                <w:bCs/>
                <w:iCs/>
                <w:color w:val="000000"/>
                <w:sz w:val="24"/>
                <w:szCs w:val="21"/>
              </w:rPr>
            </w:pPr>
          </w:p>
          <w:p>
            <w:pPr>
              <w:rPr>
                <w:rFonts w:ascii="Arial" w:hAnsi="Arial" w:eastAsia="DengXian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" w:hAnsi="Times" w:eastAsia="Times New Roman" w:cs="Arial"/>
                <w:bCs/>
                <w:iCs/>
                <w:color w:val="000000"/>
                <w:sz w:val="24"/>
                <w:szCs w:val="21"/>
              </w:rPr>
              <w:t>Supplemental 1 Overall Survival by Treatment Strategies ( Neoadjuvant vs Adjuvant vs Combination Therapy) and different histology(ESCC vs EAC) in Clinical T1N+ and T2Nany Patients”.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ESCC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DengXian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EAC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Subgroups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both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Strategy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Adjusted HR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95%CI</w:t>
            </w:r>
          </w:p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of HR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Adjusted P value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Adjusted HR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95%CI of HR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Adjusted P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  <w:t>c Stage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97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T1N+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NA</w:t>
            </w: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  <w:vertAlign w:val="baseline"/>
              </w:rPr>
              <w:t>α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NA</w:t>
            </w: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  <w:vertAlign w:val="baseline"/>
              </w:rPr>
              <w:t>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0.279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0.622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0.273-1.415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0.257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97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NA</w:t>
            </w: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  <w:vertAlign w:val="baseline"/>
              </w:rPr>
              <w:t>α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NA</w:t>
            </w: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  <w:vertAlign w:val="baseline"/>
              </w:rPr>
              <w:t>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0.557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1.320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0.725-2.403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T2N0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1.350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0.700-2.605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1.079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0.823-1.416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1.230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0.410-3.684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0.712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1.247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0.852-1.824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0.256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T2N+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1.697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0.729-3.952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1.041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0.716-1.515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0.833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73" w:hRule="atLeast"/>
        </w:trPr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DengXian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0.163-1.266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DengXian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1.087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0.781-1.514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 xml:space="preserve">0.620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66" w:hRule="atLeast"/>
        </w:trPr>
        <w:tc>
          <w:tcPr>
            <w:tcW w:w="8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  <w:t>α: Hazard ratio was not available for T1N+ ESCC in Cox regression model due to limitedvalid cases (2 NT and 2 CT).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/>
              <w:jc w:val="center"/>
              <w:rPr>
                <w:rFonts w:ascii="Arial" w:hAnsi="Arial" w:eastAsia="DengXian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" w:hAnsi="Times" w:eastAsia="DengXian" w:cs="Arial"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cs="Arial"/>
          <w:sz w:val="20"/>
          <w:szCs w:val="20"/>
        </w:rPr>
      </w:pPr>
    </w:p>
    <w:tbl>
      <w:tblPr>
        <w:tblStyle w:val="2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2192"/>
        <w:gridCol w:w="2192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498" w:type="dxa"/>
            <w:gridSpan w:val="4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Supplemental 2 Multivariate analysis for overall survival in T2N0 patients using Cox regression model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8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  <w:r>
              <w:rPr>
                <w:rFonts w:hint="eastAsia" w:ascii="Arial" w:hAnsi="Arial" w:eastAsia="DengXian" w:cs="Arial"/>
                <w:b/>
                <w:bCs/>
                <w:color w:val="000000"/>
              </w:rPr>
              <w:t>　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DengXi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  <w:sz w:val="20"/>
                <w:szCs w:val="20"/>
              </w:rPr>
              <w:t>Adjusted HR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DengXi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  <w:sz w:val="20"/>
                <w:szCs w:val="20"/>
              </w:rPr>
              <w:t>95%CI of HR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DengXi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  <w:sz w:val="20"/>
                <w:szCs w:val="20"/>
              </w:rPr>
              <w:t>Adjusted P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Age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hint="eastAsia" w:ascii="DengXian" w:hAnsi="DengXian" w:eastAsia="DengXian" w:cs="Arial"/>
                <w:color w:val="000000"/>
              </w:rPr>
              <w:t>≤</w:t>
            </w:r>
            <w:r>
              <w:rPr>
                <w:rFonts w:ascii="Arial" w:hAnsi="Arial" w:eastAsia="DengXian" w:cs="Arial"/>
                <w:color w:val="000000"/>
              </w:rPr>
              <w:t xml:space="preserve">55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56-65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1.005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0.802-1.259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66-75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1.303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1.015-1.673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&gt;75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2.181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1.649-2.885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Sex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Male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Female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0.808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0.652-1.000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Race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White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Black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1.062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0.743-1.519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Others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0.544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0.268-1.102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Insurance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Private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Government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0.794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0.402-1.568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None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0.971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0.489-1.929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Income 2008-2012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0.032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&lt;$48,000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hint="eastAsia" w:ascii="DengXian" w:hAnsi="DengXian" w:eastAsia="DengXian" w:cs="Arial"/>
                <w:color w:val="000000"/>
              </w:rPr>
              <w:t>≥</w:t>
            </w:r>
            <w:r>
              <w:rPr>
                <w:rFonts w:ascii="Arial" w:hAnsi="Arial" w:eastAsia="DengXian" w:cs="Arial"/>
                <w:color w:val="000000"/>
              </w:rPr>
              <w:t xml:space="preserve">$48,000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0.819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0.682-0.983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Education 2008-2012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0.238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&lt;87%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hint="eastAsia" w:ascii="DengXian" w:hAnsi="DengXian" w:eastAsia="DengXian" w:cs="Arial"/>
                <w:color w:val="000000"/>
              </w:rPr>
              <w:t>≥</w:t>
            </w:r>
            <w:r>
              <w:rPr>
                <w:rFonts w:ascii="Arial" w:hAnsi="Arial" w:eastAsia="DengXian" w:cs="Arial"/>
                <w:color w:val="000000"/>
              </w:rPr>
              <w:t>87%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0.899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0.754-1.073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UR 2013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0.105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Metropolitan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Urban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1.214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0.974-1.514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Rural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0.857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0.622-1.181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Charleson score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0.557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1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1.094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0.924-1.296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hint="eastAsia" w:ascii="DengXian" w:hAnsi="DengXian" w:eastAsia="DengXian" w:cs="Arial"/>
                <w:color w:val="000000"/>
              </w:rPr>
              <w:t>≥</w:t>
            </w:r>
            <w:r>
              <w:rPr>
                <w:rFonts w:ascii="Arial" w:hAnsi="Arial" w:eastAsia="DengXian" w:cs="Arial"/>
                <w:color w:val="000000"/>
              </w:rPr>
              <w:t>2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1.066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0.812-1.399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Year of diagnosis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0.182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2006-2010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2011-2015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0.899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0.768-1.051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Facility type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0.316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Community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Comprehensive Community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0.841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0.503-1.406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Academic/Research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0.752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0.454-1.248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Integrated Network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0.698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0.402-1.215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Other or unknown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Location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0.151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Upper third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Middle third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1.108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0.630-1.946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Lower third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0.853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0.485-1.500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Overlapping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0.687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0.333-1.418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Histology type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0.255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ESCC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EAC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0.869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0.682-1.107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eastAsia="DengXian" w:cs="Arial"/>
                <w:b/>
                <w:bCs/>
                <w:color w:val="000000"/>
              </w:rPr>
              <w:t>Strategy</w:t>
            </w:r>
          </w:p>
        </w:tc>
        <w:tc>
          <w:tcPr>
            <w:tcW w:w="2192" w:type="dxa"/>
            <w:noWrap/>
            <w:vAlign w:val="bottom"/>
          </w:tcPr>
          <w:p>
            <w:pPr>
              <w:rPr>
                <w:rFonts w:ascii="Arial" w:hAnsi="Arial" w:eastAsia="DengXian" w:cs="Arial"/>
                <w:b/>
                <w:bCs/>
                <w:color w:val="000000"/>
              </w:rPr>
            </w:pPr>
          </w:p>
        </w:tc>
        <w:tc>
          <w:tcPr>
            <w:tcW w:w="2192" w:type="dxa"/>
            <w:noWrap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3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0.286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Surgery alone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1.000 (Refference)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NT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1.052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0.891-1.242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81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AT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1.185 </w:t>
            </w:r>
          </w:p>
        </w:tc>
        <w:tc>
          <w:tcPr>
            <w:tcW w:w="2192" w:type="dxa"/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0.926-1.516</w:t>
            </w:r>
          </w:p>
        </w:tc>
        <w:tc>
          <w:tcPr>
            <w:tcW w:w="2033" w:type="dxa"/>
            <w:noWrap/>
            <w:vAlign w:val="bottom"/>
          </w:tcPr>
          <w:p>
            <w:pPr>
              <w:rPr>
                <w:rFonts w:ascii="Arial" w:hAnsi="Arial" w:eastAsia="DengXi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  <w:sz w:val="22"/>
              </w:rPr>
            </w:pPr>
            <w:r>
              <w:rPr>
                <w:rFonts w:ascii="Arial" w:hAnsi="Arial" w:eastAsia="DengXian" w:cs="Arial"/>
                <w:color w:val="000000"/>
              </w:rPr>
              <w:t>CT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 xml:space="preserve">1.347 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ascii="Arial" w:hAnsi="Arial" w:eastAsia="DengXian" w:cs="Arial"/>
                <w:color w:val="000000"/>
              </w:rPr>
              <w:t>0.940-1.931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Arial" w:hAnsi="Arial" w:eastAsia="DengXian" w:cs="Arial"/>
                <w:color w:val="000000"/>
              </w:rPr>
            </w:pPr>
            <w:r>
              <w:rPr>
                <w:rFonts w:hint="eastAsia" w:ascii="Arial" w:hAnsi="Arial" w:eastAsia="DengXian" w:cs="Arial"/>
                <w:color w:val="000000"/>
              </w:rPr>
              <w:t>　</w:t>
            </w:r>
          </w:p>
        </w:tc>
      </w:tr>
    </w:tbl>
    <w:p>
      <w:pPr>
        <w:widowControl/>
        <w:jc w:val="left"/>
        <w:rPr>
          <w:rFonts w:ascii="Arial" w:hAnsi="Arial" w:cs="Arial"/>
          <w:sz w:val="20"/>
          <w:szCs w:val="20"/>
        </w:rPr>
      </w:pPr>
    </w:p>
    <w:p>
      <w:pPr>
        <w:widowControl/>
        <w:jc w:val="left"/>
        <w:rPr>
          <w:rFonts w:ascii="Arial" w:hAnsi="Arial" w:cs="Arial"/>
          <w:sz w:val="20"/>
          <w:szCs w:val="20"/>
        </w:rPr>
      </w:pPr>
    </w:p>
    <w:p>
      <w:pPr>
        <w:widowControl/>
        <w:jc w:val="left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E2C76"/>
    <w:rsid w:val="677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2020-04-11T02:38:00Z</dcterms:created>
  <dc:creator>zhangjie2289hotmailcom</dc:creator>
  <cp:lastModifiedBy>zhangjie2289hotmailcom</cp:lastModifiedBy>
  <dcterms:modified xsi:type="dcterms:W3CDTF">2020-04-11T02:39:08Z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