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DDFF4D" w14:textId="7A63E54D" w:rsidR="00D81EF4" w:rsidRPr="00D81EF4" w:rsidRDefault="00D81EF4" w:rsidP="00D81EF4">
      <w:pPr>
        <w:spacing w:before="240" w:line="48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D81EF4">
        <w:rPr>
          <w:rFonts w:ascii="Times New Roman" w:hAnsi="Times New Roman"/>
          <w:b/>
          <w:bCs/>
          <w:sz w:val="24"/>
          <w:szCs w:val="24"/>
        </w:rPr>
        <w:t xml:space="preserve">Genome-wide analysis of </w:t>
      </w:r>
      <w:r w:rsidRPr="00D81EF4">
        <w:rPr>
          <w:rFonts w:ascii="Times New Roman" w:hAnsi="Times New Roman"/>
          <w:b/>
          <w:bCs/>
          <w:i/>
          <w:iCs/>
          <w:sz w:val="24"/>
          <w:szCs w:val="24"/>
        </w:rPr>
        <w:t>PR-1</w:t>
      </w:r>
      <w:r w:rsidRPr="00D81EF4">
        <w:rPr>
          <w:rFonts w:ascii="Times New Roman" w:hAnsi="Times New Roman"/>
          <w:b/>
          <w:bCs/>
          <w:sz w:val="24"/>
          <w:szCs w:val="24"/>
        </w:rPr>
        <w:t xml:space="preserve"> genes from </w:t>
      </w:r>
      <w:r w:rsidRPr="00D81EF4">
        <w:rPr>
          <w:rFonts w:ascii="Times New Roman" w:hAnsi="Times New Roman"/>
          <w:b/>
          <w:bCs/>
          <w:i/>
          <w:iCs/>
          <w:sz w:val="24"/>
          <w:szCs w:val="24"/>
        </w:rPr>
        <w:t>Piper nigrum</w:t>
      </w:r>
      <w:r w:rsidRPr="00D81EF4">
        <w:rPr>
          <w:rFonts w:ascii="Times New Roman" w:hAnsi="Times New Roman"/>
          <w:b/>
          <w:bCs/>
          <w:sz w:val="24"/>
          <w:szCs w:val="24"/>
        </w:rPr>
        <w:t xml:space="preserve"> reveals critical role in defense response during </w:t>
      </w:r>
      <w:r w:rsidRPr="00D81EF4">
        <w:rPr>
          <w:rFonts w:ascii="Times New Roman" w:hAnsi="Times New Roman"/>
          <w:b/>
          <w:bCs/>
          <w:i/>
          <w:iCs/>
          <w:sz w:val="24"/>
          <w:szCs w:val="24"/>
        </w:rPr>
        <w:t>Phytophthora capsici</w:t>
      </w:r>
      <w:r w:rsidRPr="00D81EF4">
        <w:rPr>
          <w:rFonts w:ascii="Times New Roman" w:hAnsi="Times New Roman"/>
          <w:b/>
          <w:bCs/>
          <w:sz w:val="24"/>
          <w:szCs w:val="24"/>
        </w:rPr>
        <w:t xml:space="preserve"> infection</w:t>
      </w:r>
    </w:p>
    <w:p w14:paraId="06980F0F" w14:textId="77777777" w:rsidR="00D81EF4" w:rsidRPr="00D81EF4" w:rsidRDefault="00D81EF4" w:rsidP="00D81EF4">
      <w:pPr>
        <w:spacing w:line="48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D81EF4">
        <w:rPr>
          <w:rFonts w:ascii="Times New Roman" w:hAnsi="Times New Roman"/>
          <w:b/>
          <w:bCs/>
          <w:sz w:val="24"/>
          <w:szCs w:val="24"/>
        </w:rPr>
        <w:t>Kattupalli Divya</w:t>
      </w:r>
      <w:r w:rsidRPr="00D81EF4">
        <w:rPr>
          <w:rFonts w:ascii="Times New Roman" w:hAnsi="Times New Roman"/>
          <w:sz w:val="24"/>
          <w:szCs w:val="24"/>
          <w:vertAlign w:val="superscript"/>
        </w:rPr>
        <w:t>#</w:t>
      </w:r>
      <w:r w:rsidRPr="00D81EF4">
        <w:rPr>
          <w:rFonts w:ascii="Times New Roman" w:hAnsi="Times New Roman"/>
          <w:b/>
          <w:bCs/>
          <w:sz w:val="24"/>
          <w:szCs w:val="24"/>
        </w:rPr>
        <w:t>, Srinivasan Asha</w:t>
      </w:r>
      <w:r w:rsidRPr="00D81EF4">
        <w:rPr>
          <w:rFonts w:ascii="Times New Roman" w:hAnsi="Times New Roman"/>
          <w:sz w:val="24"/>
          <w:szCs w:val="24"/>
          <w:vertAlign w:val="superscript"/>
        </w:rPr>
        <w:t>#</w:t>
      </w:r>
      <w:r w:rsidRPr="00D81EF4">
        <w:rPr>
          <w:rFonts w:ascii="Times New Roman" w:hAnsi="Times New Roman"/>
          <w:b/>
          <w:bCs/>
          <w:sz w:val="24"/>
          <w:szCs w:val="24"/>
        </w:rPr>
        <w:t xml:space="preserve">, </w:t>
      </w:r>
      <w:proofErr w:type="spellStart"/>
      <w:r w:rsidRPr="00D81EF4">
        <w:rPr>
          <w:rFonts w:ascii="Times New Roman" w:hAnsi="Times New Roman"/>
          <w:b/>
          <w:bCs/>
          <w:sz w:val="24"/>
          <w:szCs w:val="24"/>
        </w:rPr>
        <w:t>Eppurathu</w:t>
      </w:r>
      <w:proofErr w:type="spellEnd"/>
      <w:r w:rsidRPr="00D81EF4">
        <w:rPr>
          <w:rFonts w:ascii="Times New Roman" w:hAnsi="Times New Roman"/>
          <w:b/>
          <w:bCs/>
          <w:sz w:val="24"/>
          <w:szCs w:val="24"/>
        </w:rPr>
        <w:t xml:space="preserve"> Vasudevan </w:t>
      </w:r>
      <w:proofErr w:type="spellStart"/>
      <w:r w:rsidRPr="00D81EF4">
        <w:rPr>
          <w:rFonts w:ascii="Times New Roman" w:hAnsi="Times New Roman"/>
          <w:b/>
          <w:bCs/>
          <w:sz w:val="24"/>
          <w:szCs w:val="24"/>
        </w:rPr>
        <w:t>Soniya</w:t>
      </w:r>
      <w:proofErr w:type="spellEnd"/>
      <w:r w:rsidRPr="00D81EF4">
        <w:rPr>
          <w:rFonts w:ascii="Times New Roman" w:hAnsi="Times New Roman"/>
          <w:sz w:val="24"/>
          <w:szCs w:val="24"/>
        </w:rPr>
        <w:t>*</w:t>
      </w:r>
      <w:r w:rsidRPr="00D81EF4">
        <w:rPr>
          <w:rFonts w:ascii="Times New Roman" w:hAnsi="Times New Roman"/>
          <w:sz w:val="24"/>
          <w:szCs w:val="24"/>
          <w:vertAlign w:val="superscript"/>
        </w:rPr>
        <w:sym w:font="Wingdings" w:char="F02A"/>
      </w:r>
    </w:p>
    <w:p w14:paraId="25E44AD6" w14:textId="77777777" w:rsidR="00D81EF4" w:rsidRPr="00D81EF4" w:rsidRDefault="00D81EF4" w:rsidP="00D81EF4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4AE1CAB7" w14:textId="68D995E6" w:rsidR="00D81EF4" w:rsidRPr="00D81EF4" w:rsidRDefault="00D81EF4" w:rsidP="00D81EF4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D81EF4">
        <w:rPr>
          <w:rFonts w:ascii="Times New Roman" w:hAnsi="Times New Roman"/>
          <w:b/>
          <w:bCs/>
          <w:sz w:val="24"/>
          <w:szCs w:val="24"/>
        </w:rPr>
        <w:t xml:space="preserve">Supplementary </w:t>
      </w:r>
      <w:r w:rsidRPr="00D81EF4">
        <w:rPr>
          <w:rFonts w:ascii="Times New Roman" w:hAnsi="Times New Roman"/>
          <w:b/>
          <w:bCs/>
          <w:sz w:val="24"/>
          <w:szCs w:val="24"/>
        </w:rPr>
        <w:t>Figures</w:t>
      </w:r>
    </w:p>
    <w:p w14:paraId="26643520" w14:textId="77777777" w:rsidR="00D81EF4" w:rsidRPr="002D39DF" w:rsidRDefault="00D81EF4" w:rsidP="00D81EF4">
      <w:pPr>
        <w:spacing w:before="240" w:line="480" w:lineRule="auto"/>
        <w:jc w:val="both"/>
        <w:rPr>
          <w:rFonts w:ascii="Times New Roman" w:hAnsi="Times New Roman"/>
          <w:sz w:val="24"/>
          <w:szCs w:val="24"/>
        </w:rPr>
      </w:pPr>
    </w:p>
    <w:p w14:paraId="211AB9A5" w14:textId="5EEF860F" w:rsidR="00D81EF4" w:rsidRDefault="00D81EF4" w:rsidP="00D81EF4">
      <w:pPr>
        <w:spacing w:before="240" w:line="48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C110556" wp14:editId="42073702">
            <wp:extent cx="5943600" cy="44983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9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6DC93" w14:textId="294E5793" w:rsidR="00D81EF4" w:rsidRDefault="00D81EF4" w:rsidP="00D81EF4">
      <w:pPr>
        <w:spacing w:before="240" w:line="480" w:lineRule="auto"/>
        <w:jc w:val="both"/>
        <w:rPr>
          <w:rFonts w:ascii="Times New Roman" w:hAnsi="Times New Roman"/>
          <w:sz w:val="24"/>
          <w:szCs w:val="24"/>
        </w:rPr>
      </w:pPr>
      <w:r w:rsidRPr="002D39DF">
        <w:rPr>
          <w:rFonts w:ascii="Times New Roman" w:hAnsi="Times New Roman"/>
          <w:b/>
          <w:bCs/>
          <w:sz w:val="24"/>
          <w:szCs w:val="24"/>
        </w:rPr>
        <w:t xml:space="preserve">Fig. S1: </w:t>
      </w:r>
      <w:r w:rsidRPr="002D39DF">
        <w:rPr>
          <w:rFonts w:ascii="Times New Roman" w:hAnsi="Times New Roman"/>
          <w:sz w:val="24"/>
          <w:szCs w:val="24"/>
        </w:rPr>
        <w:t>The amino acid sequences from </w:t>
      </w:r>
      <w:r w:rsidRPr="002D39DF">
        <w:rPr>
          <w:rFonts w:ascii="Times New Roman" w:hAnsi="Times New Roman"/>
          <w:i/>
          <w:iCs/>
          <w:sz w:val="24"/>
          <w:szCs w:val="24"/>
        </w:rPr>
        <w:t xml:space="preserve">Piper nigrum, Nymphaea </w:t>
      </w:r>
      <w:proofErr w:type="spellStart"/>
      <w:r w:rsidRPr="002D39DF">
        <w:rPr>
          <w:rFonts w:ascii="Times New Roman" w:hAnsi="Times New Roman"/>
          <w:i/>
          <w:iCs/>
          <w:sz w:val="24"/>
          <w:szCs w:val="24"/>
        </w:rPr>
        <w:t>colorata</w:t>
      </w:r>
      <w:proofErr w:type="spellEnd"/>
      <w:r w:rsidRPr="002D39DF">
        <w:rPr>
          <w:rFonts w:ascii="Times New Roman" w:hAnsi="Times New Roman"/>
          <w:i/>
          <w:iCs/>
          <w:sz w:val="24"/>
          <w:szCs w:val="24"/>
        </w:rPr>
        <w:t xml:space="preserve">, </w:t>
      </w:r>
      <w:proofErr w:type="spellStart"/>
      <w:r w:rsidRPr="002D39DF">
        <w:rPr>
          <w:rFonts w:ascii="Times New Roman" w:hAnsi="Times New Roman"/>
          <w:i/>
          <w:iCs/>
          <w:sz w:val="24"/>
          <w:szCs w:val="24"/>
        </w:rPr>
        <w:t>Elaeis</w:t>
      </w:r>
      <w:proofErr w:type="spellEnd"/>
      <w:r w:rsidRPr="002D39DF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2D39DF">
        <w:rPr>
          <w:rFonts w:ascii="Times New Roman" w:hAnsi="Times New Roman"/>
          <w:i/>
          <w:iCs/>
          <w:sz w:val="24"/>
          <w:szCs w:val="24"/>
        </w:rPr>
        <w:t>guineensis</w:t>
      </w:r>
      <w:proofErr w:type="spellEnd"/>
      <w:r w:rsidRPr="002D39DF">
        <w:rPr>
          <w:rFonts w:ascii="Times New Roman" w:hAnsi="Times New Roman"/>
          <w:i/>
          <w:iCs/>
          <w:sz w:val="24"/>
          <w:szCs w:val="24"/>
        </w:rPr>
        <w:t xml:space="preserve">, Cinnamomum </w:t>
      </w:r>
      <w:proofErr w:type="spellStart"/>
      <w:r w:rsidRPr="002D39DF">
        <w:rPr>
          <w:rFonts w:ascii="Times New Roman" w:hAnsi="Times New Roman"/>
          <w:i/>
          <w:iCs/>
          <w:sz w:val="24"/>
          <w:szCs w:val="24"/>
        </w:rPr>
        <w:t>micranthum</w:t>
      </w:r>
      <w:proofErr w:type="spellEnd"/>
      <w:r w:rsidRPr="002D39DF">
        <w:rPr>
          <w:rFonts w:ascii="Times New Roman" w:hAnsi="Times New Roman"/>
          <w:i/>
          <w:iCs/>
          <w:sz w:val="24"/>
          <w:szCs w:val="24"/>
        </w:rPr>
        <w:t xml:space="preserve">, Gossypium </w:t>
      </w:r>
      <w:proofErr w:type="spellStart"/>
      <w:r w:rsidRPr="002D39DF">
        <w:rPr>
          <w:rFonts w:ascii="Times New Roman" w:hAnsi="Times New Roman"/>
          <w:i/>
          <w:iCs/>
          <w:sz w:val="24"/>
          <w:szCs w:val="24"/>
        </w:rPr>
        <w:t>tomentosum</w:t>
      </w:r>
      <w:proofErr w:type="spellEnd"/>
      <w:r w:rsidRPr="002D39DF">
        <w:rPr>
          <w:rFonts w:ascii="Times New Roman" w:hAnsi="Times New Roman"/>
          <w:i/>
          <w:iCs/>
          <w:sz w:val="24"/>
          <w:szCs w:val="24"/>
        </w:rPr>
        <w:t xml:space="preserve">, Musa ABB, </w:t>
      </w:r>
      <w:proofErr w:type="spellStart"/>
      <w:r w:rsidRPr="002D39DF">
        <w:rPr>
          <w:rFonts w:ascii="Times New Roman" w:hAnsi="Times New Roman"/>
          <w:i/>
          <w:iCs/>
          <w:sz w:val="24"/>
          <w:szCs w:val="24"/>
        </w:rPr>
        <w:t>Amborella</w:t>
      </w:r>
      <w:proofErr w:type="spellEnd"/>
      <w:r w:rsidRPr="002D39DF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2D39DF">
        <w:rPr>
          <w:rFonts w:ascii="Times New Roman" w:hAnsi="Times New Roman"/>
          <w:i/>
          <w:iCs/>
          <w:sz w:val="24"/>
          <w:szCs w:val="24"/>
        </w:rPr>
        <w:t>trichopoda</w:t>
      </w:r>
      <w:proofErr w:type="spellEnd"/>
      <w:r w:rsidRPr="002D39DF">
        <w:rPr>
          <w:rFonts w:ascii="Times New Roman" w:hAnsi="Times New Roman"/>
          <w:i/>
          <w:iCs/>
          <w:sz w:val="24"/>
          <w:szCs w:val="24"/>
        </w:rPr>
        <w:t xml:space="preserve"> and </w:t>
      </w:r>
      <w:r w:rsidRPr="002D39DF">
        <w:rPr>
          <w:rFonts w:ascii="Times New Roman" w:hAnsi="Times New Roman"/>
          <w:i/>
          <w:iCs/>
          <w:sz w:val="24"/>
          <w:szCs w:val="24"/>
        </w:rPr>
        <w:lastRenderedPageBreak/>
        <w:t xml:space="preserve">Phoenix dactylifera </w:t>
      </w:r>
      <w:r w:rsidRPr="002D39DF">
        <w:rPr>
          <w:rFonts w:ascii="Times New Roman" w:hAnsi="Times New Roman"/>
          <w:sz w:val="24"/>
          <w:szCs w:val="24"/>
        </w:rPr>
        <w:t xml:space="preserve">were aligned using </w:t>
      </w:r>
      <w:proofErr w:type="spellStart"/>
      <w:r w:rsidRPr="002D39DF">
        <w:rPr>
          <w:rFonts w:ascii="Times New Roman" w:hAnsi="Times New Roman"/>
          <w:sz w:val="24"/>
          <w:szCs w:val="24"/>
        </w:rPr>
        <w:t>Geneious</w:t>
      </w:r>
      <w:proofErr w:type="spellEnd"/>
      <w:r w:rsidRPr="002D39DF">
        <w:rPr>
          <w:rFonts w:ascii="Times New Roman" w:hAnsi="Times New Roman"/>
          <w:sz w:val="24"/>
          <w:szCs w:val="24"/>
        </w:rPr>
        <w:t xml:space="preserve"> bioinformatic software (https://www.geneious.com/) with default settings. The conserved domains are highlighted in different </w:t>
      </w:r>
      <w:proofErr w:type="spellStart"/>
      <w:r w:rsidRPr="002D39DF">
        <w:rPr>
          <w:rFonts w:ascii="Times New Roman" w:hAnsi="Times New Roman"/>
          <w:sz w:val="24"/>
          <w:szCs w:val="24"/>
        </w:rPr>
        <w:t>colours</w:t>
      </w:r>
      <w:proofErr w:type="spellEnd"/>
      <w:r w:rsidRPr="002D39DF">
        <w:rPr>
          <w:rFonts w:ascii="Times New Roman" w:hAnsi="Times New Roman"/>
          <w:sz w:val="24"/>
          <w:szCs w:val="24"/>
        </w:rPr>
        <w:t xml:space="preserve">. CAP domain structure with caveolin-binding motif (CBM) and CAP-derived peptide (CAPE) are shown in red and pink boxes. </w:t>
      </w:r>
    </w:p>
    <w:p w14:paraId="3D8276D9" w14:textId="77777777" w:rsidR="00D81EF4" w:rsidRPr="002D39DF" w:rsidRDefault="00D81EF4" w:rsidP="00D81EF4">
      <w:pPr>
        <w:spacing w:before="240" w:line="480" w:lineRule="auto"/>
        <w:jc w:val="both"/>
        <w:rPr>
          <w:rFonts w:ascii="Times New Roman" w:hAnsi="Times New Roman"/>
          <w:sz w:val="24"/>
          <w:szCs w:val="24"/>
        </w:rPr>
      </w:pPr>
    </w:p>
    <w:p w14:paraId="14266821" w14:textId="54A746CC" w:rsidR="00D81EF4" w:rsidRDefault="00D81EF4" w:rsidP="00D81EF4">
      <w:pPr>
        <w:spacing w:before="240" w:line="48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BBB5083" wp14:editId="518831E4">
            <wp:extent cx="5943600" cy="187896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7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8DCFA" w14:textId="51163182" w:rsidR="00D81EF4" w:rsidRDefault="00D81EF4" w:rsidP="00D81EF4">
      <w:pPr>
        <w:spacing w:before="240" w:line="480" w:lineRule="auto"/>
        <w:jc w:val="both"/>
        <w:rPr>
          <w:rFonts w:ascii="Times New Roman" w:hAnsi="Times New Roman"/>
          <w:sz w:val="24"/>
          <w:szCs w:val="24"/>
        </w:rPr>
      </w:pPr>
      <w:r w:rsidRPr="002D39DF">
        <w:rPr>
          <w:rFonts w:ascii="Times New Roman" w:hAnsi="Times New Roman"/>
          <w:b/>
          <w:bCs/>
          <w:sz w:val="24"/>
          <w:szCs w:val="24"/>
        </w:rPr>
        <w:t xml:space="preserve">Fig. S2: (A&amp;B) </w:t>
      </w:r>
      <w:r w:rsidRPr="002D39DF">
        <w:rPr>
          <w:rFonts w:ascii="Times New Roman" w:hAnsi="Times New Roman"/>
          <w:sz w:val="24"/>
          <w:szCs w:val="24"/>
        </w:rPr>
        <w:t xml:space="preserve">Phylogenetic analyses of </w:t>
      </w:r>
      <w:r w:rsidRPr="002D39DF">
        <w:rPr>
          <w:rFonts w:ascii="Times New Roman" w:hAnsi="Times New Roman"/>
          <w:i/>
          <w:iCs/>
          <w:sz w:val="24"/>
          <w:szCs w:val="24"/>
        </w:rPr>
        <w:t>Piper nigrum PR-1</w:t>
      </w:r>
      <w:r w:rsidRPr="002D39DF">
        <w:rPr>
          <w:rFonts w:ascii="Times New Roman" w:hAnsi="Times New Roman"/>
          <w:sz w:val="24"/>
          <w:szCs w:val="24"/>
        </w:rPr>
        <w:t xml:space="preserve"> nucleotide and protein sequences. The phylogenetic tree was constructed using MEGA 7.0. by the maximum-likelihood (ML) method with 1000 bootstrap replicates and default parameters. The </w:t>
      </w:r>
      <w:r w:rsidRPr="002D39DF">
        <w:rPr>
          <w:rFonts w:ascii="Times New Roman" w:hAnsi="Times New Roman"/>
          <w:i/>
          <w:iCs/>
          <w:sz w:val="24"/>
          <w:szCs w:val="24"/>
        </w:rPr>
        <w:t>PnPR-1</w:t>
      </w:r>
      <w:r w:rsidRPr="002D39DF">
        <w:rPr>
          <w:rFonts w:ascii="Times New Roman" w:hAnsi="Times New Roman"/>
          <w:sz w:val="24"/>
          <w:szCs w:val="24"/>
        </w:rPr>
        <w:t> family genes were divided into two major groups, groups I and II.</w:t>
      </w:r>
    </w:p>
    <w:p w14:paraId="5B76176D" w14:textId="77777777" w:rsidR="00D81EF4" w:rsidRPr="002D39DF" w:rsidRDefault="00D81EF4" w:rsidP="00D81EF4">
      <w:pPr>
        <w:spacing w:before="240" w:line="480" w:lineRule="auto"/>
        <w:jc w:val="both"/>
        <w:rPr>
          <w:rFonts w:ascii="Times New Roman" w:hAnsi="Times New Roman"/>
          <w:sz w:val="24"/>
          <w:szCs w:val="24"/>
        </w:rPr>
      </w:pPr>
    </w:p>
    <w:p w14:paraId="14840395" w14:textId="04AAF0DE" w:rsidR="00D81EF4" w:rsidRDefault="00D81EF4" w:rsidP="00D81EF4">
      <w:pPr>
        <w:spacing w:before="240" w:line="48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62C490D" wp14:editId="4611FF77">
            <wp:extent cx="5943600" cy="35750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23A1D" w14:textId="752DB8AC" w:rsidR="00D81EF4" w:rsidRPr="002D39DF" w:rsidRDefault="00D81EF4" w:rsidP="00D81EF4">
      <w:pPr>
        <w:spacing w:before="240" w:line="480" w:lineRule="auto"/>
        <w:jc w:val="both"/>
        <w:rPr>
          <w:rFonts w:ascii="Times New Roman" w:hAnsi="Times New Roman"/>
          <w:sz w:val="24"/>
          <w:szCs w:val="24"/>
        </w:rPr>
      </w:pPr>
      <w:r w:rsidRPr="002D39DF">
        <w:rPr>
          <w:rFonts w:ascii="Times New Roman" w:hAnsi="Times New Roman"/>
          <w:b/>
          <w:bCs/>
          <w:sz w:val="24"/>
          <w:szCs w:val="24"/>
        </w:rPr>
        <w:t xml:space="preserve">Fig. S3: </w:t>
      </w:r>
      <w:r w:rsidRPr="00D81EF4">
        <w:rPr>
          <w:rFonts w:ascii="Times New Roman" w:hAnsi="Times New Roman"/>
          <w:sz w:val="24"/>
          <w:szCs w:val="24"/>
        </w:rPr>
        <w:t>Details of predicted</w:t>
      </w:r>
      <w:r>
        <w:rPr>
          <w:rFonts w:ascii="Times New Roman" w:hAnsi="Times New Roman"/>
          <w:b/>
          <w:bCs/>
          <w:sz w:val="24"/>
          <w:szCs w:val="24"/>
        </w:rPr>
        <w:t xml:space="preserve"> s</w:t>
      </w:r>
      <w:r w:rsidRPr="002D39DF">
        <w:rPr>
          <w:rFonts w:ascii="Times New Roman" w:hAnsi="Times New Roman"/>
          <w:sz w:val="24"/>
          <w:szCs w:val="24"/>
        </w:rPr>
        <w:t xml:space="preserve">econdary structure of </w:t>
      </w:r>
      <w:r w:rsidRPr="002D39DF">
        <w:rPr>
          <w:rFonts w:ascii="Times New Roman" w:hAnsi="Times New Roman"/>
          <w:i/>
          <w:iCs/>
          <w:sz w:val="24"/>
          <w:szCs w:val="24"/>
        </w:rPr>
        <w:t>PnPR-1</w:t>
      </w:r>
      <w:r w:rsidRPr="002D39DF">
        <w:rPr>
          <w:rFonts w:ascii="Times New Roman" w:hAnsi="Times New Roman"/>
          <w:sz w:val="24"/>
          <w:szCs w:val="24"/>
        </w:rPr>
        <w:t xml:space="preserve"> proteins.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12C6E060" w14:textId="78764FE5" w:rsidR="00D81EF4" w:rsidRDefault="00D81EF4" w:rsidP="00D81EF4">
      <w:pPr>
        <w:spacing w:before="240" w:line="48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643FE87" wp14:editId="39847376">
            <wp:extent cx="5943600" cy="579056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9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C3576" w14:textId="3B825A16" w:rsidR="00D81EF4" w:rsidRPr="002D39DF" w:rsidRDefault="00D81EF4" w:rsidP="00D81EF4">
      <w:pPr>
        <w:spacing w:before="240" w:line="480" w:lineRule="auto"/>
        <w:jc w:val="both"/>
        <w:rPr>
          <w:rFonts w:ascii="Times New Roman" w:hAnsi="Times New Roman"/>
          <w:sz w:val="24"/>
          <w:szCs w:val="24"/>
        </w:rPr>
      </w:pPr>
      <w:r w:rsidRPr="002D39DF">
        <w:rPr>
          <w:rFonts w:ascii="Times New Roman" w:hAnsi="Times New Roman"/>
          <w:b/>
          <w:bCs/>
          <w:sz w:val="24"/>
          <w:szCs w:val="24"/>
        </w:rPr>
        <w:t>Fig. S4</w:t>
      </w:r>
      <w:r w:rsidRPr="002D39DF">
        <w:rPr>
          <w:rFonts w:ascii="Times New Roman" w:hAnsi="Times New Roman"/>
          <w:sz w:val="24"/>
          <w:szCs w:val="24"/>
        </w:rPr>
        <w:t>: Analysis of </w:t>
      </w:r>
      <w:r w:rsidRPr="002D39DF">
        <w:rPr>
          <w:rFonts w:ascii="Times New Roman" w:hAnsi="Times New Roman"/>
          <w:i/>
          <w:iCs/>
          <w:sz w:val="24"/>
          <w:szCs w:val="24"/>
        </w:rPr>
        <w:t>cis</w:t>
      </w:r>
      <w:r w:rsidRPr="002D39DF">
        <w:rPr>
          <w:rFonts w:ascii="Times New Roman" w:hAnsi="Times New Roman"/>
          <w:sz w:val="24"/>
          <w:szCs w:val="24"/>
        </w:rPr>
        <w:t xml:space="preserve">-acting elements in </w:t>
      </w:r>
      <w:r w:rsidRPr="002D39DF">
        <w:rPr>
          <w:rFonts w:ascii="Times New Roman" w:hAnsi="Times New Roman"/>
          <w:i/>
          <w:iCs/>
          <w:sz w:val="24"/>
          <w:szCs w:val="24"/>
        </w:rPr>
        <w:t>PnPR-1</w:t>
      </w:r>
      <w:r w:rsidRPr="002D39DF">
        <w:rPr>
          <w:rFonts w:ascii="Times New Roman" w:hAnsi="Times New Roman"/>
          <w:sz w:val="24"/>
          <w:szCs w:val="24"/>
        </w:rPr>
        <w:t xml:space="preserve"> promoters using the </w:t>
      </w:r>
      <w:proofErr w:type="spellStart"/>
      <w:r w:rsidRPr="002D39DF">
        <w:rPr>
          <w:rFonts w:ascii="Times New Roman" w:hAnsi="Times New Roman"/>
          <w:sz w:val="24"/>
          <w:szCs w:val="24"/>
        </w:rPr>
        <w:t>NewPlace</w:t>
      </w:r>
      <w:proofErr w:type="spellEnd"/>
      <w:r w:rsidRPr="002D39DF">
        <w:rPr>
          <w:rFonts w:ascii="Times New Roman" w:hAnsi="Times New Roman"/>
          <w:sz w:val="24"/>
          <w:szCs w:val="24"/>
        </w:rPr>
        <w:t xml:space="preserve"> online server. The number of elements in each gene were represented in data bars.</w:t>
      </w:r>
    </w:p>
    <w:p w14:paraId="01CCBC66" w14:textId="77777777" w:rsidR="00D81EF4" w:rsidRDefault="00D81EF4"/>
    <w:sectPr w:rsidR="00D81E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EF4"/>
    <w:rsid w:val="00D81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7DBB57"/>
  <w15:chartTrackingRefBased/>
  <w15:docId w15:val="{1B8A04D1-E6DE-4150-9D38-73B6C49B5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1EF4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187</Words>
  <Characters>1069</Characters>
  <Application>Microsoft Office Word</Application>
  <DocSecurity>0</DocSecurity>
  <Lines>8</Lines>
  <Paragraphs>2</Paragraphs>
  <ScaleCrop>false</ScaleCrop>
  <Company/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divyak@rgcb.res.in</dc:creator>
  <cp:keywords/>
  <dc:description/>
  <cp:lastModifiedBy>divyak@rgcb.res.in</cp:lastModifiedBy>
  <cp:revision>1</cp:revision>
  <dcterms:created xsi:type="dcterms:W3CDTF">2020-12-18T12:52:00Z</dcterms:created>
  <dcterms:modified xsi:type="dcterms:W3CDTF">2020-12-18T13:08:00Z</dcterms:modified>
</cp:coreProperties>
</file>