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jc w:val="center"/>
        <w:rPr>
          <w:b w:val="false"/>
          <w:b w:val="false"/>
          <w:bCs w:val="false"/>
          <w:i/>
          <w:i/>
          <w:iCs/>
          <w:sz w:val="28"/>
          <w:szCs w:val="28"/>
        </w:rPr>
      </w:pPr>
      <w:r>
        <w:rPr>
          <w:rFonts w:ascii="Times New Roman" w:hAnsi="Times New Roman"/>
          <w:b w:val="false"/>
          <w:bCs w:val="false"/>
          <w:i/>
          <w:iCs/>
          <w:sz w:val="28"/>
          <w:szCs w:val="28"/>
          <w:lang w:val="en-GB"/>
        </w:rPr>
        <w:t>Supplementary Information</w:t>
      </w:r>
    </w:p>
    <w:p>
      <w:pPr>
        <w:pStyle w:val="Normal"/>
        <w:spacing w:lineRule="auto" w:line="480"/>
        <w:jc w:val="center"/>
        <w:rPr/>
      </w:pPr>
      <w:r>
        <w:rPr/>
      </w:r>
    </w:p>
    <w:p>
      <w:pPr>
        <w:pStyle w:val="Normal"/>
        <w:spacing w:lineRule="auto" w:line="480"/>
        <w:jc w:val="center"/>
        <w:rPr/>
      </w:pPr>
      <w:r>
        <w:rPr>
          <w:rFonts w:ascii="Times New Roman" w:hAnsi="Times New Roman"/>
          <w:b/>
          <w:bCs/>
          <w:sz w:val="36"/>
          <w:szCs w:val="36"/>
          <w:lang w:val="en-GB"/>
        </w:rPr>
        <w:t>Fluctuating nanofluid environments induce prebiotic RNA formation in water</w:t>
      </w:r>
    </w:p>
    <w:p>
      <w:pPr>
        <w:pStyle w:val="Normal"/>
        <w:spacing w:lineRule="auto" w:line="480"/>
        <w:jc w:val="center"/>
        <w:rPr>
          <w:rFonts w:ascii="Times New Roman" w:hAnsi="Times New Roman"/>
          <w:b/>
          <w:b/>
          <w:bCs/>
          <w:sz w:val="36"/>
          <w:szCs w:val="36"/>
          <w:lang w:val="en-GB"/>
        </w:rPr>
      </w:pPr>
      <w:r>
        <w:rPr>
          <w:rFonts w:ascii="Times New Roman" w:hAnsi="Times New Roman"/>
          <w:b/>
          <w:bCs/>
          <w:sz w:val="36"/>
          <w:szCs w:val="36"/>
          <w:lang w:val="en-GB"/>
        </w:rPr>
      </w:r>
    </w:p>
    <w:p>
      <w:pPr>
        <w:pStyle w:val="Normal"/>
        <w:spacing w:lineRule="auto" w:line="480"/>
        <w:jc w:val="center"/>
        <w:rPr/>
      </w:pPr>
      <w:r>
        <w:rPr>
          <w:rFonts w:ascii="Times New Roman" w:hAnsi="Times New Roman"/>
          <w:sz w:val="28"/>
          <w:szCs w:val="28"/>
          <w:lang w:val="en-GB"/>
        </w:rPr>
        <w:t>A. Greiner de Herrera</w:t>
      </w:r>
      <w:r>
        <w:rPr>
          <w:rFonts w:ascii="Times New Roman" w:hAnsi="Times New Roman"/>
          <w:sz w:val="28"/>
          <w:szCs w:val="28"/>
          <w:vertAlign w:val="superscript"/>
          <w:lang w:val="en-GB"/>
        </w:rPr>
        <w:t>1,2,3</w:t>
      </w:r>
      <w:r>
        <w:rPr>
          <w:rFonts w:ascii="Times New Roman" w:hAnsi="Times New Roman"/>
          <w:sz w:val="28"/>
          <w:szCs w:val="28"/>
          <w:lang w:val="en-GB"/>
        </w:rPr>
        <w:t>,</w:t>
      </w:r>
      <w:r>
        <w:rPr>
          <w:rFonts w:ascii="Times New Roman" w:hAnsi="Times New Roman"/>
          <w:lang w:val="en-GB"/>
        </w:rPr>
        <w:t xml:space="preserve"> </w:t>
      </w:r>
      <w:r>
        <w:rPr>
          <w:rFonts w:ascii="Times New Roman" w:hAnsi="Times New Roman"/>
          <w:sz w:val="28"/>
          <w:szCs w:val="28"/>
          <w:lang w:val="en-GB"/>
        </w:rPr>
        <w:t>T. Markert</w:t>
      </w:r>
      <w:r>
        <w:rPr>
          <w:rFonts w:ascii="Times New Roman" w:hAnsi="Times New Roman"/>
          <w:sz w:val="28"/>
          <w:szCs w:val="28"/>
          <w:vertAlign w:val="superscript"/>
          <w:lang w:val="en-GB"/>
        </w:rPr>
        <w:t>4</w:t>
      </w:r>
      <w:r>
        <w:rPr>
          <w:rFonts w:ascii="Times New Roman" w:hAnsi="Times New Roman"/>
          <w:vertAlign w:val="superscript"/>
          <w:lang w:val="en-GB"/>
        </w:rPr>
        <w:t xml:space="preserve"> </w:t>
      </w:r>
      <w:r>
        <w:rPr>
          <w:rFonts w:ascii="Times New Roman" w:hAnsi="Times New Roman"/>
          <w:lang w:val="en-GB"/>
        </w:rPr>
        <w:t xml:space="preserve">&amp; </w:t>
      </w:r>
      <w:r>
        <w:rPr>
          <w:rFonts w:ascii="Times New Roman" w:hAnsi="Times New Roman"/>
          <w:sz w:val="28"/>
          <w:szCs w:val="28"/>
          <w:lang w:val="en-GB"/>
        </w:rPr>
        <w:t>F. Trixler</w:t>
      </w:r>
      <w:r>
        <w:rPr>
          <w:rFonts w:ascii="Times New Roman" w:hAnsi="Times New Roman"/>
          <w:sz w:val="28"/>
          <w:szCs w:val="28"/>
          <w:vertAlign w:val="superscript"/>
          <w:lang w:val="en-GB"/>
        </w:rPr>
        <w:t>*1,3,5</w:t>
      </w:r>
    </w:p>
    <w:p>
      <w:pPr>
        <w:pStyle w:val="Normal"/>
        <w:spacing w:lineRule="auto" w:line="480"/>
        <w:rPr>
          <w:vertAlign w:val="superscript"/>
          <w:lang w:val="en-GB"/>
        </w:rPr>
      </w:pPr>
      <w:r>
        <w:rPr>
          <w:vertAlign w:val="superscript"/>
          <w:lang w:val="en-GB"/>
        </w:rPr>
      </w:r>
    </w:p>
    <w:p>
      <w:pPr>
        <w:pStyle w:val="Normal"/>
        <w:spacing w:lineRule="auto" w:line="480"/>
        <w:rPr/>
      </w:pPr>
      <w:r>
        <w:rPr>
          <w:rFonts w:ascii="Times New Roman" w:hAnsi="Times New Roman"/>
          <w:vertAlign w:val="superscript"/>
          <w:lang w:val="en-GB"/>
        </w:rPr>
        <w:t>1</w:t>
      </w:r>
      <w:r>
        <w:rPr>
          <w:rFonts w:ascii="Times New Roman" w:hAnsi="Times New Roman"/>
          <w:lang w:val="en-GB"/>
        </w:rPr>
        <w:t xml:space="preserve"> </w:t>
      </w:r>
      <w:r>
        <w:rPr>
          <w:rFonts w:ascii="Times New Roman" w:hAnsi="Times New Roman"/>
          <w:i w:val="false"/>
          <w:iCs w:val="false"/>
          <w:lang w:val="en-GB"/>
        </w:rPr>
        <w:t>Department of Earth and Environmental Sciences, Ludwig-Maximilians-Universität München, Theresienstraße 41, 80333 Munich, Germany.</w:t>
      </w:r>
    </w:p>
    <w:p>
      <w:pPr>
        <w:pStyle w:val="Normal"/>
        <w:spacing w:lineRule="auto" w:line="480"/>
        <w:rPr>
          <w:i w:val="false"/>
          <w:i w:val="false"/>
          <w:iCs w:val="false"/>
        </w:rPr>
      </w:pPr>
      <w:r>
        <w:rPr>
          <w:rFonts w:ascii="Times New Roman" w:hAnsi="Times New Roman"/>
          <w:i w:val="false"/>
          <w:iCs w:val="false"/>
          <w:sz w:val="24"/>
          <w:vertAlign w:val="superscript"/>
          <w:lang w:val="en-GB"/>
        </w:rPr>
        <w:t>2</w:t>
      </w:r>
      <w:r>
        <w:rPr>
          <w:rFonts w:ascii="Times New Roman" w:hAnsi="Times New Roman"/>
          <w:i w:val="false"/>
          <w:iCs w:val="false"/>
          <w:position w:val="0"/>
          <w:sz w:val="24"/>
          <w:sz w:val="24"/>
          <w:vertAlign w:val="baseline"/>
          <w:lang w:val="en-GB"/>
        </w:rPr>
        <w:t xml:space="preserve"> Center for Neuropathology and Prion Research (ZNP), Ludwig-Maximilians-Universität München, Feodor-Lynen-Str. 23, 81377 Munich, Germany.</w:t>
      </w:r>
    </w:p>
    <w:p>
      <w:pPr>
        <w:pStyle w:val="Normal"/>
        <w:spacing w:lineRule="auto" w:line="480"/>
        <w:rPr>
          <w:i w:val="false"/>
          <w:i w:val="false"/>
          <w:iCs w:val="false"/>
        </w:rPr>
      </w:pPr>
      <w:r>
        <w:rPr>
          <w:rFonts w:ascii="Times New Roman" w:hAnsi="Times New Roman"/>
          <w:i w:val="false"/>
          <w:iCs w:val="false"/>
          <w:vertAlign w:val="superscript"/>
          <w:lang w:val="en-GB"/>
        </w:rPr>
        <w:t xml:space="preserve">3 </w:t>
      </w:r>
      <w:r>
        <w:rPr>
          <w:rFonts w:ascii="Times New Roman" w:hAnsi="Times New Roman"/>
          <w:i w:val="false"/>
          <w:iCs w:val="false"/>
          <w:position w:val="0"/>
          <w:sz w:val="24"/>
          <w:sz w:val="24"/>
          <w:vertAlign w:val="baseline"/>
          <w:lang w:val="en-GB"/>
        </w:rPr>
        <w:t>School of Education, Technical University of Munich and Deutsches Museum, Museumsinsel 1, 80538 Munich, Germany.</w:t>
      </w:r>
    </w:p>
    <w:p>
      <w:pPr>
        <w:pStyle w:val="Normal"/>
        <w:spacing w:lineRule="auto" w:line="480"/>
        <w:rPr>
          <w:i w:val="false"/>
          <w:i w:val="false"/>
          <w:iCs w:val="false"/>
        </w:rPr>
      </w:pPr>
      <w:r>
        <w:rPr>
          <w:rFonts w:ascii="Times New Roman" w:hAnsi="Times New Roman"/>
          <w:i w:val="false"/>
          <w:iCs w:val="false"/>
          <w:vertAlign w:val="superscript"/>
          <w:lang w:val="en-GB"/>
        </w:rPr>
        <w:t>4</w:t>
      </w:r>
      <w:r>
        <w:rPr>
          <w:rFonts w:ascii="Times New Roman" w:hAnsi="Times New Roman"/>
          <w:i w:val="false"/>
          <w:iCs w:val="false"/>
          <w:lang w:val="en-GB"/>
        </w:rPr>
        <w:t xml:space="preserve"> Institute of Theoretical Chemistry, Ulm University, Albert-Einstein-Allee 11, 89081 Ulm, Germany.</w:t>
      </w:r>
    </w:p>
    <w:p>
      <w:pPr>
        <w:pStyle w:val="Normal"/>
        <w:spacing w:lineRule="auto" w:line="480"/>
        <w:rPr>
          <w:i w:val="false"/>
          <w:i w:val="false"/>
          <w:iCs w:val="false"/>
        </w:rPr>
      </w:pPr>
      <w:r>
        <w:rPr>
          <w:rFonts w:ascii="Times New Roman" w:hAnsi="Times New Roman"/>
          <w:i w:val="false"/>
          <w:iCs w:val="false"/>
          <w:vertAlign w:val="superscript"/>
          <w:lang w:val="en-GB"/>
        </w:rPr>
        <w:t>5</w:t>
      </w:r>
      <w:r>
        <w:rPr>
          <w:rFonts w:ascii="Times New Roman" w:hAnsi="Times New Roman"/>
          <w:i w:val="false"/>
          <w:iCs w:val="false"/>
          <w:lang w:val="en-GB"/>
        </w:rPr>
        <w:t xml:space="preserve"> Center for NanoScience (CeNS), Ludwig-Maximilians-Universität München, Schellingtr. 4, 80799 Munich, Germany.</w:t>
      </w:r>
    </w:p>
    <w:p>
      <w:pPr>
        <w:pStyle w:val="Normal"/>
        <w:spacing w:lineRule="auto" w:line="480"/>
        <w:rPr>
          <w:rFonts w:ascii="Times New Roman" w:hAnsi="Times New Roman"/>
          <w:i w:val="false"/>
          <w:i w:val="false"/>
          <w:iCs w:val="false"/>
          <w:lang w:val="en-GB"/>
        </w:rPr>
      </w:pPr>
      <w:r>
        <w:rPr>
          <w:rFonts w:ascii="Times New Roman" w:hAnsi="Times New Roman"/>
          <w:i w:val="false"/>
          <w:iCs w:val="false"/>
          <w:lang w:val="en-GB"/>
        </w:rPr>
      </w:r>
    </w:p>
    <w:p>
      <w:pPr>
        <w:pStyle w:val="Normal"/>
        <w:spacing w:lineRule="auto" w:line="480"/>
        <w:rPr>
          <w:i w:val="false"/>
          <w:i w:val="false"/>
          <w:iCs w:val="false"/>
        </w:rPr>
      </w:pPr>
      <w:r>
        <w:rPr>
          <w:rFonts w:ascii="Times New Roman" w:hAnsi="Times New Roman"/>
          <w:i w:val="false"/>
          <w:iCs w:val="false"/>
          <w:lang w:val="en-GB"/>
        </w:rPr>
        <w:t>* Corresponding Author. E-mail: trixler@lrz.uni-muenchen.de</w:t>
      </w:r>
      <w:r>
        <w:br w:type="page"/>
      </w:r>
    </w:p>
    <w:p>
      <w:pPr>
        <w:pStyle w:val="Legend"/>
        <w:spacing w:lineRule="auto" w:line="480"/>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036310" cy="3082290"/>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6036310" cy="3082290"/>
                    </a:xfrm>
                    <a:prstGeom prst="rect">
                      <a:avLst/>
                    </a:prstGeom>
                  </pic:spPr>
                </pic:pic>
              </a:graphicData>
            </a:graphic>
          </wp:anchor>
        </w:drawing>
      </w:r>
      <w:r>
        <w:rPr>
          <w:rFonts w:cs="Calibri"/>
          <w:b/>
          <w:bCs w:val="false"/>
          <w:lang w:val="en-GB"/>
        </w:rPr>
        <w:t>S</w:t>
      </w:r>
      <w:r>
        <w:rPr>
          <w:rFonts w:cs="Calibri"/>
          <w:b/>
          <w:bCs w:val="false"/>
          <w:lang w:val="en-GB"/>
        </w:rPr>
        <w:t>upplementary Fig. 1</w:t>
      </w:r>
      <w:r>
        <w:rPr>
          <w:rFonts w:cs="Calibri"/>
          <w:b w:val="false"/>
          <w:bCs w:val="false"/>
          <w:lang w:val="en-GB"/>
        </w:rPr>
        <w:t xml:space="preserve"> STM images of a graphite surface after OSWD processing. </w:t>
      </w:r>
      <w:r>
        <w:rPr>
          <w:rFonts w:cs="Calibri"/>
          <w:b/>
          <w:bCs/>
          <w:lang w:val="en-GB"/>
        </w:rPr>
        <w:t>A</w:t>
      </w:r>
      <w:r>
        <w:rPr>
          <w:rFonts w:cs="Calibri"/>
          <w:b w:val="false"/>
          <w:bCs w:val="false"/>
          <w:lang w:val="en-GB"/>
        </w:rPr>
        <w:t xml:space="preserve">, Chain-like supramolecular adsorbate structures formed via OSWD after the graphite surface contacts suspensions of QAC particles. </w:t>
      </w:r>
      <w:r>
        <w:rPr>
          <w:rFonts w:cs="Calibri"/>
          <w:b/>
          <w:bCs/>
          <w:lang w:val="en-GB"/>
        </w:rPr>
        <w:t>B,</w:t>
      </w:r>
      <w:r>
        <w:rPr>
          <w:rFonts w:cs="Calibri"/>
          <w:b w:val="false"/>
          <w:bCs w:val="false"/>
          <w:lang w:val="en-GB"/>
        </w:rPr>
        <w:t xml:space="preserve"> Close-up view of a single supramolecular QAC adsorbate chain superimposed by a force field calculated assembly of three QAC molecules forming a linear chain via H-bonds.</w:t>
      </w:r>
      <w:r>
        <w:br w:type="page"/>
      </w:r>
    </w:p>
    <w:p>
      <w:pPr>
        <w:pStyle w:val="Legend"/>
        <w:spacing w:lineRule="auto" w:line="480"/>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92495" cy="2978785"/>
            <wp:effectExtent l="0" t="0" r="0" b="0"/>
            <wp:wrapSquare wrapText="larges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3"/>
                    <a:stretch>
                      <a:fillRect/>
                    </a:stretch>
                  </pic:blipFill>
                  <pic:spPr bwMode="auto">
                    <a:xfrm>
                      <a:off x="0" y="0"/>
                      <a:ext cx="5992495" cy="2978785"/>
                    </a:xfrm>
                    <a:prstGeom prst="rect">
                      <a:avLst/>
                    </a:prstGeom>
                  </pic:spPr>
                </pic:pic>
              </a:graphicData>
            </a:graphic>
          </wp:anchor>
        </w:drawing>
      </w:r>
      <w:r>
        <w:rPr>
          <w:rFonts w:eastAsia="Times New Roman" w:cs="Times New Roman"/>
          <w:b/>
          <w:color w:val="00000A"/>
          <w:kern w:val="0"/>
          <w:sz w:val="24"/>
          <w:szCs w:val="24"/>
          <w:lang w:val="en-GB" w:eastAsia="en-US" w:bidi="ar-SA"/>
        </w:rPr>
        <w:t>S</w:t>
      </w:r>
      <w:r>
        <w:rPr>
          <w:rFonts w:eastAsia="Times New Roman" w:cs="Times New Roman"/>
          <w:b/>
          <w:color w:val="00000A"/>
          <w:kern w:val="0"/>
          <w:sz w:val="24"/>
          <w:szCs w:val="24"/>
          <w:lang w:val="en-GB" w:eastAsia="en-US" w:bidi="ar-SA"/>
        </w:rPr>
        <w:t>upplementary</w:t>
      </w:r>
      <w:r>
        <w:rPr>
          <w:b/>
          <w:lang w:val="en-GB"/>
        </w:rPr>
        <w:t xml:space="preserve"> Fig. 2</w:t>
      </w:r>
      <w:r>
        <w:rPr>
          <w:lang w:val="en-GB"/>
        </w:rPr>
        <w:t xml:space="preserve"> Example of a black/white conversion of STM images for coverage analysis. </w:t>
      </w:r>
      <w:r>
        <w:rPr>
          <w:b/>
          <w:bCs/>
          <w:lang w:val="en-GB"/>
        </w:rPr>
        <w:t>A</w:t>
      </w:r>
      <w:r>
        <w:rPr>
          <w:lang w:val="en-GB"/>
        </w:rPr>
        <w:t xml:space="preserve">, STM image of chain-like QAC assemblies on graphite. </w:t>
      </w:r>
      <w:r>
        <w:rPr>
          <w:b/>
          <w:bCs/>
          <w:lang w:val="en-GB"/>
        </w:rPr>
        <w:t>B</w:t>
      </w:r>
      <w:r>
        <w:rPr>
          <w:lang w:val="en-GB"/>
        </w:rPr>
        <w:t>, Black/white conversion of the STM image: QAC chains were masked out (white) and the background was set to black. The percentage of the white proportion (the QAC coverage) was subsequently calculated as described in the methods section.</w:t>
      </w:r>
      <w:r>
        <w:br w:type="page"/>
      </w:r>
    </w:p>
    <w:p>
      <w:pPr>
        <w:pStyle w:val="Legend"/>
        <w:spacing w:lineRule="auto" w:line="480"/>
        <w:rPr/>
      </w:pPr>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887720" cy="3818890"/>
            <wp:effectExtent l="0" t="0" r="0" b="0"/>
            <wp:wrapSquare wrapText="largest"/>
            <wp:docPr id="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
                    <pic:cNvPicPr>
                      <a:picLocks noChangeAspect="1" noChangeArrowheads="1"/>
                    </pic:cNvPicPr>
                  </pic:nvPicPr>
                  <pic:blipFill>
                    <a:blip r:embed="rId4"/>
                    <a:stretch>
                      <a:fillRect/>
                    </a:stretch>
                  </pic:blipFill>
                  <pic:spPr bwMode="auto">
                    <a:xfrm>
                      <a:off x="0" y="0"/>
                      <a:ext cx="5887720" cy="3818890"/>
                    </a:xfrm>
                    <a:prstGeom prst="rect">
                      <a:avLst/>
                    </a:prstGeom>
                  </pic:spPr>
                </pic:pic>
              </a:graphicData>
            </a:graphic>
          </wp:anchor>
        </w:drawing>
      </w:r>
      <w:r>
        <w:rPr>
          <w:b/>
          <w:lang w:val="en-GB"/>
        </w:rPr>
        <w:t>S</w:t>
      </w:r>
      <w:r>
        <w:rPr>
          <w:b/>
          <w:lang w:val="en-GB"/>
        </w:rPr>
        <w:t>upplementary Fig. 3</w:t>
      </w:r>
      <w:r>
        <w:rPr>
          <w:lang w:val="en-GB"/>
        </w:rPr>
        <w:t xml:space="preserve"> Dynamic force field calculation of an AMP stack within nanoconfined water. The simulation was modelled with a reduced confinement gap size of 2.6 nm between a QAC crystal (top) and a graphene layer (bottom). Displayed is the condition of the stack after a simulated time span of 60 ps, revealing a stack in destabili</w:t>
      </w:r>
      <w:r>
        <w:rPr>
          <w:lang w:val="en-GB"/>
        </w:rPr>
        <w:t>s</w:t>
      </w:r>
      <w:r>
        <w:rPr>
          <w:lang w:val="en-GB"/>
        </w:rPr>
        <w:t>ed, non-ordered condition.</w:t>
      </w:r>
      <w:r>
        <w:br w:type="page"/>
      </w:r>
    </w:p>
    <w:p>
      <w:pPr>
        <w:pStyle w:val="Legend"/>
        <w:spacing w:lineRule="auto" w:line="480"/>
        <w:rPr/>
      </w:pPr>
      <w:r>
        <w:rPr>
          <w:b/>
          <w:lang w:val="en-GB"/>
        </w:rPr>
        <w:t xml:space="preserve">Supplementary Movie 1 </w:t>
      </w:r>
      <w:r>
        <w:rPr>
          <w:b w:val="false"/>
          <w:bCs w:val="false"/>
          <w:lang w:val="en-GB"/>
        </w:rPr>
        <w:t>Simulation of an AMP stack within a confinement filled with water. Simulated via dynamic force field calculation is a supramolecular stack of 12 AMPs confined between a QAC crystal (top) and a graphene layer (bottom). A gap of 43 Å separates these confining surfaces and is filled with water. The simulation represents a time span of 50 ps, and the final state of the stack at the end of the simulation is depicted in Fig. 4a.</w:t>
      </w:r>
    </w:p>
    <w:p>
      <w:pPr>
        <w:pStyle w:val="Legend"/>
        <w:spacing w:lineRule="auto" w:line="480"/>
        <w:rPr>
          <w:b w:val="false"/>
          <w:b w:val="false"/>
          <w:bCs w:val="false"/>
          <w:lang w:val="en-GB"/>
        </w:rPr>
      </w:pPr>
      <w:r>
        <w:rPr>
          <w:b w:val="false"/>
          <w:bCs w:val="false"/>
          <w:lang w:val="en-GB"/>
        </w:rPr>
      </w:r>
    </w:p>
    <w:p>
      <w:pPr>
        <w:pStyle w:val="Legend"/>
        <w:spacing w:lineRule="auto" w:line="480"/>
        <w:rPr>
          <w:b/>
          <w:b/>
          <w:bCs/>
          <w:lang w:val="en-GB"/>
        </w:rPr>
      </w:pPr>
      <w:r>
        <w:rPr>
          <w:b/>
          <w:bCs w:val="false"/>
          <w:lang w:val="en-GB"/>
        </w:rPr>
        <w:t xml:space="preserve">Supplementary Movie 2 </w:t>
      </w:r>
      <w:r>
        <w:rPr>
          <w:b w:val="false"/>
          <w:bCs w:val="false"/>
          <w:lang w:val="en-GB"/>
        </w:rPr>
        <w:t>Simulation of an AMP stack within a confinement with a water density reduced to approximately 60%. The dynamic force field calculation simulates a supramolecular stack of 12 AMPs assembled in nanoconfined water. The modelling parameters are identical to those in Supplementary Video 1 with the exception of water density. The simulation represents a time span of 60 ps. The final configuration is shown in Fig. 4b.</w:t>
      </w:r>
    </w:p>
    <w:sectPr>
      <w:footerReference w:type="default" r:id="rId5"/>
      <w:type w:val="nextPage"/>
      <w:pgSz w:w="11906" w:h="16838"/>
      <w:pgMar w:left="1134" w:right="1134" w:header="0" w:top="1134" w:footer="1134" w:bottom="1693" w:gutter="0"/>
      <w:lnNumType w:countBy="1" w:restart="continuous" w:distance="283"/>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Tahoma">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lang w:val="en-GB"/>
      </w:rPr>
    </w:pPr>
    <w:r>
      <w:rPr>
        <w:lang w:val="en-GB"/>
      </w:rPr>
      <w:fldChar w:fldCharType="begin"/>
    </w:r>
    <w:r>
      <w:rPr>
        <w:lang w:val="en-GB"/>
      </w:rPr>
      <w:instrText> PAGE </w:instrText>
    </w:r>
    <w:r>
      <w:rPr>
        <w:lang w:val="en-GB"/>
      </w:rPr>
      <w:fldChar w:fldCharType="separate"/>
    </w:r>
    <w:r>
      <w:rPr>
        <w:lang w:val="en-GB"/>
      </w:rPr>
      <w:t>5</w:t>
    </w:r>
    <w:r>
      <w:rPr>
        <w:lang w:val="en-GB"/>
      </w:rPr>
      <w:fldChar w:fldCharType="end"/>
    </w:r>
  </w:p>
</w:ftr>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en-GB"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SimSun" w:cs="Mangal"/>
      <w:color w:val="00000A"/>
      <w:kern w:val="0"/>
      <w:sz w:val="24"/>
      <w:szCs w:val="24"/>
      <w:lang w:val="en-GB" w:eastAsia="zh-CN" w:bidi="hi-IN"/>
    </w:rPr>
  </w:style>
  <w:style w:type="paragraph" w:styleId="Heading1">
    <w:name w:val="Heading 1"/>
    <w:basedOn w:val="Heading"/>
    <w:qFormat/>
    <w:pPr>
      <w:widowControl w:val="false"/>
      <w:bidi w:val="0"/>
      <w:jc w:val="left"/>
      <w:outlineLvl w:val="0"/>
    </w:pPr>
    <w:rPr>
      <w:rFonts w:ascii="Liberation Serif" w:hAnsi="Liberation Serif" w:eastAsia="SimSun" w:cs="Mangal"/>
      <w:b/>
      <w:bCs/>
      <w:color w:val="00000A"/>
      <w:sz w:val="36"/>
      <w:szCs w:val="36"/>
      <w:lang w:eastAsia="zh-CN" w:bidi="hi-IN"/>
    </w:rPr>
  </w:style>
  <w:style w:type="paragraph" w:styleId="Heading2">
    <w:name w:val="Heading 2"/>
    <w:basedOn w:val="Heading"/>
    <w:qFormat/>
    <w:pPr>
      <w:widowControl w:val="false"/>
      <w:bidi w:val="0"/>
      <w:jc w:val="left"/>
      <w:outlineLvl w:val="1"/>
    </w:pPr>
    <w:rPr>
      <w:rFonts w:ascii="Liberation Serif" w:hAnsi="Liberation Serif" w:eastAsia="SimSun" w:cs="Mangal"/>
      <w:color w:val="00000A"/>
      <w:sz w:val="24"/>
      <w:szCs w:val="24"/>
      <w:lang w:eastAsia="zh-CN" w:bidi="hi-IN"/>
    </w:rPr>
  </w:style>
  <w:style w:type="paragraph" w:styleId="Heading3">
    <w:name w:val="Heading 3"/>
    <w:basedOn w:val="Heading"/>
    <w:qFormat/>
    <w:pPr>
      <w:widowControl w:val="false"/>
      <w:bidi w:val="0"/>
      <w:jc w:val="left"/>
      <w:outlineLvl w:val="2"/>
    </w:pPr>
    <w:rPr>
      <w:rFonts w:ascii="Liberation Serif" w:hAnsi="Liberation Serif" w:eastAsia="SimSun" w:cs="Mangal"/>
      <w:color w:val="00000A"/>
      <w:sz w:val="24"/>
      <w:szCs w:val="24"/>
      <w:lang w:eastAsia="zh-CN" w:bidi="hi-IN"/>
    </w:rPr>
  </w:style>
  <w:style w:type="character" w:styleId="DefaultParagraphFont">
    <w:name w:val="Default Paragraph Font"/>
    <w:qFormat/>
    <w:rPr/>
  </w:style>
  <w:style w:type="character" w:styleId="InternetLink">
    <w:name w:val="Hyperlink"/>
    <w:rPr>
      <w:color w:val="000080"/>
      <w:u w:val="single"/>
    </w:rPr>
  </w:style>
  <w:style w:type="character" w:styleId="Aufzhlungszeichen1">
    <w:name w:val="Aufzählungszeichen1"/>
    <w:qFormat/>
    <w:rPr>
      <w:rFonts w:ascii="OpenSymbol" w:hAnsi="OpenSymbol" w:eastAsia="OpenSymbol" w:cs="OpenSymbol"/>
    </w:rPr>
  </w:style>
  <w:style w:type="character" w:styleId="Betont">
    <w:name w:val="Betont"/>
    <w:basedOn w:val="DefaultParagraphFont"/>
    <w:qFormat/>
    <w:rPr>
      <w:i/>
      <w:iCs/>
    </w:rPr>
  </w:style>
  <w:style w:type="character" w:styleId="SprechblasentextZchn">
    <w:name w:val="Sprechblasentext Zchn"/>
    <w:basedOn w:val="DefaultParagraphFont"/>
    <w:qFormat/>
    <w:rPr>
      <w:rFonts w:ascii="Tahoma" w:hAnsi="Tahoma"/>
      <w:color w:val="00000A"/>
      <w:sz w:val="16"/>
      <w:szCs w:val="14"/>
    </w:rPr>
  </w:style>
  <w:style w:type="character" w:styleId="Nummerierungszeichen">
    <w:name w:val="Nummerierungszeichen"/>
    <w:qFormat/>
    <w:rPr/>
  </w:style>
  <w:style w:type="character" w:styleId="St">
    <w:name w:val="st"/>
    <w:basedOn w:val="DefaultParagraphFont"/>
    <w:qFormat/>
    <w:rPr/>
  </w:style>
  <w:style w:type="character" w:styleId="Emphasis">
    <w:name w:val="Emphasis"/>
    <w:basedOn w:val="DefaultParagraphFont"/>
    <w:qFormat/>
    <w:rPr>
      <w:i/>
      <w:iCs/>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erschrift">
    <w:name w:val="Überschrift"/>
    <w:basedOn w:val="Normal"/>
    <w:qFormat/>
    <w:pPr>
      <w:keepNext w:val="true"/>
      <w:spacing w:before="240" w:after="120"/>
    </w:pPr>
    <w:rPr>
      <w:rFonts w:ascii="Liberation Sans" w:hAnsi="Liberation Sans" w:eastAsia="Microsoft YaHei"/>
      <w:sz w:val="28"/>
      <w:szCs w:val="28"/>
    </w:rPr>
  </w:style>
  <w:style w:type="paragraph" w:styleId="Verzeichnis">
    <w:name w:val="Verzeichnis"/>
    <w:basedOn w:val="Normal"/>
    <w:qFormat/>
    <w:pPr>
      <w:suppressLineNumbers/>
    </w:pPr>
    <w:rPr/>
  </w:style>
  <w:style w:type="paragraph" w:styleId="Caption1">
    <w:name w:val="caption"/>
    <w:basedOn w:val="Normal"/>
    <w:qFormat/>
    <w:pPr>
      <w:suppressLineNumbers/>
      <w:spacing w:before="120" w:after="120"/>
    </w:pPr>
    <w:rPr>
      <w:i/>
      <w:iCs/>
    </w:rPr>
  </w:style>
  <w:style w:type="paragraph" w:styleId="Title">
    <w:name w:val="Title"/>
    <w:basedOn w:val="Berschrift"/>
    <w:qFormat/>
    <w:pPr>
      <w:jc w:val="center"/>
    </w:pPr>
    <w:rPr>
      <w:b/>
      <w:bCs/>
      <w:sz w:val="56"/>
      <w:szCs w:val="56"/>
    </w:rPr>
  </w:style>
  <w:style w:type="paragraph" w:styleId="Subtitle">
    <w:name w:val="Subtitle"/>
    <w:basedOn w:val="Berschrift"/>
    <w:qFormat/>
    <w:pPr>
      <w:spacing w:before="60" w:after="120"/>
      <w:jc w:val="center"/>
    </w:pPr>
    <w:rPr>
      <w:sz w:val="36"/>
      <w:szCs w:val="36"/>
    </w:rPr>
  </w:style>
  <w:style w:type="paragraph" w:styleId="HeaderandFooter">
    <w:name w:val="Header and Footer"/>
    <w:basedOn w:val="Normal"/>
    <w:qFormat/>
    <w:pPr/>
    <w:rPr/>
  </w:style>
  <w:style w:type="paragraph" w:styleId="Footer">
    <w:name w:val="Footer"/>
    <w:basedOn w:val="Normal"/>
    <w:pPr>
      <w:suppressLineNumbers/>
    </w:pPr>
    <w:rPr/>
  </w:style>
  <w:style w:type="paragraph" w:styleId="Quotations">
    <w:name w:val="Quotations"/>
    <w:basedOn w:val="Normal"/>
    <w:qFormat/>
    <w:pPr/>
    <w:rPr/>
  </w:style>
  <w:style w:type="paragraph" w:styleId="BalloonText">
    <w:name w:val="Balloon Text"/>
    <w:basedOn w:val="Normal"/>
    <w:qFormat/>
    <w:pPr/>
    <w:rPr>
      <w:rFonts w:ascii="Tahoma" w:hAnsi="Tahoma"/>
      <w:sz w:val="16"/>
      <w:szCs w:val="14"/>
    </w:rPr>
  </w:style>
  <w:style w:type="paragraph" w:styleId="BaseHeading">
    <w:name w:val="Base_Heading"/>
    <w:qFormat/>
    <w:pPr>
      <w:keepNext w:val="true"/>
      <w:widowControl/>
      <w:suppressAutoHyphens w:val="true"/>
      <w:overflowPunct w:val="false"/>
      <w:bidi w:val="0"/>
      <w:spacing w:before="240" w:after="0"/>
      <w:jc w:val="left"/>
      <w:outlineLvl w:val="0"/>
    </w:pPr>
    <w:rPr>
      <w:rFonts w:ascii="Times New Roman" w:hAnsi="Times New Roman" w:eastAsia="Times New Roman" w:cs="Times New Roman"/>
      <w:color w:val="00000A"/>
      <w:kern w:val="0"/>
      <w:sz w:val="28"/>
      <w:szCs w:val="28"/>
      <w:lang w:val="en-GB" w:eastAsia="en-US" w:bidi="ar-SA"/>
    </w:rPr>
  </w:style>
  <w:style w:type="paragraph" w:styleId="Legend">
    <w:name w:val="Legend"/>
    <w:basedOn w:val="BaseHeading"/>
    <w:qFormat/>
    <w:pPr/>
    <w:rPr>
      <w:sz w:val="24"/>
      <w:szCs w:val="24"/>
    </w:rPr>
  </w:style>
  <w:style w:type="paragraph" w:styleId="Header">
    <w:name w:val="Header"/>
    <w:basedOn w:val="HeaderandFooter"/>
    <w:pPr>
      <w:suppressLineNumbers/>
      <w:tabs>
        <w:tab w:val="clear" w:pos="720"/>
        <w:tab w:val="center" w:pos="4819" w:leader="none"/>
        <w:tab w:val="right" w:pos="9638" w:leader="none"/>
      </w:tab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4264</TotalTime>
  <Application>LibreOffice/6.4.6.2$Windows_X86_64 LibreOffice_project/0ce51a4fd21bff07a5c061082cc82c5ed232f115</Application>
  <Pages>5</Pages>
  <Words>419</Words>
  <Characters>2423</Characters>
  <CharactersWithSpaces>2827</CharactersWithSpaces>
  <Paragraphs>15</Paragraphs>
  <Company>Deutsches Museum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2019-05-07T12:34:00Z</dcterms:created>
  <dc:creator>angreine</dc:creator>
  <dc:description/>
  <dc:language>de-DE</dc:language>
  <cp:lastModifiedBy/>
  <cp:lastPrinted>2020-12-17T04:53:46Z</cp:lastPrinted>
  <dcterms:modified xsi:type="dcterms:W3CDTF">2022-01-27T05:38:04Z</dcterms:modified>
  <cp:revision>248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Deutsches Museum</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