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6D0D" w14:textId="77777777" w:rsidR="00EF5D3E" w:rsidRPr="00EF5D3E" w:rsidRDefault="00EF5D3E" w:rsidP="00EF5D3E">
      <w:pPr>
        <w:keepNext/>
        <w:keepLines/>
        <w:spacing w:before="240" w:after="0" w:line="480" w:lineRule="auto"/>
        <w:outlineLvl w:val="0"/>
        <w:rPr>
          <w:rFonts w:eastAsia="Times New Roman" w:cs="Times New Roman"/>
          <w:b/>
          <w:szCs w:val="32"/>
          <w:lang w:eastAsia="en-US"/>
        </w:rPr>
      </w:pPr>
      <w:r w:rsidRPr="00EF5D3E">
        <w:rPr>
          <w:rFonts w:eastAsia="Times New Roman" w:cs="Times New Roman"/>
          <w:b/>
          <w:szCs w:val="32"/>
          <w:lang w:eastAsia="en-US"/>
        </w:rPr>
        <w:t>Towards implementing exercise into the prostate cancer care pathway: development of a theory and evidence-based intervention to change healthcare professional behaviour</w:t>
      </w:r>
    </w:p>
    <w:p w14:paraId="05B487F5" w14:textId="77777777" w:rsidR="00EF5D3E" w:rsidRPr="00EF5D3E" w:rsidRDefault="00EF5D3E" w:rsidP="00EF5D3E">
      <w:pPr>
        <w:spacing w:after="160" w:line="256" w:lineRule="auto"/>
        <w:rPr>
          <w:rFonts w:eastAsia="Calibri" w:cs="Times New Roman"/>
          <w:sz w:val="2"/>
          <w:szCs w:val="2"/>
          <w:lang w:eastAsia="en-US"/>
        </w:rPr>
      </w:pPr>
    </w:p>
    <w:p w14:paraId="79D07BC5" w14:textId="77777777" w:rsidR="00EF5D3E" w:rsidRPr="00EF5D3E" w:rsidRDefault="00EF5D3E" w:rsidP="00EF5D3E">
      <w:pPr>
        <w:spacing w:after="160"/>
        <w:rPr>
          <w:rFonts w:eastAsia="Calibri" w:cs="Times New Roman"/>
          <w:sz w:val="22"/>
          <w:szCs w:val="22"/>
          <w:vertAlign w:val="superscript"/>
          <w:lang w:eastAsia="en-US"/>
        </w:rPr>
      </w:pPr>
      <w:r w:rsidRPr="00EF5D3E">
        <w:rPr>
          <w:rFonts w:eastAsia="Calibri" w:cs="Times New Roman"/>
          <w:sz w:val="22"/>
          <w:szCs w:val="22"/>
          <w:lang w:eastAsia="en-US"/>
        </w:rPr>
        <w:t>Rebecca R Turner</w:t>
      </w:r>
      <w:r w:rsidRPr="00EF5D3E">
        <w:rPr>
          <w:rFonts w:eastAsia="Calibri" w:cs="Times New Roman"/>
          <w:sz w:val="22"/>
          <w:szCs w:val="22"/>
          <w:vertAlign w:val="superscript"/>
          <w:lang w:eastAsia="en-US"/>
        </w:rPr>
        <w:t>1</w:t>
      </w:r>
      <w:r w:rsidRPr="00EF5D3E">
        <w:rPr>
          <w:rFonts w:eastAsia="Calibri" w:cs="Times New Roman"/>
          <w:sz w:val="22"/>
          <w:szCs w:val="22"/>
          <w:lang w:eastAsia="en-US"/>
        </w:rPr>
        <w:t>, Madelynne A Arden</w:t>
      </w:r>
      <w:r w:rsidRPr="00EF5D3E">
        <w:rPr>
          <w:rFonts w:eastAsia="Calibri" w:cs="Times New Roman"/>
          <w:sz w:val="22"/>
          <w:szCs w:val="22"/>
          <w:vertAlign w:val="superscript"/>
          <w:lang w:eastAsia="en-US"/>
        </w:rPr>
        <w:t>2</w:t>
      </w:r>
      <w:r w:rsidRPr="00EF5D3E">
        <w:rPr>
          <w:rFonts w:eastAsia="Calibri" w:cs="Times New Roman"/>
          <w:sz w:val="22"/>
          <w:szCs w:val="22"/>
          <w:vertAlign w:val="subscript"/>
          <w:lang w:eastAsia="en-US"/>
        </w:rPr>
        <w:t xml:space="preserve">, </w:t>
      </w:r>
      <w:r w:rsidRPr="00EF5D3E">
        <w:rPr>
          <w:rFonts w:eastAsia="Calibri" w:cs="Times New Roman"/>
          <w:sz w:val="22"/>
          <w:szCs w:val="22"/>
          <w:lang w:eastAsia="en-US"/>
        </w:rPr>
        <w:t>Sophie Reale</w:t>
      </w:r>
      <w:r w:rsidRPr="00EF5D3E">
        <w:rPr>
          <w:rFonts w:eastAsia="Calibri" w:cs="Times New Roman"/>
          <w:sz w:val="22"/>
          <w:szCs w:val="22"/>
          <w:vertAlign w:val="superscript"/>
          <w:lang w:eastAsia="en-US"/>
        </w:rPr>
        <w:t>1</w:t>
      </w:r>
      <w:r w:rsidRPr="00EF5D3E">
        <w:rPr>
          <w:rFonts w:eastAsia="Calibri" w:cs="Times New Roman"/>
          <w:sz w:val="22"/>
          <w:szCs w:val="22"/>
          <w:lang w:eastAsia="en-US"/>
        </w:rPr>
        <w:t>, Eileen Sutton</w:t>
      </w:r>
      <w:r w:rsidRPr="00EF5D3E">
        <w:rPr>
          <w:rFonts w:eastAsia="Calibri" w:cs="Times New Roman"/>
          <w:sz w:val="22"/>
          <w:szCs w:val="22"/>
          <w:vertAlign w:val="superscript"/>
          <w:lang w:eastAsia="en-US"/>
        </w:rPr>
        <w:t>3</w:t>
      </w:r>
      <w:r w:rsidRPr="00EF5D3E">
        <w:rPr>
          <w:rFonts w:eastAsia="Calibri" w:cs="Times New Roman"/>
          <w:sz w:val="22"/>
          <w:szCs w:val="22"/>
          <w:lang w:eastAsia="en-US"/>
        </w:rPr>
        <w:t>, Stephanie J C Taylor</w:t>
      </w:r>
      <w:r w:rsidRPr="00EF5D3E">
        <w:rPr>
          <w:rFonts w:eastAsia="Calibri" w:cs="Times New Roman"/>
          <w:sz w:val="22"/>
          <w:szCs w:val="22"/>
          <w:vertAlign w:val="superscript"/>
          <w:lang w:eastAsia="en-US"/>
        </w:rPr>
        <w:t>4</w:t>
      </w:r>
      <w:r w:rsidRPr="00EF5D3E">
        <w:rPr>
          <w:rFonts w:eastAsia="Calibri" w:cs="Times New Roman"/>
          <w:sz w:val="22"/>
          <w:szCs w:val="22"/>
          <w:lang w:eastAsia="en-US"/>
        </w:rPr>
        <w:t>, Liam Bourke</w:t>
      </w:r>
      <w:r w:rsidRPr="00EF5D3E">
        <w:rPr>
          <w:rFonts w:eastAsia="Calibri" w:cs="Times New Roman"/>
          <w:sz w:val="22"/>
          <w:szCs w:val="22"/>
          <w:vertAlign w:val="superscript"/>
          <w:lang w:eastAsia="en-US"/>
        </w:rPr>
        <w:t>1</w:t>
      </w:r>
      <w:r w:rsidRPr="00EF5D3E">
        <w:rPr>
          <w:rFonts w:eastAsia="Calibri" w:cs="Times New Roman"/>
          <w:sz w:val="22"/>
          <w:szCs w:val="22"/>
          <w:lang w:eastAsia="en-US"/>
        </w:rPr>
        <w:t>, Diana M Greenfield</w:t>
      </w:r>
      <w:r w:rsidRPr="00EF5D3E">
        <w:rPr>
          <w:rFonts w:eastAsia="Calibri" w:cs="Times New Roman"/>
          <w:sz w:val="22"/>
          <w:szCs w:val="22"/>
          <w:vertAlign w:val="superscript"/>
          <w:lang w:eastAsia="en-US"/>
        </w:rPr>
        <w:t>5,8</w:t>
      </w:r>
      <w:r w:rsidRPr="00EF5D3E">
        <w:rPr>
          <w:rFonts w:eastAsia="Calibri" w:cs="Times New Roman"/>
          <w:sz w:val="22"/>
          <w:szCs w:val="22"/>
          <w:lang w:eastAsia="en-US"/>
        </w:rPr>
        <w:t>, Dylan Morrissey</w:t>
      </w:r>
      <w:r w:rsidRPr="00EF5D3E">
        <w:rPr>
          <w:rFonts w:eastAsia="Calibri" w:cs="Times New Roman"/>
          <w:sz w:val="22"/>
          <w:szCs w:val="22"/>
          <w:vertAlign w:val="superscript"/>
          <w:lang w:eastAsia="en-US"/>
        </w:rPr>
        <w:t>6,7</w:t>
      </w:r>
      <w:r w:rsidRPr="00EF5D3E">
        <w:rPr>
          <w:rFonts w:eastAsia="Calibri" w:cs="Times New Roman"/>
          <w:sz w:val="22"/>
          <w:szCs w:val="22"/>
          <w:lang w:eastAsia="en-US"/>
        </w:rPr>
        <w:t>, Janet Brown</w:t>
      </w:r>
      <w:r w:rsidRPr="00EF5D3E">
        <w:rPr>
          <w:rFonts w:eastAsia="Calibri" w:cs="Times New Roman"/>
          <w:sz w:val="22"/>
          <w:szCs w:val="22"/>
          <w:vertAlign w:val="superscript"/>
          <w:lang w:eastAsia="en-US"/>
        </w:rPr>
        <w:t>8</w:t>
      </w:r>
      <w:r w:rsidRPr="00EF5D3E">
        <w:rPr>
          <w:rFonts w:eastAsia="Calibri" w:cs="Times New Roman"/>
          <w:sz w:val="22"/>
          <w:szCs w:val="22"/>
          <w:lang w:eastAsia="en-US"/>
        </w:rPr>
        <w:t>, Patrick Doherty</w:t>
      </w:r>
      <w:r w:rsidRPr="00EF5D3E">
        <w:rPr>
          <w:rFonts w:eastAsia="Calibri" w:cs="Times New Roman"/>
          <w:sz w:val="22"/>
          <w:szCs w:val="22"/>
          <w:vertAlign w:val="superscript"/>
          <w:lang w:eastAsia="en-US"/>
        </w:rPr>
        <w:t>9</w:t>
      </w:r>
      <w:r w:rsidRPr="00EF5D3E">
        <w:rPr>
          <w:rFonts w:eastAsia="Calibri" w:cs="Times New Roman"/>
          <w:sz w:val="22"/>
          <w:szCs w:val="22"/>
          <w:lang w:eastAsia="en-US"/>
        </w:rPr>
        <w:t>, Derek J Rosario</w:t>
      </w:r>
      <w:r w:rsidRPr="00EF5D3E">
        <w:rPr>
          <w:rFonts w:eastAsia="Calibri" w:cs="Times New Roman"/>
          <w:sz w:val="22"/>
          <w:szCs w:val="22"/>
          <w:vertAlign w:val="superscript"/>
          <w:lang w:eastAsia="en-US"/>
        </w:rPr>
        <w:t xml:space="preserve">1,10 </w:t>
      </w:r>
      <w:r w:rsidRPr="00EF5D3E">
        <w:rPr>
          <w:rFonts w:eastAsia="Calibri" w:cs="Times New Roman"/>
          <w:sz w:val="22"/>
          <w:szCs w:val="22"/>
          <w:lang w:eastAsia="en-US"/>
        </w:rPr>
        <w:t>,Liz Steed</w:t>
      </w:r>
      <w:r w:rsidRPr="00EF5D3E">
        <w:rPr>
          <w:rFonts w:eastAsia="Calibri" w:cs="Times New Roman"/>
          <w:sz w:val="22"/>
          <w:szCs w:val="22"/>
          <w:vertAlign w:val="superscript"/>
          <w:lang w:eastAsia="en-US"/>
        </w:rPr>
        <w:t xml:space="preserve">4 </w:t>
      </w:r>
      <w:r w:rsidRPr="00EF5D3E">
        <w:rPr>
          <w:rFonts w:eastAsia="Calibri" w:cs="Times New Roman"/>
          <w:sz w:val="22"/>
          <w:szCs w:val="22"/>
          <w:lang w:eastAsia="en-US"/>
        </w:rPr>
        <w:t xml:space="preserve">and on behalf of the STAMINA co-investigators. </w:t>
      </w:r>
    </w:p>
    <w:p w14:paraId="4E29367E" w14:textId="77777777" w:rsidR="00EF5D3E" w:rsidRPr="00EF5D3E" w:rsidRDefault="00EF5D3E" w:rsidP="00EF5D3E">
      <w:pPr>
        <w:spacing w:after="160"/>
        <w:rPr>
          <w:rFonts w:ascii="Calibri" w:eastAsia="Times New Roman" w:hAnsi="Calibri" w:cs="Calibri"/>
          <w:color w:val="000000"/>
          <w:sz w:val="22"/>
          <w:szCs w:val="22"/>
          <w:lang w:eastAsia="en-GB"/>
        </w:rPr>
      </w:pPr>
      <w:r w:rsidRPr="00EF5D3E">
        <w:rPr>
          <w:rFonts w:eastAsia="Calibri" w:cs="Times New Roman"/>
          <w:sz w:val="22"/>
          <w:szCs w:val="22"/>
          <w:vertAlign w:val="superscript"/>
          <w:lang w:eastAsia="en-US"/>
        </w:rPr>
        <w:t>1</w:t>
      </w:r>
      <w:r w:rsidRPr="00EF5D3E">
        <w:rPr>
          <w:rFonts w:eastAsia="Calibri" w:cs="Times New Roman"/>
          <w:sz w:val="22"/>
          <w:szCs w:val="22"/>
          <w:lang w:eastAsia="en-US"/>
        </w:rPr>
        <w:t xml:space="preserve"> </w:t>
      </w:r>
      <w:r w:rsidRPr="00EF5D3E">
        <w:rPr>
          <w:rFonts w:eastAsia="Calibri" w:cs="Times New Roman"/>
          <w:sz w:val="22"/>
          <w:szCs w:val="22"/>
          <w:lang w:eastAsia="en-GB"/>
        </w:rPr>
        <w:t>Allied Health Professionals, Radiotherapy and Oncology, Sheffield Hallam University, UK</w:t>
      </w:r>
    </w:p>
    <w:p w14:paraId="1E1C586A" w14:textId="77777777" w:rsidR="00EF5D3E" w:rsidRPr="00EF5D3E" w:rsidRDefault="00EF5D3E" w:rsidP="00EF5D3E">
      <w:pPr>
        <w:spacing w:after="160"/>
        <w:rPr>
          <w:rFonts w:eastAsia="Calibri" w:cs="Times New Roman"/>
          <w:sz w:val="22"/>
          <w:szCs w:val="22"/>
          <w:lang w:eastAsia="en-US"/>
        </w:rPr>
      </w:pPr>
      <w:r w:rsidRPr="00EF5D3E">
        <w:rPr>
          <w:rFonts w:eastAsia="Calibri" w:cs="Times New Roman"/>
          <w:sz w:val="22"/>
          <w:szCs w:val="22"/>
          <w:vertAlign w:val="superscript"/>
          <w:lang w:eastAsia="en-US"/>
        </w:rPr>
        <w:t xml:space="preserve">2 </w:t>
      </w:r>
      <w:r w:rsidRPr="00EF5D3E">
        <w:rPr>
          <w:rFonts w:eastAsia="Calibri" w:cs="Times New Roman"/>
          <w:sz w:val="22"/>
          <w:szCs w:val="22"/>
          <w:lang w:eastAsia="en-US"/>
        </w:rPr>
        <w:t>Centre for Behavioural Science and Applied Psychology (CeBSAP), Sheffield Hallam University, UK</w:t>
      </w:r>
    </w:p>
    <w:p w14:paraId="4078AFC7" w14:textId="77777777" w:rsidR="00EF5D3E" w:rsidRPr="00EF5D3E" w:rsidRDefault="00EF5D3E" w:rsidP="00EF5D3E">
      <w:pPr>
        <w:spacing w:after="160"/>
        <w:rPr>
          <w:rFonts w:ascii="Times New Roman" w:eastAsia="Calibri" w:hAnsi="Times New Roman" w:cs="Times New Roman"/>
          <w:sz w:val="22"/>
          <w:szCs w:val="22"/>
          <w:lang w:eastAsia="en-US"/>
        </w:rPr>
      </w:pPr>
      <w:r w:rsidRPr="00EF5D3E">
        <w:rPr>
          <w:rFonts w:eastAsia="Calibri" w:cs="Times New Roman"/>
          <w:sz w:val="22"/>
          <w:szCs w:val="22"/>
          <w:vertAlign w:val="superscript"/>
          <w:lang w:eastAsia="en-US"/>
        </w:rPr>
        <w:t>3</w:t>
      </w:r>
      <w:r w:rsidRPr="00EF5D3E">
        <w:rPr>
          <w:rFonts w:eastAsia="Calibri" w:cs="Times New Roman"/>
          <w:sz w:val="22"/>
          <w:szCs w:val="22"/>
          <w:lang w:eastAsia="en-US"/>
        </w:rPr>
        <w:t xml:space="preserve"> Population Health Sciences, University of Bristol, UK</w:t>
      </w:r>
      <w:r w:rsidRPr="00EF5D3E">
        <w:rPr>
          <w:rFonts w:ascii="Times New Roman" w:eastAsia="Calibri" w:hAnsi="Times New Roman" w:cs="Times New Roman"/>
          <w:sz w:val="22"/>
          <w:szCs w:val="22"/>
          <w:lang w:eastAsia="en-US"/>
        </w:rPr>
        <w:t xml:space="preserve"> </w:t>
      </w:r>
    </w:p>
    <w:p w14:paraId="70FC33E4" w14:textId="77777777" w:rsidR="00EF5D3E" w:rsidRPr="00EF5D3E" w:rsidRDefault="00EF5D3E" w:rsidP="00EF5D3E">
      <w:pPr>
        <w:spacing w:after="160"/>
        <w:rPr>
          <w:rFonts w:eastAsia="Calibri" w:cs="Times New Roman"/>
          <w:sz w:val="22"/>
          <w:szCs w:val="22"/>
          <w:lang w:eastAsia="en-US"/>
        </w:rPr>
      </w:pPr>
      <w:r w:rsidRPr="00EF5D3E">
        <w:rPr>
          <w:rFonts w:eastAsia="Calibri" w:cs="Times New Roman"/>
          <w:sz w:val="22"/>
          <w:szCs w:val="22"/>
          <w:vertAlign w:val="superscript"/>
          <w:lang w:eastAsia="en-US"/>
        </w:rPr>
        <w:t xml:space="preserve">4 </w:t>
      </w:r>
      <w:r w:rsidRPr="00EF5D3E">
        <w:rPr>
          <w:rFonts w:eastAsia="Calibri" w:cs="Times New Roman"/>
          <w:sz w:val="22"/>
          <w:szCs w:val="22"/>
          <w:lang w:eastAsia="en-US"/>
        </w:rPr>
        <w:t>Institute for Population Health Sciences, Queen Mary, University of London, UK</w:t>
      </w:r>
    </w:p>
    <w:p w14:paraId="165FA06D" w14:textId="77777777" w:rsidR="00EF5D3E" w:rsidRPr="00EF5D3E" w:rsidRDefault="00EF5D3E" w:rsidP="00EF5D3E">
      <w:pPr>
        <w:spacing w:after="160"/>
        <w:rPr>
          <w:rFonts w:eastAsia="Calibri" w:cs="Times New Roman"/>
          <w:sz w:val="22"/>
          <w:szCs w:val="22"/>
          <w:lang w:eastAsia="en-GB"/>
        </w:rPr>
      </w:pPr>
      <w:r w:rsidRPr="00EF5D3E">
        <w:rPr>
          <w:rFonts w:eastAsia="Calibri" w:cs="Times New Roman"/>
          <w:sz w:val="22"/>
          <w:szCs w:val="22"/>
          <w:vertAlign w:val="superscript"/>
          <w:lang w:eastAsia="en-GB"/>
        </w:rPr>
        <w:t>5</w:t>
      </w:r>
      <w:r w:rsidRPr="00EF5D3E">
        <w:rPr>
          <w:rFonts w:eastAsia="Calibri" w:cs="Times New Roman"/>
          <w:sz w:val="22"/>
          <w:szCs w:val="22"/>
          <w:lang w:eastAsia="en-GB"/>
        </w:rPr>
        <w:t xml:space="preserve"> Specialised Cancer Services, Sheffield Teaching Hospital NHS Foundation Trust</w:t>
      </w:r>
    </w:p>
    <w:p w14:paraId="6D9A2CF8" w14:textId="77777777" w:rsidR="00EF5D3E" w:rsidRPr="00EF5D3E" w:rsidRDefault="00EF5D3E" w:rsidP="00EF5D3E">
      <w:pPr>
        <w:spacing w:after="160"/>
        <w:rPr>
          <w:rFonts w:eastAsia="Calibri" w:cs="Times New Roman"/>
          <w:sz w:val="22"/>
          <w:szCs w:val="22"/>
          <w:lang w:eastAsia="en-GB"/>
        </w:rPr>
      </w:pPr>
      <w:r w:rsidRPr="00EF5D3E">
        <w:rPr>
          <w:rFonts w:eastAsia="Calibri" w:cs="Times New Roman"/>
          <w:sz w:val="22"/>
          <w:szCs w:val="22"/>
          <w:vertAlign w:val="superscript"/>
          <w:lang w:eastAsia="en-GB"/>
        </w:rPr>
        <w:t>6</w:t>
      </w:r>
      <w:r w:rsidRPr="00EF5D3E">
        <w:rPr>
          <w:rFonts w:eastAsia="Calibri" w:cs="Times New Roman"/>
          <w:sz w:val="22"/>
          <w:szCs w:val="22"/>
          <w:lang w:eastAsia="en-GB"/>
        </w:rPr>
        <w:t xml:space="preserve"> Sports and Exercise Medicine, William Harvey Research Institute, School of Medicine and Dentistry, Queen Mary, University of London, London UK</w:t>
      </w:r>
    </w:p>
    <w:p w14:paraId="4EBC08D9" w14:textId="77777777" w:rsidR="00EF5D3E" w:rsidRPr="00EF5D3E" w:rsidRDefault="00EF5D3E" w:rsidP="00EF5D3E">
      <w:pPr>
        <w:spacing w:after="160"/>
        <w:rPr>
          <w:rFonts w:eastAsia="Calibri" w:cs="Times New Roman"/>
          <w:sz w:val="22"/>
          <w:szCs w:val="22"/>
          <w:lang w:eastAsia="en-GB"/>
        </w:rPr>
      </w:pPr>
      <w:r w:rsidRPr="00EF5D3E">
        <w:rPr>
          <w:rFonts w:eastAsia="Calibri" w:cs="Times New Roman"/>
          <w:sz w:val="22"/>
          <w:szCs w:val="22"/>
          <w:vertAlign w:val="superscript"/>
          <w:lang w:eastAsia="en-GB"/>
        </w:rPr>
        <w:t>7</w:t>
      </w:r>
      <w:r w:rsidRPr="00EF5D3E">
        <w:rPr>
          <w:rFonts w:eastAsia="Calibri" w:cs="Times New Roman"/>
          <w:sz w:val="22"/>
          <w:szCs w:val="22"/>
          <w:lang w:eastAsia="en-GB"/>
        </w:rPr>
        <w:t xml:space="preserve"> Physiotherapy Department, Barts Health NHS Trust, London, UK</w:t>
      </w:r>
    </w:p>
    <w:p w14:paraId="1EAC5642" w14:textId="77777777" w:rsidR="00EF5D3E" w:rsidRPr="00EF5D3E" w:rsidRDefault="00EF5D3E" w:rsidP="00EF5D3E">
      <w:pPr>
        <w:spacing w:after="160"/>
        <w:rPr>
          <w:rFonts w:eastAsia="Calibri" w:cs="Times New Roman"/>
          <w:sz w:val="22"/>
          <w:szCs w:val="22"/>
          <w:lang w:eastAsia="en-US"/>
        </w:rPr>
      </w:pPr>
      <w:r w:rsidRPr="00EF5D3E">
        <w:rPr>
          <w:rFonts w:eastAsia="Calibri" w:cs="Times New Roman"/>
          <w:sz w:val="22"/>
          <w:szCs w:val="22"/>
          <w:vertAlign w:val="superscript"/>
          <w:lang w:eastAsia="en-US"/>
        </w:rPr>
        <w:t xml:space="preserve">8 </w:t>
      </w:r>
      <w:r w:rsidRPr="00EF5D3E">
        <w:rPr>
          <w:rFonts w:eastAsia="Calibri" w:cs="Times New Roman"/>
          <w:sz w:val="22"/>
          <w:szCs w:val="22"/>
          <w:lang w:eastAsia="en-US"/>
        </w:rPr>
        <w:t>Department of Oncology and Metabolism, University of Sheffield, UK</w:t>
      </w:r>
    </w:p>
    <w:p w14:paraId="5475EB41" w14:textId="77777777" w:rsidR="00EF5D3E" w:rsidRPr="00EF5D3E" w:rsidRDefault="00EF5D3E" w:rsidP="00EF5D3E">
      <w:pPr>
        <w:spacing w:after="160"/>
        <w:rPr>
          <w:rFonts w:eastAsia="Calibri" w:cs="Times New Roman"/>
          <w:sz w:val="22"/>
          <w:szCs w:val="22"/>
          <w:lang w:eastAsia="en-US"/>
        </w:rPr>
      </w:pPr>
      <w:r w:rsidRPr="00EF5D3E">
        <w:rPr>
          <w:rFonts w:eastAsia="Calibri" w:cs="Times New Roman"/>
          <w:sz w:val="22"/>
          <w:szCs w:val="22"/>
          <w:vertAlign w:val="superscript"/>
          <w:lang w:eastAsia="en-US"/>
        </w:rPr>
        <w:t xml:space="preserve">9 </w:t>
      </w:r>
      <w:r w:rsidRPr="00EF5D3E">
        <w:rPr>
          <w:rFonts w:eastAsia="Calibri" w:cs="Times New Roman"/>
          <w:sz w:val="22"/>
          <w:szCs w:val="22"/>
          <w:lang w:eastAsia="en-US"/>
        </w:rPr>
        <w:t>Department of Health Sciences, University of York, UK</w:t>
      </w:r>
    </w:p>
    <w:p w14:paraId="4ACF0F2E" w14:textId="77777777" w:rsidR="00EF5D3E" w:rsidRPr="00EF5D3E" w:rsidRDefault="00EF5D3E" w:rsidP="00EF5D3E">
      <w:pPr>
        <w:spacing w:after="160"/>
        <w:rPr>
          <w:rFonts w:eastAsia="Calibri" w:cs="Times New Roman"/>
          <w:sz w:val="22"/>
          <w:szCs w:val="22"/>
          <w:lang w:eastAsia="en-US"/>
        </w:rPr>
      </w:pPr>
      <w:r w:rsidRPr="00EF5D3E">
        <w:rPr>
          <w:rFonts w:eastAsia="Calibri" w:cs="Times New Roman"/>
          <w:sz w:val="22"/>
          <w:szCs w:val="22"/>
          <w:vertAlign w:val="superscript"/>
          <w:lang w:eastAsia="en-US"/>
        </w:rPr>
        <w:t>10</w:t>
      </w:r>
      <w:r w:rsidRPr="00EF5D3E">
        <w:rPr>
          <w:rFonts w:eastAsia="Calibri" w:cs="Times New Roman"/>
          <w:sz w:val="22"/>
          <w:szCs w:val="22"/>
          <w:lang w:eastAsia="en-US"/>
        </w:rPr>
        <w:t>Department of Urology, Sheffield Teaching Hospitals, UK</w:t>
      </w:r>
    </w:p>
    <w:p w14:paraId="04862724" w14:textId="77777777" w:rsidR="00EF5D3E" w:rsidRPr="00EF5D3E" w:rsidRDefault="00EF5D3E" w:rsidP="00EF5D3E">
      <w:pPr>
        <w:spacing w:after="160"/>
        <w:rPr>
          <w:rFonts w:eastAsia="Times New Roman" w:cs="Times New Roman"/>
          <w:b/>
          <w:bCs/>
          <w:sz w:val="22"/>
          <w:szCs w:val="22"/>
          <w:lang w:eastAsia="en-US"/>
        </w:rPr>
      </w:pPr>
      <w:r w:rsidRPr="00EF5D3E">
        <w:rPr>
          <w:rFonts w:eastAsia="Calibri" w:cs="Times New Roman"/>
          <w:b/>
          <w:bCs/>
          <w:sz w:val="22"/>
          <w:szCs w:val="22"/>
          <w:lang w:eastAsia="en-US"/>
        </w:rPr>
        <w:t>Corresponding author:</w:t>
      </w:r>
      <w:r w:rsidRPr="00EF5D3E">
        <w:rPr>
          <w:rFonts w:eastAsia="Calibri" w:cs="Times New Roman"/>
          <w:sz w:val="22"/>
          <w:szCs w:val="22"/>
          <w:lang w:eastAsia="en-US"/>
        </w:rPr>
        <w:t xml:space="preserve"> Liz Steed (</w:t>
      </w:r>
      <w:hyperlink r:id="rId6" w:history="1">
        <w:r w:rsidRPr="00EF5D3E">
          <w:rPr>
            <w:rFonts w:eastAsia="Calibri" w:cs="Times New Roman"/>
            <w:color w:val="0000FF"/>
            <w:sz w:val="22"/>
            <w:szCs w:val="22"/>
            <w:u w:val="single"/>
            <w:lang w:eastAsia="en-US"/>
          </w:rPr>
          <w:t>e.a.steed@qmul.ac.uk</w:t>
        </w:r>
      </w:hyperlink>
      <w:r w:rsidRPr="00EF5D3E">
        <w:rPr>
          <w:rFonts w:eastAsia="Calibri" w:cs="Times New Roman"/>
          <w:sz w:val="22"/>
          <w:szCs w:val="22"/>
          <w:lang w:eastAsia="en-US"/>
        </w:rPr>
        <w:t xml:space="preserve">) </w:t>
      </w:r>
    </w:p>
    <w:p w14:paraId="4CFF6CBF" w14:textId="77777777" w:rsidR="00EF5D3E" w:rsidRDefault="00EF5D3E" w:rsidP="00EF5D3E">
      <w:pPr>
        <w:rPr>
          <w:lang w:eastAsia="en-US"/>
        </w:rPr>
      </w:pPr>
    </w:p>
    <w:p w14:paraId="3C9DC128" w14:textId="77777777" w:rsidR="00EF5D3E" w:rsidRDefault="00EF5D3E" w:rsidP="00EF5D3E">
      <w:pPr>
        <w:rPr>
          <w:lang w:eastAsia="en-US"/>
        </w:rPr>
      </w:pPr>
    </w:p>
    <w:p w14:paraId="7DA6E4CE" w14:textId="7DFBB6B9" w:rsidR="00EF5D3E" w:rsidRPr="00EF5D3E" w:rsidRDefault="00EF5D3E" w:rsidP="00EF5D3E">
      <w:pPr>
        <w:rPr>
          <w:lang w:eastAsia="en-US"/>
        </w:rPr>
        <w:sectPr w:rsidR="00EF5D3E" w:rsidRPr="00EF5D3E">
          <w:footerReference w:type="default" r:id="rId7"/>
          <w:pgSz w:w="11906" w:h="16838"/>
          <w:pgMar w:top="1440" w:right="1440" w:bottom="1440" w:left="1440" w:header="708" w:footer="708" w:gutter="0"/>
          <w:cols w:space="708"/>
          <w:docGrid w:linePitch="360"/>
        </w:sectPr>
      </w:pPr>
    </w:p>
    <w:p w14:paraId="4E726A8B" w14:textId="77777777" w:rsidR="001D5F71" w:rsidRDefault="001D5F71" w:rsidP="001D5F71">
      <w:pPr>
        <w:pStyle w:val="Heading3"/>
        <w:ind w:left="0"/>
        <w:rPr>
          <w:rFonts w:cs="Arial"/>
        </w:rPr>
      </w:pPr>
      <w:bookmarkStart w:id="0" w:name="_Ref40874235"/>
      <w:bookmarkStart w:id="1" w:name="_Ref40880547"/>
      <w:r>
        <w:lastRenderedPageBreak/>
        <w:t>Additional file</w:t>
      </w:r>
      <w:r w:rsidRPr="005B4F91">
        <w:t xml:space="preserve"> </w:t>
      </w:r>
      <w:bookmarkEnd w:id="0"/>
      <w:bookmarkEnd w:id="1"/>
      <w:r>
        <w:t>5</w:t>
      </w:r>
      <w:r w:rsidRPr="00CC7D99">
        <w:rPr>
          <w:rFonts w:cs="Arial"/>
        </w:rPr>
        <w:t>: Template for Intervention Description and Replication (TIDieR) of the healthcare professional intervention</w:t>
      </w:r>
    </w:p>
    <w:p w14:paraId="44800C28" w14:textId="7DE60DA8" w:rsidR="00AD28CE" w:rsidRPr="005B4F91" w:rsidRDefault="00AD28CE" w:rsidP="00EF5D3E">
      <w:pPr>
        <w:pStyle w:val="Heading3"/>
        <w:ind w:left="0"/>
      </w:pPr>
    </w:p>
    <w:tbl>
      <w:tblPr>
        <w:tblStyle w:val="TableGrid6"/>
        <w:tblW w:w="0" w:type="auto"/>
        <w:tblLook w:val="04A0" w:firstRow="1" w:lastRow="0" w:firstColumn="1" w:lastColumn="0" w:noHBand="0" w:noVBand="1"/>
      </w:tblPr>
      <w:tblGrid>
        <w:gridCol w:w="1763"/>
        <w:gridCol w:w="7253"/>
      </w:tblGrid>
      <w:tr w:rsidR="00AD28CE" w:rsidRPr="005B4F91" w14:paraId="5013407F" w14:textId="77777777" w:rsidTr="00BB6738">
        <w:tc>
          <w:tcPr>
            <w:tcW w:w="1129" w:type="dxa"/>
          </w:tcPr>
          <w:p w14:paraId="7F5F35B7" w14:textId="77777777" w:rsidR="00AD28CE" w:rsidRPr="005B4F91" w:rsidRDefault="00AD28CE" w:rsidP="00BB6738">
            <w:pPr>
              <w:spacing w:line="276" w:lineRule="auto"/>
              <w:rPr>
                <w:rFonts w:eastAsia="Times New Roman"/>
                <w:b/>
                <w:bCs/>
              </w:rPr>
            </w:pPr>
            <w:r w:rsidRPr="005B4F91">
              <w:rPr>
                <w:rFonts w:eastAsia="Times New Roman"/>
                <w:b/>
                <w:bCs/>
              </w:rPr>
              <w:t>Name</w:t>
            </w:r>
          </w:p>
        </w:tc>
        <w:tc>
          <w:tcPr>
            <w:tcW w:w="7343" w:type="dxa"/>
          </w:tcPr>
          <w:p w14:paraId="029CAFDC" w14:textId="77777777" w:rsidR="00AD28CE" w:rsidRPr="005B4F91" w:rsidRDefault="00AD28CE" w:rsidP="00BB6738">
            <w:pPr>
              <w:spacing w:line="276" w:lineRule="auto"/>
              <w:rPr>
                <w:rFonts w:eastAsia="Times New Roman"/>
              </w:rPr>
            </w:pPr>
            <w:r w:rsidRPr="005B4F91">
              <w:rPr>
                <w:rFonts w:eastAsia="Times New Roman"/>
              </w:rPr>
              <w:t>Healthcare professional training package: Integrating exercise recommendations into clinical care</w:t>
            </w:r>
          </w:p>
        </w:tc>
      </w:tr>
      <w:tr w:rsidR="00AD28CE" w:rsidRPr="005B4F91" w14:paraId="052A6192" w14:textId="77777777" w:rsidTr="00BB6738">
        <w:tc>
          <w:tcPr>
            <w:tcW w:w="1129" w:type="dxa"/>
          </w:tcPr>
          <w:p w14:paraId="0D9E1D1C" w14:textId="77777777" w:rsidR="00AD28CE" w:rsidRPr="005B4F91" w:rsidRDefault="00AD28CE" w:rsidP="00BB6738">
            <w:pPr>
              <w:spacing w:line="276" w:lineRule="auto"/>
              <w:rPr>
                <w:rFonts w:eastAsia="Times New Roman"/>
                <w:b/>
                <w:bCs/>
              </w:rPr>
            </w:pPr>
            <w:r w:rsidRPr="005B4F91">
              <w:rPr>
                <w:rFonts w:eastAsia="Times New Roman"/>
                <w:b/>
                <w:bCs/>
              </w:rPr>
              <w:t>Why</w:t>
            </w:r>
          </w:p>
        </w:tc>
        <w:tc>
          <w:tcPr>
            <w:tcW w:w="7343" w:type="dxa"/>
          </w:tcPr>
          <w:p w14:paraId="05CF84E8" w14:textId="4DE65D10" w:rsidR="00AD28CE" w:rsidRPr="005B4F91" w:rsidRDefault="00EF5D3E" w:rsidP="00BB6738">
            <w:pPr>
              <w:spacing w:line="276" w:lineRule="auto"/>
              <w:rPr>
                <w:rFonts w:eastAsia="Times New Roman"/>
              </w:rPr>
            </w:pPr>
            <w:r>
              <w:rPr>
                <w:rFonts w:eastAsia="Times New Roman"/>
              </w:rPr>
              <w:t>Healthcare professionals (</w:t>
            </w:r>
            <w:r w:rsidR="00AD28CE" w:rsidRPr="005B4F91">
              <w:rPr>
                <w:rFonts w:eastAsia="Times New Roman"/>
              </w:rPr>
              <w:t>HCPs</w:t>
            </w:r>
            <w:r>
              <w:rPr>
                <w:rFonts w:eastAsia="Times New Roman"/>
              </w:rPr>
              <w:t xml:space="preserve">) </w:t>
            </w:r>
            <w:r w:rsidR="00AD28CE" w:rsidRPr="005B4F91">
              <w:rPr>
                <w:rFonts w:eastAsia="Times New Roman"/>
              </w:rPr>
              <w:t xml:space="preserve">do not routinely discuss exercise with men with prostate cancer on ADT and report several barriers as to why. Therefore, a training package is required to support HCPs in recommending exercise, providing behavioural support and exercise in line with recent NICE recommendations NG131 1.4.19. </w:t>
            </w:r>
          </w:p>
        </w:tc>
      </w:tr>
      <w:tr w:rsidR="00AD28CE" w:rsidRPr="005B4F91" w14:paraId="0C8510A2" w14:textId="77777777" w:rsidTr="00BB6738">
        <w:tc>
          <w:tcPr>
            <w:tcW w:w="1129" w:type="dxa"/>
          </w:tcPr>
          <w:p w14:paraId="45EDD4BD" w14:textId="77777777" w:rsidR="00AD28CE" w:rsidRPr="005B4F91" w:rsidRDefault="00AD28CE" w:rsidP="00BB6738">
            <w:pPr>
              <w:spacing w:line="276" w:lineRule="auto"/>
              <w:rPr>
                <w:rFonts w:eastAsia="Times New Roman"/>
                <w:b/>
                <w:bCs/>
              </w:rPr>
            </w:pPr>
            <w:r w:rsidRPr="005B4F91">
              <w:rPr>
                <w:rFonts w:eastAsia="Times New Roman"/>
                <w:b/>
                <w:bCs/>
              </w:rPr>
              <w:t xml:space="preserve">What </w:t>
            </w:r>
          </w:p>
        </w:tc>
        <w:tc>
          <w:tcPr>
            <w:tcW w:w="7343" w:type="dxa"/>
          </w:tcPr>
          <w:p w14:paraId="50072110" w14:textId="77777777" w:rsidR="00AD28CE" w:rsidRPr="005B4F91" w:rsidRDefault="00AD28CE" w:rsidP="00BB6738">
            <w:pPr>
              <w:spacing w:line="276" w:lineRule="auto"/>
              <w:rPr>
                <w:rFonts w:eastAsia="Times New Roman"/>
                <w:b/>
                <w:bCs/>
              </w:rPr>
            </w:pPr>
            <w:r w:rsidRPr="005B4F91">
              <w:rPr>
                <w:rFonts w:eastAsia="Times New Roman"/>
                <w:b/>
                <w:bCs/>
              </w:rPr>
              <w:t>Module one: An overview of the project (</w:t>
            </w:r>
            <w:r>
              <w:rPr>
                <w:rFonts w:eastAsia="Times New Roman"/>
                <w:b/>
                <w:bCs/>
              </w:rPr>
              <w:t>Level</w:t>
            </w:r>
            <w:r w:rsidRPr="005B4F91">
              <w:rPr>
                <w:rFonts w:eastAsia="Times New Roman"/>
                <w:b/>
                <w:bCs/>
              </w:rPr>
              <w:t xml:space="preserve"> one)</w:t>
            </w:r>
          </w:p>
          <w:p w14:paraId="3C8C4AD0" w14:textId="77777777" w:rsidR="00AD28CE" w:rsidRPr="005B4F91" w:rsidRDefault="00AD28CE" w:rsidP="00BB6738">
            <w:pPr>
              <w:spacing w:line="276" w:lineRule="auto"/>
              <w:rPr>
                <w:rFonts w:eastAsia="Times New Roman"/>
              </w:rPr>
            </w:pPr>
            <w:r w:rsidRPr="005B4F91">
              <w:rPr>
                <w:rFonts w:eastAsia="Times New Roman"/>
              </w:rPr>
              <w:t xml:space="preserve">This module aims to introduce the facilitators to the clinical team, give an overview of the training package and an overview of the project. NICE NG131 1.4.19 recommendations will be introduced here. </w:t>
            </w:r>
          </w:p>
          <w:p w14:paraId="6D1EEBE5" w14:textId="77777777" w:rsidR="00AD28CE" w:rsidRPr="005B4F91" w:rsidRDefault="00AD28CE" w:rsidP="00BB6738">
            <w:pPr>
              <w:spacing w:line="276" w:lineRule="auto"/>
              <w:rPr>
                <w:rFonts w:eastAsia="Times New Roman"/>
                <w:b/>
                <w:bCs/>
              </w:rPr>
            </w:pPr>
            <w:r w:rsidRPr="005B4F91">
              <w:rPr>
                <w:rFonts w:eastAsia="Times New Roman"/>
                <w:b/>
                <w:bCs/>
              </w:rPr>
              <w:t>Module two: Prostate cancer and exercise – the evidence base (</w:t>
            </w:r>
            <w:r>
              <w:rPr>
                <w:rFonts w:eastAsia="Times New Roman"/>
                <w:b/>
                <w:bCs/>
              </w:rPr>
              <w:t>Level</w:t>
            </w:r>
            <w:r w:rsidRPr="005B4F91">
              <w:rPr>
                <w:rFonts w:eastAsia="Times New Roman"/>
                <w:b/>
                <w:bCs/>
              </w:rPr>
              <w:t xml:space="preserve"> one)</w:t>
            </w:r>
          </w:p>
          <w:p w14:paraId="564CA454" w14:textId="77777777" w:rsidR="00AD28CE" w:rsidRPr="005B4F91" w:rsidRDefault="00AD28CE" w:rsidP="00BB6738">
            <w:pPr>
              <w:spacing w:line="276" w:lineRule="auto"/>
              <w:rPr>
                <w:rFonts w:eastAsia="Times New Roman"/>
              </w:rPr>
            </w:pPr>
            <w:r w:rsidRPr="005B4F91">
              <w:rPr>
                <w:rFonts w:eastAsia="Times New Roman"/>
              </w:rPr>
              <w:t xml:space="preserve">This module will give an overview of the benefits of exercise for men with prostate cancer on Androgen Deprivation therapy. </w:t>
            </w:r>
          </w:p>
          <w:p w14:paraId="55491955" w14:textId="77777777" w:rsidR="00AD28CE" w:rsidRPr="005B4F91" w:rsidRDefault="00AD28CE" w:rsidP="00BB6738">
            <w:pPr>
              <w:spacing w:line="276" w:lineRule="auto"/>
              <w:rPr>
                <w:rFonts w:eastAsia="Times New Roman"/>
                <w:b/>
                <w:bCs/>
              </w:rPr>
            </w:pPr>
            <w:r w:rsidRPr="005B4F91">
              <w:rPr>
                <w:rFonts w:eastAsia="Times New Roman"/>
                <w:b/>
                <w:bCs/>
              </w:rPr>
              <w:t>Module three: Discussion exercise as a healthcare professional (</w:t>
            </w:r>
            <w:r>
              <w:rPr>
                <w:rFonts w:eastAsia="Times New Roman"/>
                <w:b/>
                <w:bCs/>
              </w:rPr>
              <w:t>Level</w:t>
            </w:r>
            <w:r w:rsidRPr="005B4F91">
              <w:rPr>
                <w:rFonts w:eastAsia="Times New Roman"/>
                <w:b/>
                <w:bCs/>
              </w:rPr>
              <w:t xml:space="preserve"> one)</w:t>
            </w:r>
          </w:p>
          <w:p w14:paraId="705DC484" w14:textId="77777777" w:rsidR="00AD28CE" w:rsidRPr="005B4F91" w:rsidRDefault="00AD28CE" w:rsidP="00BB6738">
            <w:pPr>
              <w:spacing w:line="276" w:lineRule="auto"/>
              <w:rPr>
                <w:rFonts w:eastAsia="Times New Roman"/>
              </w:rPr>
            </w:pPr>
            <w:r w:rsidRPr="005B4F91">
              <w:rPr>
                <w:rFonts w:eastAsia="Times New Roman"/>
              </w:rPr>
              <w:t>This module will identify clinical roles within the team to aid the implementation of the NICE recommendations. How to discuss exercise and lifestyle with this patient group will also be introduced. Common assumptions made by HCPs about patients’ capabilities to exercise will aimed to addressed.</w:t>
            </w:r>
          </w:p>
          <w:p w14:paraId="5848F8B5" w14:textId="77777777" w:rsidR="00AD28CE" w:rsidRPr="005B4F91" w:rsidRDefault="00AD28CE" w:rsidP="00BB6738">
            <w:pPr>
              <w:spacing w:line="276" w:lineRule="auto"/>
              <w:rPr>
                <w:rFonts w:eastAsia="Times New Roman"/>
                <w:b/>
                <w:bCs/>
              </w:rPr>
            </w:pPr>
            <w:r w:rsidRPr="005B4F91">
              <w:rPr>
                <w:rFonts w:eastAsia="Times New Roman"/>
                <w:b/>
                <w:bCs/>
              </w:rPr>
              <w:t>Module four: Skills to supporting people with exercise (</w:t>
            </w:r>
            <w:r>
              <w:rPr>
                <w:rFonts w:eastAsia="Times New Roman"/>
                <w:b/>
                <w:bCs/>
              </w:rPr>
              <w:t>Level</w:t>
            </w:r>
            <w:r w:rsidRPr="005B4F91">
              <w:rPr>
                <w:rFonts w:eastAsia="Times New Roman"/>
                <w:b/>
                <w:bCs/>
              </w:rPr>
              <w:t xml:space="preserve"> two)</w:t>
            </w:r>
          </w:p>
          <w:p w14:paraId="027A223B" w14:textId="77777777" w:rsidR="00AD28CE" w:rsidRPr="005B4F91" w:rsidRDefault="00AD28CE" w:rsidP="00BB6738">
            <w:pPr>
              <w:spacing w:line="276" w:lineRule="auto"/>
              <w:rPr>
                <w:rFonts w:eastAsia="Times New Roman"/>
              </w:rPr>
            </w:pPr>
            <w:r w:rsidRPr="005B4F91">
              <w:rPr>
                <w:rFonts w:eastAsia="Times New Roman"/>
              </w:rPr>
              <w:t xml:space="preserve">This module will provide HCPs with the appropriate skills in terms of behaviour change techniques to use to support this patient group with exercise. Role-play and group tasks will be included within this module. </w:t>
            </w:r>
          </w:p>
          <w:p w14:paraId="227FE92F" w14:textId="77777777" w:rsidR="00AD28CE" w:rsidRPr="005B4F91" w:rsidRDefault="00AD28CE" w:rsidP="00BB6738">
            <w:pPr>
              <w:spacing w:line="276" w:lineRule="auto"/>
              <w:rPr>
                <w:rFonts w:eastAsia="Times New Roman"/>
                <w:b/>
                <w:bCs/>
              </w:rPr>
            </w:pPr>
            <w:r w:rsidRPr="005B4F91">
              <w:rPr>
                <w:rFonts w:eastAsia="Times New Roman"/>
                <w:b/>
                <w:bCs/>
              </w:rPr>
              <w:t>Module five: The exercise referral pathway and communication pathway (</w:t>
            </w:r>
            <w:r>
              <w:rPr>
                <w:rFonts w:eastAsia="Times New Roman"/>
                <w:b/>
                <w:bCs/>
              </w:rPr>
              <w:t>Level</w:t>
            </w:r>
            <w:r w:rsidRPr="005B4F91">
              <w:rPr>
                <w:rFonts w:eastAsia="Times New Roman"/>
                <w:b/>
                <w:bCs/>
              </w:rPr>
              <w:t xml:space="preserve"> two)</w:t>
            </w:r>
          </w:p>
          <w:p w14:paraId="202168F3" w14:textId="77777777" w:rsidR="00AD28CE" w:rsidRPr="005B4F91" w:rsidRDefault="00AD28CE" w:rsidP="00BB6738">
            <w:pPr>
              <w:spacing w:line="276" w:lineRule="auto"/>
              <w:rPr>
                <w:rFonts w:eastAsia="Times New Roman"/>
              </w:rPr>
            </w:pPr>
            <w:r w:rsidRPr="005B4F91">
              <w:rPr>
                <w:rFonts w:eastAsia="Times New Roman"/>
              </w:rPr>
              <w:lastRenderedPageBreak/>
              <w:t>This module will provide HCPs with the information of how to make referrals for exercise, what information to hand out to patients and how secure communication will take place with NH and the NHS.</w:t>
            </w:r>
          </w:p>
          <w:p w14:paraId="3CC3F796" w14:textId="77777777" w:rsidR="00AD28CE" w:rsidRPr="005B4F91" w:rsidRDefault="00AD28CE" w:rsidP="00BB6738">
            <w:pPr>
              <w:spacing w:line="276" w:lineRule="auto"/>
              <w:rPr>
                <w:rFonts w:eastAsia="Times New Roman"/>
                <w:b/>
                <w:bCs/>
              </w:rPr>
            </w:pPr>
            <w:r w:rsidRPr="005B4F91">
              <w:rPr>
                <w:rFonts w:eastAsia="Times New Roman"/>
                <w:b/>
                <w:bCs/>
              </w:rPr>
              <w:t>Module six: Follow-up (</w:t>
            </w:r>
            <w:r>
              <w:rPr>
                <w:rFonts w:eastAsia="Times New Roman"/>
                <w:b/>
                <w:bCs/>
              </w:rPr>
              <w:t>Level</w:t>
            </w:r>
            <w:r w:rsidRPr="005B4F91">
              <w:rPr>
                <w:rFonts w:eastAsia="Times New Roman"/>
                <w:b/>
                <w:bCs/>
              </w:rPr>
              <w:t xml:space="preserve"> two)</w:t>
            </w:r>
          </w:p>
          <w:p w14:paraId="44FE1001" w14:textId="77777777" w:rsidR="00AD28CE" w:rsidRPr="005B4F91" w:rsidRDefault="00AD28CE" w:rsidP="00BB6738">
            <w:pPr>
              <w:spacing w:line="276" w:lineRule="auto"/>
              <w:rPr>
                <w:rFonts w:eastAsia="Times New Roman"/>
              </w:rPr>
            </w:pPr>
            <w:r w:rsidRPr="005B4F91">
              <w:rPr>
                <w:rFonts w:eastAsia="Times New Roman"/>
              </w:rPr>
              <w:t>This module will provide HCPs with the appropriate skills to provide exercise support at follow-up. Role-play and group tasks will be included within this module.</w:t>
            </w:r>
          </w:p>
          <w:p w14:paraId="61B8E063" w14:textId="77777777" w:rsidR="00AD28CE" w:rsidRPr="005B4F91" w:rsidRDefault="00AD28CE" w:rsidP="00BB6738">
            <w:pPr>
              <w:spacing w:line="276" w:lineRule="auto"/>
              <w:rPr>
                <w:rFonts w:eastAsia="Times New Roman"/>
              </w:rPr>
            </w:pPr>
            <w:r>
              <w:rPr>
                <w:rFonts w:eastAsia="Times New Roman"/>
              </w:rPr>
              <w:t>Level</w:t>
            </w:r>
            <w:r w:rsidRPr="005B4F91">
              <w:rPr>
                <w:rFonts w:eastAsia="Times New Roman"/>
              </w:rPr>
              <w:t xml:space="preserve"> one is designed for all HCPs who see men with prostate cancer on ADT, it includes three modules, see Table 5. It provides an overview of the recommendations, evidence, and new behaviours/roles for the HCPs. It also provides support how to deliver three of these behaviours (recommendation, referral and recognising a patient as suitable). It is thought all HCPs should be able to deliver these behaviours. </w:t>
            </w:r>
            <w:r>
              <w:rPr>
                <w:rFonts w:eastAsia="Times New Roman"/>
              </w:rPr>
              <w:t>Level</w:t>
            </w:r>
            <w:r w:rsidRPr="005B4F91">
              <w:rPr>
                <w:rFonts w:eastAsia="Times New Roman"/>
              </w:rPr>
              <w:t xml:space="preserve"> two is designed for the key workers or HCPs involved in follow-up, who are likely to have more time with patients to discuss exercise. This </w:t>
            </w:r>
            <w:r>
              <w:rPr>
                <w:rFonts w:eastAsia="Times New Roman"/>
              </w:rPr>
              <w:t>Level</w:t>
            </w:r>
            <w:r w:rsidRPr="005B4F91">
              <w:rPr>
                <w:rFonts w:eastAsia="Times New Roman"/>
              </w:rPr>
              <w:t xml:space="preserve"> includes three modules also and is predominantly behavioural skill training. It provides task-based exercises, including role-play and feedback and focuses on the delivery of exercise support, providing patient with information packs and materials and discussing exercise at follow-up</w:t>
            </w:r>
            <w:r>
              <w:rPr>
                <w:rFonts w:eastAsia="Times New Roman"/>
              </w:rPr>
              <w:t xml:space="preserve">. </w:t>
            </w:r>
          </w:p>
        </w:tc>
      </w:tr>
      <w:tr w:rsidR="00AD28CE" w:rsidRPr="005B4F91" w14:paraId="5C30ECDA" w14:textId="77777777" w:rsidTr="00BB6738">
        <w:tc>
          <w:tcPr>
            <w:tcW w:w="1129" w:type="dxa"/>
          </w:tcPr>
          <w:p w14:paraId="67DBC215" w14:textId="77777777" w:rsidR="00AD28CE" w:rsidRPr="005B4F91" w:rsidRDefault="00AD28CE" w:rsidP="00BB6738">
            <w:pPr>
              <w:spacing w:line="276" w:lineRule="auto"/>
              <w:rPr>
                <w:rFonts w:eastAsia="Times New Roman"/>
                <w:b/>
                <w:bCs/>
              </w:rPr>
            </w:pPr>
            <w:r w:rsidRPr="005B4F91">
              <w:rPr>
                <w:rFonts w:eastAsia="Times New Roman"/>
                <w:b/>
                <w:bCs/>
              </w:rPr>
              <w:lastRenderedPageBreak/>
              <w:t>Who provided</w:t>
            </w:r>
          </w:p>
        </w:tc>
        <w:tc>
          <w:tcPr>
            <w:tcW w:w="7343" w:type="dxa"/>
          </w:tcPr>
          <w:p w14:paraId="74B19869" w14:textId="77777777" w:rsidR="00AD28CE" w:rsidRPr="005B4F91" w:rsidRDefault="00AD28CE" w:rsidP="00BB6738">
            <w:pPr>
              <w:spacing w:line="276" w:lineRule="auto"/>
              <w:rPr>
                <w:rFonts w:eastAsia="Times New Roman"/>
              </w:rPr>
            </w:pPr>
            <w:r w:rsidRPr="005B4F91">
              <w:rPr>
                <w:rFonts w:eastAsia="Times New Roman"/>
              </w:rPr>
              <w:t>Researcher/Health Psychologist</w:t>
            </w:r>
          </w:p>
        </w:tc>
      </w:tr>
      <w:tr w:rsidR="00AD28CE" w:rsidRPr="005B4F91" w14:paraId="17D99EF5" w14:textId="77777777" w:rsidTr="00BB6738">
        <w:tc>
          <w:tcPr>
            <w:tcW w:w="1129" w:type="dxa"/>
          </w:tcPr>
          <w:p w14:paraId="5BFB5903" w14:textId="77777777" w:rsidR="00AD28CE" w:rsidRPr="005B4F91" w:rsidRDefault="00AD28CE" w:rsidP="00BB6738">
            <w:pPr>
              <w:spacing w:line="276" w:lineRule="auto"/>
              <w:rPr>
                <w:rFonts w:eastAsia="Times New Roman"/>
                <w:b/>
                <w:bCs/>
              </w:rPr>
            </w:pPr>
            <w:r w:rsidRPr="005B4F91">
              <w:rPr>
                <w:rFonts w:eastAsia="Times New Roman"/>
                <w:b/>
                <w:bCs/>
              </w:rPr>
              <w:t xml:space="preserve">How </w:t>
            </w:r>
          </w:p>
        </w:tc>
        <w:tc>
          <w:tcPr>
            <w:tcW w:w="7343" w:type="dxa"/>
          </w:tcPr>
          <w:p w14:paraId="54929E8E" w14:textId="77777777" w:rsidR="00AD28CE" w:rsidRPr="005B4F91" w:rsidRDefault="00AD28CE" w:rsidP="00BB6738">
            <w:pPr>
              <w:spacing w:line="276" w:lineRule="auto"/>
              <w:rPr>
                <w:rFonts w:eastAsia="Times New Roman"/>
              </w:rPr>
            </w:pPr>
            <w:r>
              <w:rPr>
                <w:rFonts w:eastAsia="Times New Roman"/>
              </w:rPr>
              <w:t>Face-to-face</w:t>
            </w:r>
            <w:r w:rsidRPr="005B4F91">
              <w:rPr>
                <w:rFonts w:eastAsia="Times New Roman"/>
              </w:rPr>
              <w:t xml:space="preserve"> in small groups of up to 8</w:t>
            </w:r>
          </w:p>
        </w:tc>
      </w:tr>
      <w:tr w:rsidR="00AD28CE" w:rsidRPr="005B4F91" w14:paraId="05AB6867" w14:textId="77777777" w:rsidTr="00BB6738">
        <w:tc>
          <w:tcPr>
            <w:tcW w:w="1129" w:type="dxa"/>
          </w:tcPr>
          <w:p w14:paraId="12B3C9AA" w14:textId="77777777" w:rsidR="00AD28CE" w:rsidRPr="005B4F91" w:rsidRDefault="00AD28CE" w:rsidP="00BB6738">
            <w:pPr>
              <w:spacing w:line="276" w:lineRule="auto"/>
              <w:rPr>
                <w:rFonts w:eastAsia="Times New Roman"/>
                <w:b/>
                <w:bCs/>
              </w:rPr>
            </w:pPr>
            <w:r w:rsidRPr="005B4F91">
              <w:rPr>
                <w:rFonts w:eastAsia="Times New Roman"/>
                <w:b/>
                <w:bCs/>
              </w:rPr>
              <w:t>Where</w:t>
            </w:r>
          </w:p>
        </w:tc>
        <w:tc>
          <w:tcPr>
            <w:tcW w:w="7343" w:type="dxa"/>
          </w:tcPr>
          <w:p w14:paraId="164C3C21" w14:textId="77777777" w:rsidR="00AD28CE" w:rsidRPr="005B4F91" w:rsidRDefault="00AD28CE" w:rsidP="00BB6738">
            <w:pPr>
              <w:spacing w:line="276" w:lineRule="auto"/>
              <w:rPr>
                <w:rFonts w:eastAsia="Times New Roman"/>
              </w:rPr>
            </w:pPr>
            <w:r w:rsidRPr="005B4F91">
              <w:rPr>
                <w:rFonts w:eastAsia="Times New Roman"/>
              </w:rPr>
              <w:t>On site at the hospital or at a university building</w:t>
            </w:r>
          </w:p>
        </w:tc>
      </w:tr>
      <w:tr w:rsidR="00AD28CE" w:rsidRPr="005B4F91" w14:paraId="6D2E8263" w14:textId="77777777" w:rsidTr="00BB6738">
        <w:tc>
          <w:tcPr>
            <w:tcW w:w="1129" w:type="dxa"/>
          </w:tcPr>
          <w:p w14:paraId="1BD0E38E" w14:textId="77777777" w:rsidR="00AD28CE" w:rsidRPr="005B4F91" w:rsidRDefault="00AD28CE" w:rsidP="00BB6738">
            <w:pPr>
              <w:spacing w:line="276" w:lineRule="auto"/>
              <w:rPr>
                <w:rFonts w:eastAsia="Times New Roman"/>
                <w:b/>
                <w:bCs/>
              </w:rPr>
            </w:pPr>
            <w:r w:rsidRPr="005B4F91">
              <w:rPr>
                <w:rFonts w:eastAsia="Times New Roman"/>
                <w:b/>
                <w:bCs/>
              </w:rPr>
              <w:t>When and how much?</w:t>
            </w:r>
          </w:p>
        </w:tc>
        <w:tc>
          <w:tcPr>
            <w:tcW w:w="7343" w:type="dxa"/>
          </w:tcPr>
          <w:p w14:paraId="37B6718A" w14:textId="77777777" w:rsidR="00AD28CE" w:rsidRPr="005B4F91" w:rsidRDefault="00AD28CE" w:rsidP="00BB6738">
            <w:pPr>
              <w:spacing w:line="276" w:lineRule="auto"/>
              <w:rPr>
                <w:rFonts w:eastAsia="Times New Roman"/>
              </w:rPr>
            </w:pPr>
            <w:r w:rsidRPr="005B4F91">
              <w:rPr>
                <w:rFonts w:eastAsia="Times New Roman"/>
              </w:rPr>
              <w:t xml:space="preserve">Half day training and module 6 is repeated at 8-12 weeks  </w:t>
            </w:r>
          </w:p>
        </w:tc>
      </w:tr>
      <w:tr w:rsidR="00AD28CE" w:rsidRPr="005B4F91" w14:paraId="1FCBB9EC" w14:textId="77777777" w:rsidTr="00BB6738">
        <w:tc>
          <w:tcPr>
            <w:tcW w:w="1129" w:type="dxa"/>
          </w:tcPr>
          <w:p w14:paraId="2C4D0634" w14:textId="77777777" w:rsidR="00AD28CE" w:rsidRPr="005B4F91" w:rsidRDefault="00AD28CE" w:rsidP="00BB6738">
            <w:pPr>
              <w:spacing w:line="276" w:lineRule="auto"/>
              <w:rPr>
                <w:rFonts w:eastAsia="Times New Roman"/>
                <w:b/>
                <w:bCs/>
              </w:rPr>
            </w:pPr>
            <w:r w:rsidRPr="005B4F91">
              <w:rPr>
                <w:rFonts w:eastAsia="Times New Roman"/>
                <w:b/>
                <w:bCs/>
              </w:rPr>
              <w:t>Tailoring</w:t>
            </w:r>
          </w:p>
        </w:tc>
        <w:tc>
          <w:tcPr>
            <w:tcW w:w="7343" w:type="dxa"/>
          </w:tcPr>
          <w:p w14:paraId="21F3C4A5" w14:textId="77777777" w:rsidR="00AD28CE" w:rsidRPr="005B4F91" w:rsidRDefault="00AD28CE" w:rsidP="00BB6738">
            <w:pPr>
              <w:spacing w:line="276" w:lineRule="auto"/>
              <w:rPr>
                <w:rFonts w:eastAsia="Times New Roman"/>
              </w:rPr>
            </w:pPr>
            <w:r w:rsidRPr="005B4F91">
              <w:rPr>
                <w:rFonts w:eastAsia="Times New Roman"/>
              </w:rPr>
              <w:t>Depending on how follow-up care is delivered at the specific NHS site determines which HCPs should attend this training.</w:t>
            </w:r>
          </w:p>
        </w:tc>
      </w:tr>
      <w:tr w:rsidR="00AD28CE" w:rsidRPr="005B4F91" w14:paraId="50EE6CFE" w14:textId="77777777" w:rsidTr="00BB6738">
        <w:tc>
          <w:tcPr>
            <w:tcW w:w="1129" w:type="dxa"/>
          </w:tcPr>
          <w:p w14:paraId="65A84D40" w14:textId="77777777" w:rsidR="00AD28CE" w:rsidRPr="005B4F91" w:rsidRDefault="00AD28CE" w:rsidP="00BB6738">
            <w:pPr>
              <w:spacing w:line="276" w:lineRule="auto"/>
              <w:rPr>
                <w:rFonts w:eastAsia="Times New Roman"/>
                <w:b/>
                <w:bCs/>
              </w:rPr>
            </w:pPr>
            <w:r w:rsidRPr="005B4F91">
              <w:rPr>
                <w:rFonts w:eastAsia="Times New Roman"/>
                <w:b/>
                <w:bCs/>
              </w:rPr>
              <w:t>Modifications</w:t>
            </w:r>
          </w:p>
        </w:tc>
        <w:tc>
          <w:tcPr>
            <w:tcW w:w="7343" w:type="dxa"/>
          </w:tcPr>
          <w:p w14:paraId="04A88B23" w14:textId="77777777" w:rsidR="00AD28CE" w:rsidRPr="005B4F91" w:rsidRDefault="00AD28CE" w:rsidP="00BB6738">
            <w:pPr>
              <w:spacing w:line="276" w:lineRule="auto"/>
              <w:rPr>
                <w:rFonts w:eastAsia="Times New Roman"/>
              </w:rPr>
            </w:pPr>
            <w:r>
              <w:rPr>
                <w:rFonts w:eastAsia="Times New Roman"/>
              </w:rPr>
              <w:t>Face-to-face</w:t>
            </w:r>
            <w:r w:rsidRPr="005B4F91">
              <w:rPr>
                <w:rFonts w:eastAsia="Times New Roman"/>
              </w:rPr>
              <w:t xml:space="preserve">, to be delivered on NHS site or locally to NHS site. </w:t>
            </w:r>
          </w:p>
        </w:tc>
      </w:tr>
      <w:tr w:rsidR="00AD28CE" w:rsidRPr="005B4F91" w14:paraId="11F52E35" w14:textId="77777777" w:rsidTr="00BB6738">
        <w:trPr>
          <w:trHeight w:val="1262"/>
        </w:trPr>
        <w:tc>
          <w:tcPr>
            <w:tcW w:w="1129" w:type="dxa"/>
          </w:tcPr>
          <w:p w14:paraId="65D83DB6" w14:textId="77777777" w:rsidR="00AD28CE" w:rsidRPr="005B4F91" w:rsidRDefault="00AD28CE" w:rsidP="00BB6738">
            <w:pPr>
              <w:spacing w:line="276" w:lineRule="auto"/>
              <w:rPr>
                <w:rFonts w:eastAsia="Times New Roman"/>
                <w:b/>
                <w:bCs/>
              </w:rPr>
            </w:pPr>
            <w:r w:rsidRPr="005B4F91">
              <w:rPr>
                <w:rFonts w:eastAsia="Times New Roman"/>
                <w:b/>
                <w:bCs/>
              </w:rPr>
              <w:t xml:space="preserve">How well </w:t>
            </w:r>
          </w:p>
        </w:tc>
        <w:tc>
          <w:tcPr>
            <w:tcW w:w="7343" w:type="dxa"/>
          </w:tcPr>
          <w:p w14:paraId="33C46F78" w14:textId="77777777" w:rsidR="00AD28CE" w:rsidRPr="005B4F91" w:rsidRDefault="00AD28CE" w:rsidP="00BB6738">
            <w:pPr>
              <w:spacing w:line="276" w:lineRule="auto"/>
              <w:rPr>
                <w:rFonts w:eastAsia="Times New Roman"/>
                <w:i/>
                <w:iCs/>
              </w:rPr>
            </w:pPr>
            <w:r w:rsidRPr="005B4F91">
              <w:rPr>
                <w:rFonts w:eastAsia="Times New Roman"/>
              </w:rPr>
              <w:t xml:space="preserve">Process measures, acceptability and fidelity will be measured. </w:t>
            </w:r>
          </w:p>
        </w:tc>
      </w:tr>
    </w:tbl>
    <w:p w14:paraId="05FA520B" w14:textId="77777777" w:rsidR="00AD28CE" w:rsidRPr="005B4F91" w:rsidRDefault="00AD28CE" w:rsidP="00AD28CE">
      <w:pPr>
        <w:rPr>
          <w:rFonts w:eastAsia="Times New Roman"/>
        </w:rPr>
      </w:pPr>
    </w:p>
    <w:p w14:paraId="6F2A189B" w14:textId="77777777" w:rsidR="00AD28CE" w:rsidRPr="005B4F91" w:rsidRDefault="00AD28CE" w:rsidP="00AD28CE">
      <w:pPr>
        <w:rPr>
          <w:rFonts w:eastAsia="Times New Roman"/>
        </w:rPr>
      </w:pPr>
    </w:p>
    <w:sectPr w:rsidR="00AD28CE" w:rsidRPr="005B4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3F060" w14:textId="77777777" w:rsidR="00E83ADB" w:rsidRDefault="00E83ADB" w:rsidP="00116637">
      <w:pPr>
        <w:spacing w:after="0" w:line="240" w:lineRule="auto"/>
      </w:pPr>
      <w:r>
        <w:separator/>
      </w:r>
    </w:p>
  </w:endnote>
  <w:endnote w:type="continuationSeparator" w:id="0">
    <w:p w14:paraId="3B9F1FDC" w14:textId="77777777" w:rsidR="00E83ADB" w:rsidRDefault="00E83ADB" w:rsidP="0011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91016"/>
      <w:docPartObj>
        <w:docPartGallery w:val="Page Numbers (Bottom of Page)"/>
        <w:docPartUnique/>
      </w:docPartObj>
    </w:sdtPr>
    <w:sdtEndPr>
      <w:rPr>
        <w:noProof/>
      </w:rPr>
    </w:sdtEndPr>
    <w:sdtContent>
      <w:p w14:paraId="69540C38" w14:textId="52A40C03" w:rsidR="00116637" w:rsidRDefault="001166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133CE" w14:textId="77777777" w:rsidR="00116637" w:rsidRDefault="0011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963FB" w14:textId="77777777" w:rsidR="00E83ADB" w:rsidRDefault="00E83ADB" w:rsidP="00116637">
      <w:pPr>
        <w:spacing w:after="0" w:line="240" w:lineRule="auto"/>
      </w:pPr>
      <w:r>
        <w:separator/>
      </w:r>
    </w:p>
  </w:footnote>
  <w:footnote w:type="continuationSeparator" w:id="0">
    <w:p w14:paraId="423BD625" w14:textId="77777777" w:rsidR="00E83ADB" w:rsidRDefault="00E83ADB" w:rsidP="00116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CE"/>
    <w:rsid w:val="000E2024"/>
    <w:rsid w:val="00116637"/>
    <w:rsid w:val="001D5F71"/>
    <w:rsid w:val="003651F4"/>
    <w:rsid w:val="00A03C3C"/>
    <w:rsid w:val="00AD28CE"/>
    <w:rsid w:val="00CC7D99"/>
    <w:rsid w:val="00DE32FF"/>
    <w:rsid w:val="00E83ADB"/>
    <w:rsid w:val="00EF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8505"/>
  <w15:chartTrackingRefBased/>
  <w15:docId w15:val="{45B6B1F4-956B-4E71-8D51-6D23F7B8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CE"/>
    <w:pPr>
      <w:spacing w:after="200" w:line="360" w:lineRule="auto"/>
    </w:pPr>
    <w:rPr>
      <w:rFonts w:ascii="Arial" w:eastAsiaTheme="minorEastAsia" w:hAnsi="Arial" w:cs="Arial"/>
      <w:sz w:val="24"/>
      <w:szCs w:val="24"/>
      <w:lang w:eastAsia="ja-JP"/>
    </w:rPr>
  </w:style>
  <w:style w:type="paragraph" w:styleId="Heading1">
    <w:name w:val="heading 1"/>
    <w:basedOn w:val="Normal"/>
    <w:next w:val="Normal"/>
    <w:link w:val="Heading1Char"/>
    <w:uiPriority w:val="9"/>
    <w:qFormat/>
    <w:rsid w:val="00A03C3C"/>
    <w:pPr>
      <w:keepNext/>
      <w:keepLines/>
      <w:spacing w:before="240" w:after="0"/>
      <w:outlineLvl w:val="0"/>
    </w:pPr>
    <w:rPr>
      <w:rFonts w:eastAsiaTheme="majorEastAsia" w:cstheme="majorBidi"/>
      <w:b/>
      <w:szCs w:val="32"/>
    </w:rPr>
  </w:style>
  <w:style w:type="paragraph" w:styleId="Heading3">
    <w:name w:val="heading 3"/>
    <w:basedOn w:val="Normal"/>
    <w:next w:val="Normal"/>
    <w:link w:val="Heading3Char"/>
    <w:autoRedefine/>
    <w:uiPriority w:val="9"/>
    <w:unhideWhenUsed/>
    <w:qFormat/>
    <w:rsid w:val="00AD28CE"/>
    <w:pPr>
      <w:keepNext/>
      <w:keepLines/>
      <w:spacing w:before="200" w:after="0" w:line="276" w:lineRule="auto"/>
      <w:ind w:left="720"/>
      <w:outlineLvl w:val="2"/>
    </w:pPr>
    <w:rPr>
      <w:rFonts w:eastAsiaTheme="majorEastAsia" w:cstheme="majorBid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C3C"/>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AD28CE"/>
    <w:rPr>
      <w:rFonts w:ascii="Arial" w:eastAsiaTheme="majorEastAsia" w:hAnsi="Arial" w:cstheme="majorBidi"/>
      <w:b/>
      <w:bCs/>
      <w:sz w:val="24"/>
      <w:szCs w:val="24"/>
    </w:rPr>
  </w:style>
  <w:style w:type="table" w:customStyle="1" w:styleId="TableGrid6">
    <w:name w:val="Table Grid6"/>
    <w:basedOn w:val="TableNormal"/>
    <w:next w:val="TableGrid"/>
    <w:uiPriority w:val="39"/>
    <w:rsid w:val="00AD28CE"/>
    <w:pPr>
      <w:spacing w:after="0" w:line="240" w:lineRule="auto"/>
    </w:pPr>
    <w:rPr>
      <w:rFonts w:ascii="Arial" w:eastAsiaTheme="minorEastAsia"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637"/>
    <w:rPr>
      <w:rFonts w:ascii="Arial" w:eastAsiaTheme="minorEastAsia" w:hAnsi="Arial" w:cs="Arial"/>
      <w:sz w:val="24"/>
      <w:szCs w:val="24"/>
      <w:lang w:eastAsia="ja-JP"/>
    </w:rPr>
  </w:style>
  <w:style w:type="paragraph" w:styleId="Footer">
    <w:name w:val="footer"/>
    <w:basedOn w:val="Normal"/>
    <w:link w:val="FooterChar"/>
    <w:uiPriority w:val="99"/>
    <w:unhideWhenUsed/>
    <w:rsid w:val="00116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637"/>
    <w:rPr>
      <w:rFonts w:ascii="Arial" w:eastAsiaTheme="minorEastAsia"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steed@qmu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7</cp:revision>
  <dcterms:created xsi:type="dcterms:W3CDTF">2020-11-10T13:14:00Z</dcterms:created>
  <dcterms:modified xsi:type="dcterms:W3CDTF">2020-12-17T10:56:00Z</dcterms:modified>
</cp:coreProperties>
</file>