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4F" w:rsidRPr="00D03605" w:rsidRDefault="00BD7F4F" w:rsidP="00BD7F4F">
      <w:pPr>
        <w:spacing w:line="480" w:lineRule="auto"/>
        <w:rPr>
          <w:b/>
          <w:bCs/>
        </w:rPr>
      </w:pPr>
      <w:r>
        <w:rPr>
          <w:b/>
          <w:bCs/>
        </w:rPr>
        <w:t>A</w:t>
      </w:r>
      <w:r w:rsidRPr="00D03605">
        <w:rPr>
          <w:b/>
          <w:bCs/>
        </w:rPr>
        <w:t xml:space="preserve"> 29</w:t>
      </w:r>
      <w:r>
        <w:rPr>
          <w:b/>
          <w:bCs/>
        </w:rPr>
        <w:t>-</w:t>
      </w:r>
      <w:r w:rsidRPr="00D03605">
        <w:rPr>
          <w:b/>
          <w:bCs/>
        </w:rPr>
        <w:t xml:space="preserve">mRNA Host Response </w:t>
      </w:r>
      <w:r>
        <w:rPr>
          <w:b/>
          <w:bCs/>
        </w:rPr>
        <w:t>Test from Blood</w:t>
      </w:r>
      <w:r w:rsidRPr="00D03605">
        <w:rPr>
          <w:b/>
          <w:bCs/>
        </w:rPr>
        <w:t xml:space="preserve"> Accurately Distinguishes Bacterial and Viral Infections Among Emergency Department Patients </w:t>
      </w:r>
    </w:p>
    <w:p w:rsidR="00BD7F4F" w:rsidRPr="00D03605" w:rsidRDefault="00BD7F4F" w:rsidP="00BD7F4F">
      <w:pPr>
        <w:spacing w:line="480" w:lineRule="auto"/>
        <w:rPr>
          <w:i/>
        </w:rPr>
      </w:pPr>
    </w:p>
    <w:p w:rsidR="00BD7F4F" w:rsidRPr="00C919B4" w:rsidRDefault="00BD7F4F" w:rsidP="00BD7F4F">
      <w:pPr>
        <w:shd w:val="clear" w:color="auto" w:fill="FFFFFF"/>
        <w:spacing w:line="480" w:lineRule="auto"/>
        <w:rPr>
          <w:color w:val="000000"/>
          <w:lang w:val="de-DE"/>
        </w:rPr>
      </w:pPr>
      <w:r w:rsidRPr="00C919B4">
        <w:rPr>
          <w:color w:val="000000"/>
          <w:lang w:val="de-DE"/>
        </w:rPr>
        <w:t>Asimina Safarika</w:t>
      </w:r>
      <w:r w:rsidRPr="00C919B4">
        <w:rPr>
          <w:color w:val="000000"/>
          <w:vertAlign w:val="superscript"/>
          <w:lang w:val="de-DE"/>
        </w:rPr>
        <w:t>1</w:t>
      </w:r>
      <w:r w:rsidRPr="00C919B4">
        <w:rPr>
          <w:color w:val="000000"/>
          <w:lang w:val="de-DE"/>
        </w:rPr>
        <w:t>, James W. Wacker</w:t>
      </w:r>
      <w:r w:rsidRPr="00C919B4">
        <w:rPr>
          <w:color w:val="000000"/>
          <w:vertAlign w:val="superscript"/>
          <w:lang w:val="de-DE"/>
        </w:rPr>
        <w:t>2</w:t>
      </w:r>
      <w:r w:rsidRPr="00C919B4">
        <w:rPr>
          <w:color w:val="000000"/>
          <w:lang w:val="de-DE"/>
        </w:rPr>
        <w:t>, Konstantinos Katsaros</w:t>
      </w:r>
      <w:r w:rsidRPr="00C919B4">
        <w:rPr>
          <w:color w:val="000000"/>
          <w:vertAlign w:val="superscript"/>
          <w:lang w:val="de-DE"/>
        </w:rPr>
        <w:t>3</w:t>
      </w:r>
      <w:r w:rsidRPr="00C919B4">
        <w:rPr>
          <w:color w:val="000000"/>
          <w:lang w:val="de-DE"/>
        </w:rPr>
        <w:t>, Nicky Solomonidi</w:t>
      </w:r>
      <w:r w:rsidRPr="00C919B4">
        <w:rPr>
          <w:color w:val="000000"/>
          <w:vertAlign w:val="superscript"/>
          <w:lang w:val="de-DE"/>
        </w:rPr>
        <w:t>1</w:t>
      </w:r>
      <w:r w:rsidRPr="00C919B4">
        <w:rPr>
          <w:color w:val="000000"/>
          <w:lang w:val="de-DE"/>
        </w:rPr>
        <w:t>,</w:t>
      </w:r>
    </w:p>
    <w:p w:rsidR="00BD7F4F" w:rsidRPr="00C919B4" w:rsidRDefault="00BD7F4F" w:rsidP="00BD7F4F">
      <w:pPr>
        <w:shd w:val="clear" w:color="auto" w:fill="FFFFFF"/>
        <w:spacing w:line="480" w:lineRule="auto"/>
        <w:rPr>
          <w:i/>
          <w:iCs/>
          <w:color w:val="000000"/>
          <w:lang w:val="de-DE"/>
        </w:rPr>
      </w:pPr>
      <w:r w:rsidRPr="00C919B4">
        <w:rPr>
          <w:color w:val="000000"/>
          <w:lang w:val="de-DE"/>
        </w:rPr>
        <w:t>George Giannikopoulos</w:t>
      </w:r>
      <w:r w:rsidRPr="00C919B4">
        <w:rPr>
          <w:color w:val="000000"/>
          <w:vertAlign w:val="superscript"/>
          <w:lang w:val="de-DE"/>
        </w:rPr>
        <w:t>4</w:t>
      </w:r>
      <w:r w:rsidRPr="00C919B4">
        <w:rPr>
          <w:color w:val="000000"/>
          <w:lang w:val="de-DE"/>
        </w:rPr>
        <w:t>, Antigone Kostaki</w:t>
      </w:r>
      <w:r w:rsidRPr="00C919B4">
        <w:rPr>
          <w:color w:val="000000"/>
          <w:vertAlign w:val="superscript"/>
          <w:lang w:val="de-DE"/>
        </w:rPr>
        <w:t>1</w:t>
      </w:r>
      <w:r w:rsidRPr="00C919B4">
        <w:rPr>
          <w:color w:val="000000"/>
          <w:lang w:val="de-DE"/>
        </w:rPr>
        <w:t>, Ioannis M. Koutelidakis</w:t>
      </w:r>
      <w:r w:rsidRPr="00C919B4">
        <w:rPr>
          <w:color w:val="000000"/>
          <w:vertAlign w:val="superscript"/>
          <w:lang w:val="de-DE"/>
        </w:rPr>
        <w:t>5</w:t>
      </w:r>
      <w:r w:rsidRPr="00C919B4">
        <w:rPr>
          <w:color w:val="000000"/>
          <w:lang w:val="de-DE"/>
        </w:rPr>
        <w:t>, Sabrina M. Coyle</w:t>
      </w:r>
      <w:r w:rsidRPr="00C919B4">
        <w:rPr>
          <w:color w:val="000000"/>
          <w:vertAlign w:val="superscript"/>
          <w:lang w:val="de-DE"/>
        </w:rPr>
        <w:t>2</w:t>
      </w:r>
      <w:r w:rsidRPr="00C919B4">
        <w:rPr>
          <w:color w:val="000000"/>
          <w:lang w:val="de-DE"/>
        </w:rPr>
        <w:t>, Henry K. Cheng</w:t>
      </w:r>
      <w:r w:rsidRPr="00C919B4">
        <w:rPr>
          <w:color w:val="000000"/>
          <w:vertAlign w:val="superscript"/>
          <w:lang w:val="de-DE"/>
        </w:rPr>
        <w:t>2</w:t>
      </w:r>
      <w:r w:rsidRPr="00C919B4">
        <w:rPr>
          <w:color w:val="000000"/>
          <w:lang w:val="de-DE"/>
        </w:rPr>
        <w:t>, Oliver Liesenfeld</w:t>
      </w:r>
      <w:r w:rsidRPr="00C919B4">
        <w:rPr>
          <w:color w:val="000000"/>
          <w:vertAlign w:val="superscript"/>
          <w:lang w:val="de-DE"/>
        </w:rPr>
        <w:t>2</w:t>
      </w:r>
      <w:r w:rsidRPr="00C919B4">
        <w:rPr>
          <w:color w:val="000000"/>
          <w:lang w:val="de-DE"/>
        </w:rPr>
        <w:t>, Timothy E. Sweeney</w:t>
      </w:r>
      <w:r w:rsidRPr="00C919B4">
        <w:rPr>
          <w:color w:val="000000"/>
          <w:vertAlign w:val="superscript"/>
          <w:lang w:val="de-DE"/>
        </w:rPr>
        <w:t>2</w:t>
      </w:r>
      <w:r w:rsidRPr="00C919B4">
        <w:rPr>
          <w:color w:val="000000"/>
          <w:lang w:val="de-DE"/>
        </w:rPr>
        <w:t>, Evangelos J. Giamarellos-Bourboulis</w:t>
      </w:r>
      <w:r w:rsidRPr="00C919B4">
        <w:rPr>
          <w:color w:val="000000"/>
          <w:vertAlign w:val="superscript"/>
          <w:lang w:val="de-DE"/>
        </w:rPr>
        <w:t>1</w:t>
      </w:r>
    </w:p>
    <w:p w:rsidR="00BD7F4F" w:rsidRPr="00C919B4" w:rsidRDefault="00BD7F4F" w:rsidP="00BD7F4F">
      <w:pPr>
        <w:spacing w:line="480" w:lineRule="auto"/>
        <w:rPr>
          <w:lang w:val="de-DE"/>
        </w:rPr>
      </w:pPr>
    </w:p>
    <w:p w:rsidR="00BD7F4F" w:rsidRPr="00D03605" w:rsidRDefault="00BD7F4F" w:rsidP="00BD7F4F">
      <w:pPr>
        <w:spacing w:line="480" w:lineRule="auto"/>
      </w:pPr>
      <w:r w:rsidRPr="00D03605">
        <w:t>Affiliations:</w:t>
      </w:r>
    </w:p>
    <w:p w:rsidR="00BD7F4F" w:rsidRPr="00D03605" w:rsidRDefault="00BD7F4F" w:rsidP="00BD7F4F">
      <w:pPr>
        <w:spacing w:line="480" w:lineRule="auto"/>
      </w:pPr>
      <w:r w:rsidRPr="00D03605">
        <w:rPr>
          <w:vertAlign w:val="superscript"/>
        </w:rPr>
        <w:t>1</w:t>
      </w:r>
      <w:r w:rsidRPr="00D03605">
        <w:t>4th Department of Internal Medicine, National and Kapodistrian University of Athens, Greece;</w:t>
      </w:r>
      <w:r w:rsidRPr="00D03605">
        <w:br/>
      </w:r>
      <w:r w:rsidRPr="00D03605">
        <w:rPr>
          <w:vertAlign w:val="superscript"/>
        </w:rPr>
        <w:t>2</w:t>
      </w:r>
      <w:r w:rsidRPr="00D03605">
        <w:t>Inflammatix Inc, Clinical Affairs, Burlingame, CA, United States;</w:t>
      </w:r>
    </w:p>
    <w:p w:rsidR="00BD7F4F" w:rsidRPr="00C919B4" w:rsidRDefault="00BD7F4F" w:rsidP="00BD7F4F">
      <w:pPr>
        <w:spacing w:line="480" w:lineRule="auto"/>
      </w:pPr>
      <w:r>
        <w:rPr>
          <w:vertAlign w:val="superscript"/>
        </w:rPr>
        <w:t>3</w:t>
      </w:r>
      <w:r>
        <w:t>Department of Surgery, Nafplion General Hospital, Greece;</w:t>
      </w:r>
    </w:p>
    <w:p w:rsidR="00BD7F4F" w:rsidRPr="00D03605" w:rsidRDefault="00BD7F4F" w:rsidP="00BD7F4F">
      <w:pPr>
        <w:spacing w:line="480" w:lineRule="auto"/>
      </w:pPr>
      <w:r>
        <w:rPr>
          <w:vertAlign w:val="superscript"/>
        </w:rPr>
        <w:t>4</w:t>
      </w:r>
      <w:r w:rsidRPr="00D03605">
        <w:t>Department of Internal Medicine, Syros General Hospital, Greece;</w:t>
      </w:r>
    </w:p>
    <w:p w:rsidR="00BD7F4F" w:rsidRPr="00D03605" w:rsidRDefault="00BD7F4F" w:rsidP="00BD7F4F">
      <w:pPr>
        <w:spacing w:line="480" w:lineRule="auto"/>
        <w:rPr>
          <w:b/>
        </w:rPr>
      </w:pPr>
      <w:r>
        <w:rPr>
          <w:vertAlign w:val="superscript"/>
        </w:rPr>
        <w:t>5</w:t>
      </w:r>
      <w:r w:rsidRPr="00D03605">
        <w:t>2</w:t>
      </w:r>
      <w:r w:rsidRPr="00D03605">
        <w:rPr>
          <w:vertAlign w:val="superscript"/>
        </w:rPr>
        <w:t>nd</w:t>
      </w:r>
      <w:r w:rsidRPr="00D03605">
        <w:t xml:space="preserve"> Department of Surgery, Aristotle University of Thessaloniki, Greece</w:t>
      </w:r>
    </w:p>
    <w:p w:rsidR="00BD7F4F" w:rsidRDefault="00BD7F4F" w:rsidP="00BD7F4F">
      <w:pPr>
        <w:spacing w:line="480" w:lineRule="auto"/>
      </w:pPr>
    </w:p>
    <w:p w:rsidR="00BD7F4F" w:rsidRPr="00D03605" w:rsidRDefault="00BD7F4F" w:rsidP="00BD7F4F">
      <w:pPr>
        <w:spacing w:line="480" w:lineRule="auto"/>
      </w:pPr>
      <w:r w:rsidRPr="00D03605">
        <w:t>* To whom correspondence should be addressed:</w:t>
      </w:r>
    </w:p>
    <w:p w:rsidR="00BD7F4F" w:rsidRPr="00DB58F1" w:rsidRDefault="00BD7F4F" w:rsidP="00BD7F4F">
      <w:pPr>
        <w:spacing w:line="480" w:lineRule="auto"/>
        <w:rPr>
          <w:lang w:val="es-MX"/>
        </w:rPr>
      </w:pPr>
      <w:r w:rsidRPr="00DB58F1">
        <w:rPr>
          <w:lang w:val="es-MX"/>
        </w:rPr>
        <w:t>Evangelos J. Giamarellos-Bourboulis, MD, PhD, FISAC</w:t>
      </w:r>
    </w:p>
    <w:p w:rsidR="00BD7F4F" w:rsidRPr="00D03605" w:rsidRDefault="00BD7F4F" w:rsidP="00BD7F4F">
      <w:pPr>
        <w:spacing w:line="480" w:lineRule="auto"/>
      </w:pPr>
      <w:r w:rsidRPr="00D03605">
        <w:t>Professor of Internal Medicine</w:t>
      </w:r>
    </w:p>
    <w:p w:rsidR="00BD7F4F" w:rsidRPr="00D03605" w:rsidRDefault="00BD7F4F" w:rsidP="00BD7F4F">
      <w:pPr>
        <w:spacing w:line="480" w:lineRule="auto"/>
      </w:pPr>
      <w:r w:rsidRPr="00D03605">
        <w:t>4</w:t>
      </w:r>
      <w:r w:rsidRPr="00D03605">
        <w:rPr>
          <w:vertAlign w:val="superscript"/>
        </w:rPr>
        <w:t>th</w:t>
      </w:r>
      <w:r w:rsidRPr="00D03605">
        <w:t> Department of Internal Medicine</w:t>
      </w:r>
    </w:p>
    <w:p w:rsidR="00BD7F4F" w:rsidRPr="00D03605" w:rsidRDefault="00BD7F4F" w:rsidP="00BD7F4F">
      <w:pPr>
        <w:spacing w:line="480" w:lineRule="auto"/>
      </w:pPr>
      <w:r w:rsidRPr="00D03605">
        <w:t>ATTIKON University Hospital</w:t>
      </w:r>
    </w:p>
    <w:p w:rsidR="00BD7F4F" w:rsidRPr="00D03605" w:rsidRDefault="00BD7F4F" w:rsidP="00BD7F4F">
      <w:pPr>
        <w:spacing w:line="480" w:lineRule="auto"/>
      </w:pPr>
      <w:r w:rsidRPr="00D03605">
        <w:t>1 Rimini Str</w:t>
      </w:r>
    </w:p>
    <w:p w:rsidR="00BD7F4F" w:rsidRPr="00D03605" w:rsidRDefault="00BD7F4F" w:rsidP="00BD7F4F">
      <w:pPr>
        <w:spacing w:line="480" w:lineRule="auto"/>
      </w:pPr>
      <w:r w:rsidRPr="00D03605">
        <w:t>12462 Athens</w:t>
      </w:r>
    </w:p>
    <w:p w:rsidR="00BD7F4F" w:rsidRPr="00D03605" w:rsidRDefault="00BD7F4F" w:rsidP="00BD7F4F">
      <w:pPr>
        <w:spacing w:line="480" w:lineRule="auto"/>
      </w:pPr>
      <w:r w:rsidRPr="00D03605">
        <w:t>Greece</w:t>
      </w:r>
    </w:p>
    <w:p w:rsidR="00BD7F4F" w:rsidRPr="009E681F" w:rsidRDefault="00BD7F4F" w:rsidP="00BD7F4F">
      <w:pPr>
        <w:pStyle w:val="Standard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681F">
        <w:rPr>
          <w:rFonts w:ascii="Times New Roman" w:hAnsi="Times New Roman" w:cs="Times New Roman"/>
          <w:b/>
          <w:sz w:val="24"/>
          <w:szCs w:val="24"/>
        </w:rPr>
        <w:lastRenderedPageBreak/>
        <w:t>Supplementary Table S1</w:t>
      </w:r>
      <w:r w:rsidRPr="009E681F">
        <w:rPr>
          <w:rFonts w:ascii="Times New Roman" w:hAnsi="Times New Roman" w:cs="Times New Roman"/>
          <w:bCs/>
          <w:sz w:val="24"/>
          <w:szCs w:val="24"/>
        </w:rPr>
        <w:t xml:space="preserve"> Linear Regression with </w:t>
      </w:r>
      <w:r>
        <w:rPr>
          <w:rFonts w:ascii="Times New Roman" w:hAnsi="Times New Roman" w:cs="Times New Roman"/>
          <w:bCs/>
          <w:sz w:val="24"/>
          <w:szCs w:val="24"/>
        </w:rPr>
        <w:t>InSep</w:t>
      </w:r>
      <w:r w:rsidRPr="009E681F">
        <w:rPr>
          <w:rFonts w:ascii="Times New Roman" w:hAnsi="Times New Roman" w:cs="Times New Roman"/>
          <w:bCs/>
          <w:sz w:val="24"/>
          <w:szCs w:val="24"/>
        </w:rPr>
        <w:t xml:space="preserve"> Bacterial Score as Dependent Variable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7F4F" w:rsidRPr="009E681F" w:rsidRDefault="00BD7F4F" w:rsidP="00BD7F4F">
      <w:pPr>
        <w:pStyle w:val="Standard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681F">
        <w:rPr>
          <w:rFonts w:ascii="Times New Roman" w:hAnsi="Times New Roman" w:cs="Times New Roman"/>
          <w:bCs/>
          <w:sz w:val="24"/>
          <w:szCs w:val="24"/>
        </w:rPr>
        <w:t xml:space="preserve">Linear regression revealed that other than lactate the markers listed are not influencing the InSep score. </w:t>
      </w:r>
    </w:p>
    <w:p w:rsidR="00BD7F4F" w:rsidRPr="009E681F" w:rsidRDefault="00BD7F4F" w:rsidP="00BD7F4F">
      <w:pPr>
        <w:pStyle w:val="Standard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3"/>
        <w:gridCol w:w="1282"/>
        <w:gridCol w:w="1282"/>
        <w:gridCol w:w="1099"/>
        <w:gridCol w:w="1282"/>
        <w:gridCol w:w="452"/>
      </w:tblGrid>
      <w:tr w:rsidR="00BD7F4F" w:rsidRPr="009E681F" w:rsidTr="00C45C4B">
        <w:trPr>
          <w:trHeight w:val="256"/>
        </w:trPr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9E681F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Coefficients: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D7F4F" w:rsidRPr="009E681F" w:rsidTr="00C45C4B">
        <w:trPr>
          <w:trHeight w:val="256"/>
        </w:trPr>
        <w:tc>
          <w:tcPr>
            <w:tcW w:w="2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F4F" w:rsidRPr="009E681F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</w:rPr>
              <w:t>(Intercept)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-0.007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-0.069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D7F4F" w:rsidRPr="009E681F" w:rsidTr="00C45C4B">
        <w:trPr>
          <w:trHeight w:val="25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F4F" w:rsidRPr="009E681F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</w:rPr>
              <w:t>Consensus Adjudication: bacterial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BD7F4F" w:rsidRPr="009E681F" w:rsidTr="00C45C4B">
        <w:trPr>
          <w:trHeight w:val="25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F4F" w:rsidRPr="009E681F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</w:rPr>
              <w:t>Age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D7F4F" w:rsidRPr="009E681F" w:rsidTr="00C45C4B">
        <w:trPr>
          <w:trHeight w:val="25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</w:rPr>
              <w:t>Sex - Male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D7F4F" w:rsidRPr="009E681F" w:rsidTr="00C45C4B">
        <w:trPr>
          <w:trHeight w:val="25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</w:rPr>
              <w:t>Immunocompromised - Yes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D7F4F" w:rsidRPr="009E681F" w:rsidTr="00C45C4B">
        <w:trPr>
          <w:trHeight w:val="256"/>
        </w:trPr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</w:rPr>
              <w:t>Lactate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9E681F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81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</w:tbl>
    <w:p w:rsidR="00BD7F4F" w:rsidRDefault="00BD7F4F" w:rsidP="00BD7F4F">
      <w:pPr>
        <w:pStyle w:val="Standard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7F4F" w:rsidRDefault="00BD7F4F" w:rsidP="00BD7F4F">
      <w:pPr>
        <w:pStyle w:val="Standard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7F4F" w:rsidRDefault="00BD7F4F" w:rsidP="00BD7F4F">
      <w:pPr>
        <w:pStyle w:val="Standard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D7F4F" w:rsidRDefault="00BD7F4F" w:rsidP="00BD7F4F">
      <w:pPr>
        <w:pStyle w:val="Standard"/>
        <w:spacing w:line="240" w:lineRule="auto"/>
        <w:rPr>
          <w:rFonts w:ascii="Times New Roman" w:hAnsi="Times New Roman" w:cs="Times New Roman"/>
          <w:bCs/>
          <w:sz w:val="20"/>
          <w:szCs w:val="20"/>
        </w:rPr>
        <w:sectPr w:rsidR="00BD7F4F" w:rsidSect="008310BF">
          <w:footerReference w:type="even" r:id="rId5"/>
          <w:footerReference w:type="default" r:id="rId6"/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:rsidR="00BD7F4F" w:rsidRPr="003106D4" w:rsidRDefault="00BD7F4F" w:rsidP="00BD7F4F">
      <w:pPr>
        <w:pStyle w:val="Standard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06D4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106D4">
        <w:rPr>
          <w:rFonts w:ascii="Times New Roman" w:hAnsi="Times New Roman" w:cs="Times New Roman"/>
          <w:bCs/>
          <w:sz w:val="24"/>
          <w:szCs w:val="24"/>
        </w:rPr>
        <w:t xml:space="preserve"> Linear Regression with </w:t>
      </w:r>
      <w:r>
        <w:rPr>
          <w:rFonts w:ascii="Times New Roman" w:hAnsi="Times New Roman" w:cs="Times New Roman"/>
          <w:bCs/>
          <w:sz w:val="24"/>
          <w:szCs w:val="24"/>
        </w:rPr>
        <w:t>InSep</w:t>
      </w:r>
      <w:r w:rsidRPr="003106D4">
        <w:rPr>
          <w:rFonts w:ascii="Times New Roman" w:hAnsi="Times New Roman" w:cs="Times New Roman"/>
          <w:bCs/>
          <w:sz w:val="24"/>
          <w:szCs w:val="24"/>
        </w:rPr>
        <w:t xml:space="preserve"> Viral Score as Dependent Variable. </w:t>
      </w:r>
      <w:r w:rsidRPr="009E681F">
        <w:rPr>
          <w:rFonts w:ascii="Times New Roman" w:hAnsi="Times New Roman" w:cs="Times New Roman"/>
          <w:bCs/>
          <w:sz w:val="24"/>
          <w:szCs w:val="24"/>
        </w:rPr>
        <w:t xml:space="preserve">Linear regression revealed that other than lactate the markers listed are not influencing the InSep score. </w:t>
      </w:r>
    </w:p>
    <w:p w:rsidR="00BD7F4F" w:rsidRPr="003106D4" w:rsidRDefault="00BD7F4F" w:rsidP="00BD7F4F">
      <w:pPr>
        <w:pStyle w:val="Standard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4"/>
        <w:gridCol w:w="1382"/>
        <w:gridCol w:w="1382"/>
        <w:gridCol w:w="1092"/>
        <w:gridCol w:w="1122"/>
        <w:gridCol w:w="448"/>
      </w:tblGrid>
      <w:tr w:rsidR="00BD7F4F" w:rsidRPr="003106D4" w:rsidTr="00C45C4B">
        <w:trPr>
          <w:trHeight w:val="256"/>
        </w:trPr>
        <w:tc>
          <w:tcPr>
            <w:tcW w:w="28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3106D4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Coefficients: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D7F4F" w:rsidRPr="003106D4" w:rsidTr="00C45C4B">
        <w:trPr>
          <w:trHeight w:val="256"/>
        </w:trPr>
        <w:tc>
          <w:tcPr>
            <w:tcW w:w="28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F4F" w:rsidRPr="003106D4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</w:rPr>
              <w:t>(Intercept)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1.473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D7F4F" w:rsidRPr="003106D4" w:rsidTr="00C45C4B">
        <w:trPr>
          <w:trHeight w:val="25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F4F" w:rsidRPr="003106D4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</w:rPr>
              <w:t>Consensus Adjudication: viral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BD7F4F" w:rsidRPr="003106D4" w:rsidTr="00C45C4B">
        <w:trPr>
          <w:trHeight w:val="25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F4F" w:rsidRPr="003106D4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</w:rPr>
              <w:t>Age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D7F4F" w:rsidRPr="003106D4" w:rsidTr="00C45C4B">
        <w:trPr>
          <w:trHeight w:val="25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</w:rPr>
              <w:t>Sex - Male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-0.355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D7F4F" w:rsidRPr="003106D4" w:rsidTr="00C45C4B">
        <w:trPr>
          <w:trHeight w:val="25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</w:rPr>
              <w:t>Immunocompromised - Yes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D7F4F" w:rsidRPr="003106D4" w:rsidTr="00C45C4B">
        <w:trPr>
          <w:trHeight w:val="256"/>
        </w:trPr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</w:rPr>
              <w:t>Lactate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F4F" w:rsidRPr="003106D4" w:rsidRDefault="00BD7F4F" w:rsidP="00C45C4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6D4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</w:tbl>
    <w:p w:rsidR="00BD7F4F" w:rsidRPr="003106D4" w:rsidRDefault="00BD7F4F" w:rsidP="00BD7F4F">
      <w:pPr>
        <w:rPr>
          <w:bCs/>
        </w:rPr>
      </w:pPr>
    </w:p>
    <w:p w:rsidR="00BD7F4F" w:rsidRDefault="00BD7F4F" w:rsidP="00BD7F4F">
      <w:pPr>
        <w:rPr>
          <w:b/>
        </w:rPr>
      </w:pPr>
      <w:r>
        <w:rPr>
          <w:b/>
        </w:rPr>
        <w:br w:type="page"/>
      </w:r>
    </w:p>
    <w:p w:rsidR="00BD7F4F" w:rsidRDefault="00BD7F4F" w:rsidP="00BD7F4F">
      <w:pPr>
        <w:rPr>
          <w:b/>
        </w:rPr>
      </w:pPr>
      <w:r>
        <w:rPr>
          <w:b/>
        </w:rPr>
        <w:t>Supplementary Figures</w:t>
      </w:r>
    </w:p>
    <w:p w:rsidR="00BD7F4F" w:rsidRDefault="00BD7F4F" w:rsidP="00BD7F4F">
      <w:pPr>
        <w:rPr>
          <w:b/>
          <w:i/>
          <w:iCs/>
          <w:color w:val="FF0000"/>
        </w:rPr>
      </w:pPr>
    </w:p>
    <w:p w:rsidR="00BD7F4F" w:rsidRDefault="00BD7F4F" w:rsidP="00BD7F4F">
      <w:pPr>
        <w:rPr>
          <w:b/>
          <w:i/>
          <w:iCs/>
          <w:color w:val="FF0000"/>
        </w:rPr>
      </w:pPr>
    </w:p>
    <w:p w:rsidR="00BD7F4F" w:rsidRDefault="00BD7F4F" w:rsidP="00BD7F4F">
      <w:r w:rsidRPr="00FA592E">
        <w:rPr>
          <w:noProof/>
          <w:lang w:val="en-GB" w:eastAsia="en-GB"/>
        </w:rPr>
        <w:drawing>
          <wp:inline distT="0" distB="0" distL="0" distR="0" wp14:anchorId="5DC34F51" wp14:editId="28C6C146">
            <wp:extent cx="4673600" cy="396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4F" w:rsidRDefault="00BD7F4F" w:rsidP="00BD7F4F">
      <w:pPr>
        <w:ind w:firstLine="720"/>
        <w:rPr>
          <w:b/>
          <w:bCs/>
        </w:rPr>
      </w:pPr>
    </w:p>
    <w:p w:rsidR="00BD7F4F" w:rsidRDefault="00BD7F4F" w:rsidP="00BD7F4F">
      <w:r>
        <w:rPr>
          <w:b/>
          <w:bCs/>
        </w:rPr>
        <w:t xml:space="preserve">Supplementary Fig. S1 </w:t>
      </w:r>
      <w:r w:rsidRPr="006F211B">
        <w:t>InSep concordance with results of bacterial and viral pathogen detection tests. InSep results segmented by interpretation bands compared to conventional diagnostic test results for</w:t>
      </w:r>
      <w:r>
        <w:t xml:space="preserve"> the presence of (A) bacterial and (B) viral pathogens. When considering only ‘Very likely’ results, InSep showed a positive agreement of 94% and 89% compared to positive bacterial cultures and viral findings in respiratory syndromic panels, respectively. </w:t>
      </w:r>
    </w:p>
    <w:p w:rsidR="00BD7F4F" w:rsidRPr="00572B47" w:rsidRDefault="00BD7F4F" w:rsidP="00BD7F4F">
      <w:pPr>
        <w:rPr>
          <w:b/>
        </w:rPr>
      </w:pPr>
      <w:r>
        <w:rPr>
          <w:b/>
        </w:rPr>
        <w:br w:type="page"/>
      </w:r>
    </w:p>
    <w:p w:rsidR="00BD7F4F" w:rsidRDefault="00BD7F4F" w:rsidP="00BD7F4F">
      <w:pPr>
        <w:spacing w:line="480" w:lineRule="auto"/>
        <w:rPr>
          <w:b/>
        </w:rPr>
      </w:pPr>
      <w:r w:rsidRPr="008600A4">
        <w:rPr>
          <w:b/>
          <w:noProof/>
          <w:lang w:val="en-GB" w:eastAsia="en-GB"/>
        </w:rPr>
        <w:drawing>
          <wp:inline distT="0" distB="0" distL="0" distR="0" wp14:anchorId="6BF17504" wp14:editId="29230B72">
            <wp:extent cx="5499100" cy="615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4F" w:rsidRDefault="00BD7F4F" w:rsidP="00BD7F4F">
      <w:pPr>
        <w:rPr>
          <w:bCs/>
        </w:rPr>
      </w:pPr>
      <w:r>
        <w:rPr>
          <w:b/>
        </w:rPr>
        <w:t xml:space="preserve">Supplementary Fig. S2 </w:t>
      </w:r>
      <w:r w:rsidRPr="006F211B">
        <w:rPr>
          <w:bCs/>
        </w:rPr>
        <w:t>InSep performance in immunocompromised patients. InSep</w:t>
      </w:r>
      <w:r>
        <w:rPr>
          <w:bCs/>
        </w:rPr>
        <w:t xml:space="preserve"> (A) bacterial scores and (B) viral score results segmented by interpretation bands and immune status in the 20 (out of 102) consensus adjudicated patients who are immunocompromised. </w:t>
      </w:r>
      <w:bookmarkStart w:id="0" w:name="_GoBack"/>
      <w:bookmarkEnd w:id="0"/>
      <w:r>
        <w:rPr>
          <w:bCs/>
        </w:rPr>
        <w:t>(C) shows the same boxplots as in Fig. 2) but with immunocompromised patients colored in green and dotted red lines which separate the four interpretation bands.</w:t>
      </w:r>
    </w:p>
    <w:p w:rsidR="00FF62CF" w:rsidRDefault="00FF62CF"/>
    <w:sectPr w:rsidR="00FF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65871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91FCC" w:rsidRDefault="00BD7F4F" w:rsidP="001A26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91FCC" w:rsidRDefault="00BD7F4F" w:rsidP="00C45C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54466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91FCC" w:rsidRDefault="00BD7F4F" w:rsidP="001A26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91FCC" w:rsidRPr="007225D8" w:rsidRDefault="00BD7F4F" w:rsidP="001A2616">
    <w:pPr>
      <w:pStyle w:val="Footer"/>
      <w:ind w:right="360"/>
      <w:jc w:val="center"/>
    </w:pPr>
  </w:p>
  <w:p w:rsidR="00D91FCC" w:rsidRDefault="00BD7F4F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F"/>
    <w:rsid w:val="00BD7F4F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4F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D7F4F"/>
  </w:style>
  <w:style w:type="paragraph" w:styleId="Footer">
    <w:name w:val="footer"/>
    <w:basedOn w:val="Normal"/>
    <w:link w:val="FooterChar"/>
    <w:uiPriority w:val="99"/>
    <w:rsid w:val="00BD7F4F"/>
    <w:pPr>
      <w:tabs>
        <w:tab w:val="center" w:pos="4680"/>
        <w:tab w:val="right" w:pos="9360"/>
      </w:tabs>
      <w:overflowPunct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BD7F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BD7F4F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BD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4F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D7F4F"/>
  </w:style>
  <w:style w:type="paragraph" w:styleId="Footer">
    <w:name w:val="footer"/>
    <w:basedOn w:val="Normal"/>
    <w:link w:val="FooterChar"/>
    <w:uiPriority w:val="99"/>
    <w:rsid w:val="00BD7F4F"/>
    <w:pPr>
      <w:tabs>
        <w:tab w:val="center" w:pos="4680"/>
        <w:tab w:val="right" w:pos="9360"/>
      </w:tabs>
      <w:overflowPunct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BD7F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BD7F4F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BD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2472</Characters>
  <Application>Microsoft Office Word</Application>
  <DocSecurity>0</DocSecurity>
  <Lines>20</Lines>
  <Paragraphs>5</Paragraphs>
  <ScaleCrop>false</ScaleCrop>
  <Company>HP Inc.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</dc:creator>
  <cp:lastModifiedBy>Evangelos</cp:lastModifiedBy>
  <cp:revision>1</cp:revision>
  <dcterms:created xsi:type="dcterms:W3CDTF">2020-11-28T15:22:00Z</dcterms:created>
  <dcterms:modified xsi:type="dcterms:W3CDTF">2020-11-28T15:28:00Z</dcterms:modified>
</cp:coreProperties>
</file>