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CF4D" w14:textId="77777777" w:rsidR="00EC7C85" w:rsidRDefault="00EC7C85" w:rsidP="00F125EE">
      <w:pPr>
        <w:rPr>
          <w:sz w:val="36"/>
          <w:szCs w:val="36"/>
        </w:rPr>
      </w:pPr>
    </w:p>
    <w:p w14:paraId="33788641" w14:textId="77777777" w:rsidR="00F125EE" w:rsidRDefault="00F125EE" w:rsidP="00FA1481">
      <w:pPr>
        <w:jc w:val="center"/>
        <w:rPr>
          <w:sz w:val="36"/>
          <w:szCs w:val="36"/>
        </w:rPr>
      </w:pPr>
    </w:p>
    <w:p w14:paraId="31C337D1" w14:textId="72F1A830" w:rsidR="00D04BCF" w:rsidRPr="00DD4A6B" w:rsidRDefault="00BB2D2A" w:rsidP="00FA1481">
      <w:pPr>
        <w:jc w:val="center"/>
        <w:rPr>
          <w:b/>
          <w:bCs/>
          <w:sz w:val="36"/>
          <w:szCs w:val="36"/>
        </w:rPr>
      </w:pPr>
      <w:r w:rsidRPr="00DD4A6B">
        <w:rPr>
          <w:b/>
          <w:bCs/>
          <w:sz w:val="36"/>
          <w:szCs w:val="36"/>
        </w:rPr>
        <w:t xml:space="preserve">Supplementary </w:t>
      </w:r>
      <w:r w:rsidR="000A2DA1" w:rsidRPr="00DD4A6B">
        <w:rPr>
          <w:b/>
          <w:bCs/>
          <w:sz w:val="36"/>
          <w:szCs w:val="36"/>
        </w:rPr>
        <w:t>Information</w:t>
      </w:r>
      <w:r w:rsidR="009743A9" w:rsidRPr="00DD4A6B">
        <w:rPr>
          <w:b/>
          <w:bCs/>
          <w:sz w:val="36"/>
          <w:szCs w:val="36"/>
        </w:rPr>
        <w:t xml:space="preserve"> for</w:t>
      </w:r>
    </w:p>
    <w:p w14:paraId="29411C5A" w14:textId="77777777" w:rsidR="005001AC" w:rsidRPr="00DD4A6B" w:rsidRDefault="005001AC">
      <w:pPr>
        <w:rPr>
          <w:b/>
          <w:bCs/>
        </w:rPr>
      </w:pPr>
    </w:p>
    <w:p w14:paraId="339B31F7" w14:textId="18F1B244" w:rsidR="00015F74" w:rsidRPr="00DD4A6B" w:rsidRDefault="006614B9" w:rsidP="003B40E6">
      <w:pPr>
        <w:jc w:val="center"/>
        <w:rPr>
          <w:b/>
          <w:bCs/>
          <w:sz w:val="28"/>
          <w:szCs w:val="28"/>
        </w:rPr>
      </w:pPr>
      <w:r>
        <w:rPr>
          <w:b/>
          <w:bCs/>
          <w:sz w:val="28"/>
          <w:szCs w:val="28"/>
        </w:rPr>
        <w:t>A health and food-system analysis of Brexit-related policy approaches</w:t>
      </w:r>
    </w:p>
    <w:p w14:paraId="567D4169" w14:textId="77777777" w:rsidR="00AB105E" w:rsidRPr="007108F5" w:rsidRDefault="00AB105E" w:rsidP="003B40E6">
      <w:pPr>
        <w:jc w:val="center"/>
        <w:rPr>
          <w:sz w:val="28"/>
          <w:szCs w:val="28"/>
        </w:rPr>
      </w:pPr>
    </w:p>
    <w:p w14:paraId="5BBBF32C" w14:textId="155920E2" w:rsidR="00015F74" w:rsidRDefault="00015F74">
      <w:pPr>
        <w:rPr>
          <w:b/>
        </w:rPr>
      </w:pPr>
    </w:p>
    <w:p w14:paraId="766A70B5" w14:textId="77777777" w:rsidR="00C4348F" w:rsidRPr="000A2DA1" w:rsidRDefault="00C4348F" w:rsidP="00C4348F">
      <w:pPr>
        <w:jc w:val="center"/>
        <w:rPr>
          <w:szCs w:val="24"/>
          <w:lang w:val="en-GB"/>
        </w:rPr>
      </w:pPr>
      <w:r w:rsidRPr="000A2DA1">
        <w:rPr>
          <w:szCs w:val="24"/>
          <w:lang w:val="en-GB"/>
        </w:rPr>
        <w:t>F. Freund, M. Springmann</w:t>
      </w:r>
      <w:r w:rsidRPr="000A2DA1">
        <w:rPr>
          <w:lang w:val="en-GB"/>
        </w:rPr>
        <w:t>*</w:t>
      </w:r>
    </w:p>
    <w:p w14:paraId="6C72D63F" w14:textId="77777777" w:rsidR="00C4348F" w:rsidRPr="000A2DA1" w:rsidRDefault="00C4348F" w:rsidP="00C4348F">
      <w:pPr>
        <w:jc w:val="center"/>
        <w:rPr>
          <w:szCs w:val="24"/>
          <w:lang w:val="en-GB"/>
        </w:rPr>
      </w:pPr>
    </w:p>
    <w:p w14:paraId="0C9230E4" w14:textId="77777777" w:rsidR="00C4348F" w:rsidRDefault="00C4348F" w:rsidP="00C4348F">
      <w:pPr>
        <w:jc w:val="center"/>
        <w:rPr>
          <w:szCs w:val="24"/>
        </w:rPr>
      </w:pPr>
      <w:r>
        <w:rPr>
          <w:szCs w:val="24"/>
        </w:rPr>
        <w:t xml:space="preserve">Correspondence to: </w:t>
      </w:r>
      <w:r>
        <w:t>marco.springmann@ndph.ox.ac.uk</w:t>
      </w:r>
    </w:p>
    <w:p w14:paraId="5F6A53FF" w14:textId="77777777" w:rsidR="00C4348F" w:rsidRDefault="00C4348F" w:rsidP="00C4348F"/>
    <w:p w14:paraId="174F3387" w14:textId="54788913" w:rsidR="009D111D" w:rsidRDefault="009D111D">
      <w:pPr>
        <w:rPr>
          <w:b/>
        </w:rPr>
      </w:pPr>
    </w:p>
    <w:p w14:paraId="2F2F7F3C" w14:textId="4C30F8C3" w:rsidR="009D111D" w:rsidRDefault="009D111D">
      <w:pPr>
        <w:rPr>
          <w:b/>
        </w:rPr>
      </w:pPr>
    </w:p>
    <w:p w14:paraId="0DC43420" w14:textId="77777777" w:rsidR="009D111D" w:rsidRDefault="009D111D">
      <w:pPr>
        <w:rPr>
          <w:b/>
        </w:rPr>
      </w:pPr>
    </w:p>
    <w:sdt>
      <w:sdtPr>
        <w:rPr>
          <w:rFonts w:ascii="Times New Roman" w:hAnsi="Times New Roman"/>
          <w:b w:val="0"/>
          <w:bCs w:val="0"/>
          <w:kern w:val="0"/>
          <w:sz w:val="24"/>
          <w:szCs w:val="20"/>
        </w:rPr>
        <w:id w:val="-330288740"/>
        <w:docPartObj>
          <w:docPartGallery w:val="Table of Contents"/>
          <w:docPartUnique/>
        </w:docPartObj>
      </w:sdtPr>
      <w:sdtEndPr>
        <w:rPr>
          <w:noProof/>
        </w:rPr>
      </w:sdtEndPr>
      <w:sdtContent>
        <w:p w14:paraId="6017886F" w14:textId="28238819" w:rsidR="00DD4A6B" w:rsidRPr="00DD4A6B" w:rsidRDefault="00DD4A6B" w:rsidP="00DD4A6B">
          <w:pPr>
            <w:pStyle w:val="TOCHeading"/>
            <w:spacing w:line="276" w:lineRule="auto"/>
            <w:rPr>
              <w:rFonts w:ascii="Times New Roman" w:hAnsi="Times New Roman"/>
            </w:rPr>
          </w:pPr>
          <w:r w:rsidRPr="00DD4A6B">
            <w:rPr>
              <w:rFonts w:ascii="Times New Roman" w:hAnsi="Times New Roman"/>
            </w:rPr>
            <w:t>Contents</w:t>
          </w:r>
        </w:p>
        <w:p w14:paraId="6DD494A0" w14:textId="52526976" w:rsidR="009D111D" w:rsidRDefault="00DD4A6B">
          <w:pPr>
            <w:pStyle w:val="TOC1"/>
            <w:tabs>
              <w:tab w:val="right" w:leader="dot" w:pos="9016"/>
            </w:tabs>
            <w:rPr>
              <w:rFonts w:asciiTheme="minorHAnsi" w:eastAsiaTheme="minorEastAsia" w:hAnsiTheme="minorHAnsi" w:cstheme="minorBidi"/>
              <w:noProof/>
              <w:sz w:val="22"/>
              <w:szCs w:val="22"/>
              <w:lang w:val="en-GB" w:eastAsia="en-GB"/>
            </w:rPr>
          </w:pPr>
          <w:r w:rsidRPr="00DD4A6B">
            <w:fldChar w:fldCharType="begin"/>
          </w:r>
          <w:r w:rsidRPr="00DD4A6B">
            <w:instrText xml:space="preserve"> TOC \o "1-3" \h \z \u </w:instrText>
          </w:r>
          <w:r w:rsidRPr="00DD4A6B">
            <w:fldChar w:fldCharType="separate"/>
          </w:r>
          <w:hyperlink w:anchor="_Toc58791046" w:history="1">
            <w:r w:rsidR="009D111D" w:rsidRPr="00A44EBF">
              <w:rPr>
                <w:rStyle w:val="Hyperlink"/>
                <w:noProof/>
              </w:rPr>
              <w:t>Supplementary Methods</w:t>
            </w:r>
            <w:r w:rsidR="009D111D">
              <w:rPr>
                <w:noProof/>
                <w:webHidden/>
              </w:rPr>
              <w:tab/>
            </w:r>
            <w:r w:rsidR="009D111D">
              <w:rPr>
                <w:noProof/>
                <w:webHidden/>
              </w:rPr>
              <w:fldChar w:fldCharType="begin"/>
            </w:r>
            <w:r w:rsidR="009D111D">
              <w:rPr>
                <w:noProof/>
                <w:webHidden/>
              </w:rPr>
              <w:instrText xml:space="preserve"> PAGEREF _Toc58791046 \h </w:instrText>
            </w:r>
            <w:r w:rsidR="009D111D">
              <w:rPr>
                <w:noProof/>
                <w:webHidden/>
              </w:rPr>
            </w:r>
            <w:r w:rsidR="009D111D">
              <w:rPr>
                <w:noProof/>
                <w:webHidden/>
              </w:rPr>
              <w:fldChar w:fldCharType="separate"/>
            </w:r>
            <w:r w:rsidR="009D111D">
              <w:rPr>
                <w:noProof/>
                <w:webHidden/>
              </w:rPr>
              <w:t>2</w:t>
            </w:r>
            <w:r w:rsidR="009D111D">
              <w:rPr>
                <w:noProof/>
                <w:webHidden/>
              </w:rPr>
              <w:fldChar w:fldCharType="end"/>
            </w:r>
          </w:hyperlink>
        </w:p>
        <w:p w14:paraId="0F56AA06" w14:textId="5015DA00"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47" w:history="1">
            <w:r w:rsidR="009D111D" w:rsidRPr="00A44EBF">
              <w:rPr>
                <w:rStyle w:val="Hyperlink"/>
                <w:noProof/>
              </w:rPr>
              <w:t>Table S1.</w:t>
            </w:r>
            <w:r w:rsidR="009D111D">
              <w:rPr>
                <w:noProof/>
                <w:webHidden/>
              </w:rPr>
              <w:tab/>
            </w:r>
            <w:r w:rsidR="009D111D">
              <w:rPr>
                <w:noProof/>
                <w:webHidden/>
              </w:rPr>
              <w:fldChar w:fldCharType="begin"/>
            </w:r>
            <w:r w:rsidR="009D111D">
              <w:rPr>
                <w:noProof/>
                <w:webHidden/>
              </w:rPr>
              <w:instrText xml:space="preserve"> PAGEREF _Toc58791047 \h </w:instrText>
            </w:r>
            <w:r w:rsidR="009D111D">
              <w:rPr>
                <w:noProof/>
                <w:webHidden/>
              </w:rPr>
            </w:r>
            <w:r w:rsidR="009D111D">
              <w:rPr>
                <w:noProof/>
                <w:webHidden/>
              </w:rPr>
              <w:fldChar w:fldCharType="separate"/>
            </w:r>
            <w:r w:rsidR="009D111D">
              <w:rPr>
                <w:noProof/>
                <w:webHidden/>
              </w:rPr>
              <w:t>4</w:t>
            </w:r>
            <w:r w:rsidR="009D111D">
              <w:rPr>
                <w:noProof/>
                <w:webHidden/>
              </w:rPr>
              <w:fldChar w:fldCharType="end"/>
            </w:r>
          </w:hyperlink>
        </w:p>
        <w:p w14:paraId="0AC5713D" w14:textId="0224D1E4"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48" w:history="1">
            <w:r w:rsidR="009D111D" w:rsidRPr="00A44EBF">
              <w:rPr>
                <w:rStyle w:val="Hyperlink"/>
                <w:noProof/>
              </w:rPr>
              <w:t>Table S2.</w:t>
            </w:r>
            <w:r w:rsidR="009D111D">
              <w:rPr>
                <w:noProof/>
                <w:webHidden/>
              </w:rPr>
              <w:tab/>
            </w:r>
            <w:r w:rsidR="009D111D">
              <w:rPr>
                <w:noProof/>
                <w:webHidden/>
              </w:rPr>
              <w:fldChar w:fldCharType="begin"/>
            </w:r>
            <w:r w:rsidR="009D111D">
              <w:rPr>
                <w:noProof/>
                <w:webHidden/>
              </w:rPr>
              <w:instrText xml:space="preserve"> PAGEREF _Toc58791048 \h </w:instrText>
            </w:r>
            <w:r w:rsidR="009D111D">
              <w:rPr>
                <w:noProof/>
                <w:webHidden/>
              </w:rPr>
            </w:r>
            <w:r w:rsidR="009D111D">
              <w:rPr>
                <w:noProof/>
                <w:webHidden/>
              </w:rPr>
              <w:fldChar w:fldCharType="separate"/>
            </w:r>
            <w:r w:rsidR="009D111D">
              <w:rPr>
                <w:noProof/>
                <w:webHidden/>
              </w:rPr>
              <w:t>5</w:t>
            </w:r>
            <w:r w:rsidR="009D111D">
              <w:rPr>
                <w:noProof/>
                <w:webHidden/>
              </w:rPr>
              <w:fldChar w:fldCharType="end"/>
            </w:r>
          </w:hyperlink>
        </w:p>
        <w:p w14:paraId="5395E875" w14:textId="3C25C290"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49" w:history="1">
            <w:r w:rsidR="009D111D" w:rsidRPr="00A44EBF">
              <w:rPr>
                <w:rStyle w:val="Hyperlink"/>
                <w:noProof/>
              </w:rPr>
              <w:t>Table S3.</w:t>
            </w:r>
            <w:r w:rsidR="009D111D">
              <w:rPr>
                <w:noProof/>
                <w:webHidden/>
              </w:rPr>
              <w:tab/>
            </w:r>
            <w:r w:rsidR="009D111D">
              <w:rPr>
                <w:noProof/>
                <w:webHidden/>
              </w:rPr>
              <w:fldChar w:fldCharType="begin"/>
            </w:r>
            <w:r w:rsidR="009D111D">
              <w:rPr>
                <w:noProof/>
                <w:webHidden/>
              </w:rPr>
              <w:instrText xml:space="preserve"> PAGEREF _Toc58791049 \h </w:instrText>
            </w:r>
            <w:r w:rsidR="009D111D">
              <w:rPr>
                <w:noProof/>
                <w:webHidden/>
              </w:rPr>
            </w:r>
            <w:r w:rsidR="009D111D">
              <w:rPr>
                <w:noProof/>
                <w:webHidden/>
              </w:rPr>
              <w:fldChar w:fldCharType="separate"/>
            </w:r>
            <w:r w:rsidR="009D111D">
              <w:rPr>
                <w:noProof/>
                <w:webHidden/>
              </w:rPr>
              <w:t>7</w:t>
            </w:r>
            <w:r w:rsidR="009D111D">
              <w:rPr>
                <w:noProof/>
                <w:webHidden/>
              </w:rPr>
              <w:fldChar w:fldCharType="end"/>
            </w:r>
          </w:hyperlink>
        </w:p>
        <w:p w14:paraId="3903AC4B" w14:textId="6A12D9FC"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50" w:history="1">
            <w:r w:rsidR="009D111D" w:rsidRPr="00A44EBF">
              <w:rPr>
                <w:rStyle w:val="Hyperlink"/>
                <w:noProof/>
              </w:rPr>
              <w:t>Table S4.</w:t>
            </w:r>
            <w:r w:rsidR="009D111D">
              <w:rPr>
                <w:noProof/>
                <w:webHidden/>
              </w:rPr>
              <w:tab/>
            </w:r>
            <w:r w:rsidR="009D111D">
              <w:rPr>
                <w:noProof/>
                <w:webHidden/>
              </w:rPr>
              <w:fldChar w:fldCharType="begin"/>
            </w:r>
            <w:r w:rsidR="009D111D">
              <w:rPr>
                <w:noProof/>
                <w:webHidden/>
              </w:rPr>
              <w:instrText xml:space="preserve"> PAGEREF _Toc58791050 \h </w:instrText>
            </w:r>
            <w:r w:rsidR="009D111D">
              <w:rPr>
                <w:noProof/>
                <w:webHidden/>
              </w:rPr>
            </w:r>
            <w:r w:rsidR="009D111D">
              <w:rPr>
                <w:noProof/>
                <w:webHidden/>
              </w:rPr>
              <w:fldChar w:fldCharType="separate"/>
            </w:r>
            <w:r w:rsidR="009D111D">
              <w:rPr>
                <w:noProof/>
                <w:webHidden/>
              </w:rPr>
              <w:t>11</w:t>
            </w:r>
            <w:r w:rsidR="009D111D">
              <w:rPr>
                <w:noProof/>
                <w:webHidden/>
              </w:rPr>
              <w:fldChar w:fldCharType="end"/>
            </w:r>
          </w:hyperlink>
        </w:p>
        <w:p w14:paraId="5CF58047" w14:textId="1E267F97"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51" w:history="1">
            <w:r w:rsidR="009D111D" w:rsidRPr="00A44EBF">
              <w:rPr>
                <w:rStyle w:val="Hyperlink"/>
                <w:noProof/>
              </w:rPr>
              <w:t>Table S5.</w:t>
            </w:r>
            <w:r w:rsidR="009D111D">
              <w:rPr>
                <w:noProof/>
                <w:webHidden/>
              </w:rPr>
              <w:tab/>
            </w:r>
            <w:r w:rsidR="009D111D">
              <w:rPr>
                <w:noProof/>
                <w:webHidden/>
              </w:rPr>
              <w:fldChar w:fldCharType="begin"/>
            </w:r>
            <w:r w:rsidR="009D111D">
              <w:rPr>
                <w:noProof/>
                <w:webHidden/>
              </w:rPr>
              <w:instrText xml:space="preserve"> PAGEREF _Toc58791051 \h </w:instrText>
            </w:r>
            <w:r w:rsidR="009D111D">
              <w:rPr>
                <w:noProof/>
                <w:webHidden/>
              </w:rPr>
            </w:r>
            <w:r w:rsidR="009D111D">
              <w:rPr>
                <w:noProof/>
                <w:webHidden/>
              </w:rPr>
              <w:fldChar w:fldCharType="separate"/>
            </w:r>
            <w:r w:rsidR="009D111D">
              <w:rPr>
                <w:noProof/>
                <w:webHidden/>
              </w:rPr>
              <w:t>14</w:t>
            </w:r>
            <w:r w:rsidR="009D111D">
              <w:rPr>
                <w:noProof/>
                <w:webHidden/>
              </w:rPr>
              <w:fldChar w:fldCharType="end"/>
            </w:r>
          </w:hyperlink>
        </w:p>
        <w:p w14:paraId="51470520" w14:textId="10CAEDE1"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52" w:history="1">
            <w:r w:rsidR="009D111D" w:rsidRPr="00A44EBF">
              <w:rPr>
                <w:rStyle w:val="Hyperlink"/>
                <w:noProof/>
              </w:rPr>
              <w:t>Table S6.</w:t>
            </w:r>
            <w:r w:rsidR="009D111D">
              <w:rPr>
                <w:noProof/>
                <w:webHidden/>
              </w:rPr>
              <w:tab/>
            </w:r>
            <w:r w:rsidR="009D111D">
              <w:rPr>
                <w:noProof/>
                <w:webHidden/>
              </w:rPr>
              <w:fldChar w:fldCharType="begin"/>
            </w:r>
            <w:r w:rsidR="009D111D">
              <w:rPr>
                <w:noProof/>
                <w:webHidden/>
              </w:rPr>
              <w:instrText xml:space="preserve"> PAGEREF _Toc58791052 \h </w:instrText>
            </w:r>
            <w:r w:rsidR="009D111D">
              <w:rPr>
                <w:noProof/>
                <w:webHidden/>
              </w:rPr>
            </w:r>
            <w:r w:rsidR="009D111D">
              <w:rPr>
                <w:noProof/>
                <w:webHidden/>
              </w:rPr>
              <w:fldChar w:fldCharType="separate"/>
            </w:r>
            <w:r w:rsidR="009D111D">
              <w:rPr>
                <w:noProof/>
                <w:webHidden/>
              </w:rPr>
              <w:t>15</w:t>
            </w:r>
            <w:r w:rsidR="009D111D">
              <w:rPr>
                <w:noProof/>
                <w:webHidden/>
              </w:rPr>
              <w:fldChar w:fldCharType="end"/>
            </w:r>
          </w:hyperlink>
        </w:p>
        <w:p w14:paraId="2C9C7498" w14:textId="322103A7"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53" w:history="1">
            <w:r w:rsidR="009D111D" w:rsidRPr="00A44EBF">
              <w:rPr>
                <w:rStyle w:val="Hyperlink"/>
                <w:noProof/>
              </w:rPr>
              <w:t>Supplementary Display Items</w:t>
            </w:r>
            <w:r w:rsidR="009D111D">
              <w:rPr>
                <w:noProof/>
                <w:webHidden/>
              </w:rPr>
              <w:tab/>
            </w:r>
            <w:r w:rsidR="009D111D">
              <w:rPr>
                <w:noProof/>
                <w:webHidden/>
              </w:rPr>
              <w:fldChar w:fldCharType="begin"/>
            </w:r>
            <w:r w:rsidR="009D111D">
              <w:rPr>
                <w:noProof/>
                <w:webHidden/>
              </w:rPr>
              <w:instrText xml:space="preserve"> PAGEREF _Toc58791053 \h </w:instrText>
            </w:r>
            <w:r w:rsidR="009D111D">
              <w:rPr>
                <w:noProof/>
                <w:webHidden/>
              </w:rPr>
            </w:r>
            <w:r w:rsidR="009D111D">
              <w:rPr>
                <w:noProof/>
                <w:webHidden/>
              </w:rPr>
              <w:fldChar w:fldCharType="separate"/>
            </w:r>
            <w:r w:rsidR="009D111D">
              <w:rPr>
                <w:noProof/>
                <w:webHidden/>
              </w:rPr>
              <w:t>16</w:t>
            </w:r>
            <w:r w:rsidR="009D111D">
              <w:rPr>
                <w:noProof/>
                <w:webHidden/>
              </w:rPr>
              <w:fldChar w:fldCharType="end"/>
            </w:r>
          </w:hyperlink>
        </w:p>
        <w:p w14:paraId="0931A824" w14:textId="0F33C8AD"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54" w:history="1">
            <w:r w:rsidR="009D111D" w:rsidRPr="00A44EBF">
              <w:rPr>
                <w:rStyle w:val="Hyperlink"/>
                <w:noProof/>
              </w:rPr>
              <w:t>Figure S1.</w:t>
            </w:r>
            <w:r w:rsidR="009D111D">
              <w:rPr>
                <w:noProof/>
                <w:webHidden/>
              </w:rPr>
              <w:tab/>
            </w:r>
            <w:r w:rsidR="009D111D">
              <w:rPr>
                <w:noProof/>
                <w:webHidden/>
              </w:rPr>
              <w:fldChar w:fldCharType="begin"/>
            </w:r>
            <w:r w:rsidR="009D111D">
              <w:rPr>
                <w:noProof/>
                <w:webHidden/>
              </w:rPr>
              <w:instrText xml:space="preserve"> PAGEREF _Toc58791054 \h </w:instrText>
            </w:r>
            <w:r w:rsidR="009D111D">
              <w:rPr>
                <w:noProof/>
                <w:webHidden/>
              </w:rPr>
            </w:r>
            <w:r w:rsidR="009D111D">
              <w:rPr>
                <w:noProof/>
                <w:webHidden/>
              </w:rPr>
              <w:fldChar w:fldCharType="separate"/>
            </w:r>
            <w:r w:rsidR="009D111D">
              <w:rPr>
                <w:noProof/>
                <w:webHidden/>
              </w:rPr>
              <w:t>16</w:t>
            </w:r>
            <w:r w:rsidR="009D111D">
              <w:rPr>
                <w:noProof/>
                <w:webHidden/>
              </w:rPr>
              <w:fldChar w:fldCharType="end"/>
            </w:r>
          </w:hyperlink>
        </w:p>
        <w:p w14:paraId="510C140A" w14:textId="19D4BFED"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55" w:history="1">
            <w:r w:rsidR="009D111D" w:rsidRPr="00A44EBF">
              <w:rPr>
                <w:rStyle w:val="Hyperlink"/>
                <w:noProof/>
              </w:rPr>
              <w:t>Figure S2.</w:t>
            </w:r>
            <w:r w:rsidR="009D111D">
              <w:rPr>
                <w:noProof/>
                <w:webHidden/>
              </w:rPr>
              <w:tab/>
            </w:r>
            <w:r w:rsidR="009D111D">
              <w:rPr>
                <w:noProof/>
                <w:webHidden/>
              </w:rPr>
              <w:fldChar w:fldCharType="begin"/>
            </w:r>
            <w:r w:rsidR="009D111D">
              <w:rPr>
                <w:noProof/>
                <w:webHidden/>
              </w:rPr>
              <w:instrText xml:space="preserve"> PAGEREF _Toc58791055 \h </w:instrText>
            </w:r>
            <w:r w:rsidR="009D111D">
              <w:rPr>
                <w:noProof/>
                <w:webHidden/>
              </w:rPr>
            </w:r>
            <w:r w:rsidR="009D111D">
              <w:rPr>
                <w:noProof/>
                <w:webHidden/>
              </w:rPr>
              <w:fldChar w:fldCharType="separate"/>
            </w:r>
            <w:r w:rsidR="009D111D">
              <w:rPr>
                <w:noProof/>
                <w:webHidden/>
              </w:rPr>
              <w:t>17</w:t>
            </w:r>
            <w:r w:rsidR="009D111D">
              <w:rPr>
                <w:noProof/>
                <w:webHidden/>
              </w:rPr>
              <w:fldChar w:fldCharType="end"/>
            </w:r>
          </w:hyperlink>
        </w:p>
        <w:p w14:paraId="5769AEDB" w14:textId="7EEBFEEA"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56" w:history="1">
            <w:r w:rsidR="009D111D" w:rsidRPr="00A44EBF">
              <w:rPr>
                <w:rStyle w:val="Hyperlink"/>
                <w:noProof/>
              </w:rPr>
              <w:t>Figure S3.</w:t>
            </w:r>
            <w:r w:rsidR="009D111D">
              <w:rPr>
                <w:noProof/>
                <w:webHidden/>
              </w:rPr>
              <w:tab/>
            </w:r>
            <w:r w:rsidR="009D111D">
              <w:rPr>
                <w:noProof/>
                <w:webHidden/>
              </w:rPr>
              <w:fldChar w:fldCharType="begin"/>
            </w:r>
            <w:r w:rsidR="009D111D">
              <w:rPr>
                <w:noProof/>
                <w:webHidden/>
              </w:rPr>
              <w:instrText xml:space="preserve"> PAGEREF _Toc58791056 \h </w:instrText>
            </w:r>
            <w:r w:rsidR="009D111D">
              <w:rPr>
                <w:noProof/>
                <w:webHidden/>
              </w:rPr>
            </w:r>
            <w:r w:rsidR="009D111D">
              <w:rPr>
                <w:noProof/>
                <w:webHidden/>
              </w:rPr>
              <w:fldChar w:fldCharType="separate"/>
            </w:r>
            <w:r w:rsidR="009D111D">
              <w:rPr>
                <w:noProof/>
                <w:webHidden/>
              </w:rPr>
              <w:t>18</w:t>
            </w:r>
            <w:r w:rsidR="009D111D">
              <w:rPr>
                <w:noProof/>
                <w:webHidden/>
              </w:rPr>
              <w:fldChar w:fldCharType="end"/>
            </w:r>
          </w:hyperlink>
        </w:p>
        <w:p w14:paraId="0C65DEA1" w14:textId="01408B9C" w:rsidR="009D111D" w:rsidRDefault="00F5355F">
          <w:pPr>
            <w:pStyle w:val="TOC1"/>
            <w:tabs>
              <w:tab w:val="right" w:leader="dot" w:pos="9016"/>
            </w:tabs>
            <w:rPr>
              <w:rFonts w:asciiTheme="minorHAnsi" w:eastAsiaTheme="minorEastAsia" w:hAnsiTheme="minorHAnsi" w:cstheme="minorBidi"/>
              <w:noProof/>
              <w:sz w:val="22"/>
              <w:szCs w:val="22"/>
              <w:lang w:val="en-GB" w:eastAsia="en-GB"/>
            </w:rPr>
          </w:pPr>
          <w:hyperlink w:anchor="_Toc58791057" w:history="1">
            <w:r w:rsidR="009D111D" w:rsidRPr="00A44EBF">
              <w:rPr>
                <w:rStyle w:val="Hyperlink"/>
                <w:noProof/>
              </w:rPr>
              <w:t>References</w:t>
            </w:r>
            <w:r w:rsidR="009D111D">
              <w:rPr>
                <w:noProof/>
                <w:webHidden/>
              </w:rPr>
              <w:tab/>
            </w:r>
            <w:r w:rsidR="009D111D">
              <w:rPr>
                <w:noProof/>
                <w:webHidden/>
              </w:rPr>
              <w:fldChar w:fldCharType="begin"/>
            </w:r>
            <w:r w:rsidR="009D111D">
              <w:rPr>
                <w:noProof/>
                <w:webHidden/>
              </w:rPr>
              <w:instrText xml:space="preserve"> PAGEREF _Toc58791057 \h </w:instrText>
            </w:r>
            <w:r w:rsidR="009D111D">
              <w:rPr>
                <w:noProof/>
                <w:webHidden/>
              </w:rPr>
            </w:r>
            <w:r w:rsidR="009D111D">
              <w:rPr>
                <w:noProof/>
                <w:webHidden/>
              </w:rPr>
              <w:fldChar w:fldCharType="separate"/>
            </w:r>
            <w:r w:rsidR="009D111D">
              <w:rPr>
                <w:noProof/>
                <w:webHidden/>
              </w:rPr>
              <w:t>19</w:t>
            </w:r>
            <w:r w:rsidR="009D111D">
              <w:rPr>
                <w:noProof/>
                <w:webHidden/>
              </w:rPr>
              <w:fldChar w:fldCharType="end"/>
            </w:r>
          </w:hyperlink>
        </w:p>
        <w:p w14:paraId="01D9E31E" w14:textId="3B1A7C83" w:rsidR="00DD4A6B" w:rsidRDefault="00DD4A6B" w:rsidP="00DD4A6B">
          <w:pPr>
            <w:spacing w:line="276" w:lineRule="auto"/>
            <w:rPr>
              <w:noProof/>
            </w:rPr>
          </w:pPr>
          <w:r w:rsidRPr="00DD4A6B">
            <w:rPr>
              <w:b/>
              <w:bCs/>
              <w:noProof/>
            </w:rPr>
            <w:fldChar w:fldCharType="end"/>
          </w:r>
        </w:p>
      </w:sdtContent>
    </w:sdt>
    <w:p w14:paraId="2C7EBCEE" w14:textId="7353306B" w:rsidR="00BB7752" w:rsidRDefault="00BB7752" w:rsidP="00DD4A6B">
      <w:pPr>
        <w:spacing w:line="276" w:lineRule="auto"/>
        <w:rPr>
          <w:noProof/>
        </w:rPr>
      </w:pPr>
    </w:p>
    <w:p w14:paraId="59757CF8" w14:textId="247F2568" w:rsidR="00BB7752" w:rsidRDefault="00BB7752" w:rsidP="00DD4A6B">
      <w:pPr>
        <w:spacing w:line="276" w:lineRule="auto"/>
        <w:rPr>
          <w:noProof/>
        </w:rPr>
      </w:pPr>
    </w:p>
    <w:p w14:paraId="3CCADB9A" w14:textId="3FB3D91F" w:rsidR="00BB7752" w:rsidRDefault="00BB7752" w:rsidP="00DD4A6B">
      <w:pPr>
        <w:spacing w:line="276" w:lineRule="auto"/>
        <w:rPr>
          <w:noProof/>
        </w:rPr>
      </w:pPr>
    </w:p>
    <w:p w14:paraId="719D4BC8" w14:textId="134E4979" w:rsidR="00BB7752" w:rsidRDefault="00BB7752" w:rsidP="00DD4A6B">
      <w:pPr>
        <w:spacing w:line="276" w:lineRule="auto"/>
        <w:rPr>
          <w:noProof/>
        </w:rPr>
      </w:pPr>
    </w:p>
    <w:p w14:paraId="7C2A8308" w14:textId="3E3066FB" w:rsidR="00BB7752" w:rsidRDefault="00BB7752" w:rsidP="00DD4A6B">
      <w:pPr>
        <w:spacing w:line="276" w:lineRule="auto"/>
        <w:rPr>
          <w:noProof/>
        </w:rPr>
      </w:pPr>
    </w:p>
    <w:p w14:paraId="61EB7B48" w14:textId="7EE4CA5B" w:rsidR="00BB7752" w:rsidRDefault="00BB7752" w:rsidP="00DD4A6B">
      <w:pPr>
        <w:spacing w:line="276" w:lineRule="auto"/>
        <w:rPr>
          <w:noProof/>
        </w:rPr>
      </w:pPr>
    </w:p>
    <w:p w14:paraId="2A33F4C7" w14:textId="60382B30" w:rsidR="00BB7752" w:rsidRDefault="00BB7752" w:rsidP="00DD4A6B">
      <w:pPr>
        <w:spacing w:line="276" w:lineRule="auto"/>
        <w:rPr>
          <w:noProof/>
        </w:rPr>
      </w:pPr>
    </w:p>
    <w:p w14:paraId="65DDCA6B" w14:textId="33F06DFA" w:rsidR="00BB7752" w:rsidRDefault="00BB7752" w:rsidP="00DD4A6B">
      <w:pPr>
        <w:spacing w:line="276" w:lineRule="auto"/>
        <w:rPr>
          <w:noProof/>
        </w:rPr>
      </w:pPr>
    </w:p>
    <w:p w14:paraId="29B7CCF7" w14:textId="686FD63D" w:rsidR="00BB7752" w:rsidRDefault="00BB7752" w:rsidP="00DD4A6B">
      <w:pPr>
        <w:spacing w:line="276" w:lineRule="auto"/>
        <w:rPr>
          <w:noProof/>
        </w:rPr>
      </w:pPr>
    </w:p>
    <w:p w14:paraId="257ADA59" w14:textId="202DC9DF" w:rsidR="00BB7752" w:rsidRDefault="00BB7752" w:rsidP="00DD4A6B">
      <w:pPr>
        <w:spacing w:line="276" w:lineRule="auto"/>
        <w:rPr>
          <w:noProof/>
        </w:rPr>
      </w:pPr>
    </w:p>
    <w:p w14:paraId="17A642E3" w14:textId="1A13DA01" w:rsidR="00BB7752" w:rsidRDefault="00BB7752" w:rsidP="00DD4A6B">
      <w:pPr>
        <w:spacing w:line="276" w:lineRule="auto"/>
        <w:rPr>
          <w:noProof/>
        </w:rPr>
      </w:pPr>
    </w:p>
    <w:p w14:paraId="069F1270" w14:textId="30F900A5" w:rsidR="00BB7752" w:rsidRDefault="00BB7752" w:rsidP="00DD4A6B">
      <w:pPr>
        <w:spacing w:line="276" w:lineRule="auto"/>
        <w:rPr>
          <w:noProof/>
        </w:rPr>
      </w:pPr>
    </w:p>
    <w:p w14:paraId="5B9A82B2" w14:textId="2186F047" w:rsidR="00BB7752" w:rsidRDefault="00BB7752" w:rsidP="00DD4A6B">
      <w:pPr>
        <w:spacing w:line="276" w:lineRule="auto"/>
        <w:rPr>
          <w:noProof/>
        </w:rPr>
      </w:pPr>
    </w:p>
    <w:p w14:paraId="50BC9CD9" w14:textId="2343026C" w:rsidR="00BB7752" w:rsidRDefault="00BB7752" w:rsidP="00DD4A6B">
      <w:pPr>
        <w:spacing w:line="276" w:lineRule="auto"/>
        <w:rPr>
          <w:noProof/>
        </w:rPr>
      </w:pPr>
    </w:p>
    <w:p w14:paraId="5CC0AB2B" w14:textId="4EE8F24A" w:rsidR="00BB7752" w:rsidRDefault="00BB7752" w:rsidP="00DD4A6B">
      <w:pPr>
        <w:spacing w:line="276" w:lineRule="auto"/>
        <w:rPr>
          <w:noProof/>
        </w:rPr>
      </w:pPr>
    </w:p>
    <w:p w14:paraId="59A3D793" w14:textId="0136E0C7" w:rsidR="00BB7752" w:rsidRDefault="00BB7752" w:rsidP="00DD4A6B">
      <w:pPr>
        <w:spacing w:line="276" w:lineRule="auto"/>
        <w:rPr>
          <w:noProof/>
        </w:rPr>
      </w:pPr>
    </w:p>
    <w:p w14:paraId="12923ABF" w14:textId="77777777" w:rsidR="00015F74" w:rsidRDefault="00BB2D2A" w:rsidP="00416662">
      <w:pPr>
        <w:pStyle w:val="SMHeading"/>
        <w:spacing w:line="276" w:lineRule="auto"/>
      </w:pPr>
      <w:bookmarkStart w:id="0" w:name="Tables"/>
      <w:bookmarkStart w:id="1" w:name="MaterialsMethods"/>
      <w:bookmarkStart w:id="2" w:name="_Toc58791046"/>
      <w:bookmarkEnd w:id="0"/>
      <w:bookmarkEnd w:id="1"/>
      <w:r>
        <w:lastRenderedPageBreak/>
        <w:t>Supplementary</w:t>
      </w:r>
      <w:r w:rsidR="00015F74">
        <w:t xml:space="preserve"> </w:t>
      </w:r>
      <w:r w:rsidR="00C4280C">
        <w:t>Methods</w:t>
      </w:r>
      <w:bookmarkEnd w:id="2"/>
    </w:p>
    <w:p w14:paraId="30EA357E" w14:textId="0A668886" w:rsidR="00D766F1" w:rsidRDefault="00D766F1" w:rsidP="00416662">
      <w:pPr>
        <w:pStyle w:val="SMText"/>
        <w:spacing w:line="276" w:lineRule="auto"/>
      </w:pPr>
    </w:p>
    <w:p w14:paraId="0CC83B9C" w14:textId="11532104" w:rsidR="00C4280C" w:rsidRPr="00416662" w:rsidRDefault="00C4280C" w:rsidP="00416662">
      <w:pPr>
        <w:pStyle w:val="SMSubheading"/>
        <w:spacing w:line="276" w:lineRule="auto"/>
        <w:rPr>
          <w:b/>
          <w:bCs/>
          <w:i/>
          <w:iCs/>
          <w:u w:val="none"/>
        </w:rPr>
      </w:pPr>
      <w:r w:rsidRPr="00416662">
        <w:rPr>
          <w:b/>
          <w:bCs/>
          <w:i/>
          <w:iCs/>
          <w:u w:val="none"/>
        </w:rPr>
        <w:t>Agriculture-economic analysis</w:t>
      </w:r>
    </w:p>
    <w:p w14:paraId="53C4504A" w14:textId="77777777" w:rsidR="00C4280C" w:rsidRPr="00C4280C" w:rsidRDefault="00C4280C" w:rsidP="00416662">
      <w:pPr>
        <w:pStyle w:val="SMText"/>
        <w:spacing w:line="276" w:lineRule="auto"/>
        <w:rPr>
          <w:lang w:val="en-GB"/>
        </w:rPr>
      </w:pPr>
    </w:p>
    <w:p w14:paraId="2D48F901" w14:textId="4492CCB3" w:rsidR="00C4280C" w:rsidRPr="00C4280C" w:rsidRDefault="00C4280C" w:rsidP="00416662">
      <w:pPr>
        <w:pStyle w:val="SMText"/>
        <w:spacing w:line="276" w:lineRule="auto"/>
        <w:ind w:firstLine="0"/>
        <w:rPr>
          <w:lang w:val="en-GB"/>
        </w:rPr>
      </w:pPr>
      <w:r>
        <w:rPr>
          <w:lang w:val="en-GB"/>
        </w:rPr>
        <w:t>We used t</w:t>
      </w:r>
      <w:r w:rsidRPr="00C4280C">
        <w:rPr>
          <w:lang w:val="en-GB"/>
        </w:rPr>
        <w:t xml:space="preserve">he Modular Applied General Equilibrium Tool (MAGNET) </w:t>
      </w:r>
      <w:r>
        <w:rPr>
          <w:lang w:val="en-GB"/>
        </w:rPr>
        <w:t xml:space="preserve">for the agriculture-economic analysis. MAGNET </w:t>
      </w:r>
      <w:r w:rsidRPr="00C4280C">
        <w:rPr>
          <w:lang w:val="en-GB"/>
        </w:rPr>
        <w:t xml:space="preserve">is a multi-regional, applied computable general equilibrium (CGE) model based on microeconomic theory </w:t>
      </w:r>
      <w:r w:rsidR="003D2324" w:rsidRPr="00A14459">
        <w:rPr>
          <w:lang w:val="en-GB"/>
        </w:rPr>
        <w:fldChar w:fldCharType="begin" w:fldLock="1"/>
      </w:r>
      <w:r w:rsidR="00BB7752">
        <w:rPr>
          <w:lang w:val="en-GB"/>
        </w:rPr>
        <w:instrText xml:space="preserve"> ADDIN ZOTERO_ITEM CSL_CITATION {"citationID":"YDkNWjc1","properties":{"formattedCitation":"\\super 1\\nosupersub{}","plainCitation":"1","noteIndex":0},"citationItems":[{"id":"9UZPP0Go/iLNv1GUB","uris":["http://www.mendeley.com/documents/?uuid=de694494-a89b-466e-ac37-81bd0eddb821","http://www.mendeley.com/documents/?uuid=21e728e3-3613-45dd-a599-1e8abfd61c29"],"uri":["http://www.mendeley.com/documents/?uuid=de694494-a89b-466e-ac37-81bd0eddb821","http://www.mendeley.com/documents/?uuid=21e728e3-3613-45dd-a599-1e8abfd61c29"],"itemData":{"author":[{"dropping-particle":"","family":"Woltjer","given":"Gerard Bastiaan","non-dropping-particle":"","parse-names":false,"suffix":""},{"dropping-particle":"","family":"Kuiper","given":"Marijke","non-dropping-particle":"","parse-names":false,"suffix":""},{"dropping-particle":"","family":"Kavallari","given":"Aikaterini","non-dropping-particle":"","parse-names":false,"suffix":""},{"dropping-particle":"","family":"Meijl","given":"Hans","non-dropping-particle":"van","parse-names":false,"suffix":""},{"dropping-particle":"","family":"Powell","given":"J P","non-dropping-particle":"","parse-names":false,"suffix":""},{"dropping-particle":"","family":"Rutten","given":"M M","non-dropping-particle":"","parse-names":false,"suffix":""},{"dropping-particle":"","family":"Shutes","given":"L J","non-dropping-particle":"","parse-names":false,"suffix":""},{"dropping-particle":"","family":"Tabeau","given":"A A","non-dropping-particle":"","parse-names":false,"suffix":""}],"id":"ITEM-1","issued":{"date-parts":[["2014"]]},"publisher":"LEI Wageningen UR","title":"The MAGNET model: Module description","type":"report"}}],"schema":"https://github.com/citation-style-language/schema/raw/master/csl-citation.json"} </w:instrText>
      </w:r>
      <w:r w:rsidR="003D2324" w:rsidRPr="00A14459">
        <w:rPr>
          <w:lang w:val="en-GB"/>
        </w:rPr>
        <w:fldChar w:fldCharType="separate"/>
      </w:r>
      <w:r w:rsidR="00BB7752" w:rsidRPr="00BB7752">
        <w:rPr>
          <w:szCs w:val="24"/>
          <w:vertAlign w:val="superscript"/>
        </w:rPr>
        <w:t>1</w:t>
      </w:r>
      <w:r w:rsidR="003D2324" w:rsidRPr="00A14459">
        <w:fldChar w:fldCharType="end"/>
      </w:r>
      <w:r w:rsidRPr="00C4280C">
        <w:rPr>
          <w:lang w:val="en-GB"/>
        </w:rPr>
        <w:t xml:space="preserve">. The model is solved by finding a price vector that simultaneously clears all factor, goods, and service markets. Different regions in the model are linked via trade flows subject to </w:t>
      </w:r>
      <w:r w:rsidR="003D2324">
        <w:rPr>
          <w:lang w:val="en-GB"/>
        </w:rPr>
        <w:t xml:space="preserve">border </w:t>
      </w:r>
      <w:r w:rsidRPr="00C4280C">
        <w:rPr>
          <w:lang w:val="en-GB"/>
        </w:rPr>
        <w:t xml:space="preserve">policies as well as transportation costs. International trade is governed by the </w:t>
      </w:r>
      <w:proofErr w:type="spellStart"/>
      <w:r w:rsidRPr="00C4280C">
        <w:rPr>
          <w:lang w:val="en-GB"/>
        </w:rPr>
        <w:t>Armington</w:t>
      </w:r>
      <w:proofErr w:type="spellEnd"/>
      <w:r w:rsidRPr="00C4280C">
        <w:rPr>
          <w:lang w:val="en-GB"/>
        </w:rPr>
        <w:t xml:space="preserve"> assumption which allows for modelling intra-industrial trade flows in line with observed trade data. The model comprises information on agricultural, industrial and service sectors and is able to capture the interactions between these sectors. </w:t>
      </w:r>
    </w:p>
    <w:p w14:paraId="63857833" w14:textId="77777777" w:rsidR="00C4280C" w:rsidRPr="00C4280C" w:rsidRDefault="00C4280C" w:rsidP="00416662">
      <w:pPr>
        <w:pStyle w:val="SMText"/>
        <w:spacing w:line="276" w:lineRule="auto"/>
        <w:rPr>
          <w:lang w:val="en-GB"/>
        </w:rPr>
      </w:pPr>
    </w:p>
    <w:p w14:paraId="12611864" w14:textId="19E0333F" w:rsidR="00C4280C" w:rsidRPr="00C4280C" w:rsidRDefault="00C4280C" w:rsidP="00416662">
      <w:pPr>
        <w:pStyle w:val="SMText"/>
        <w:spacing w:line="276" w:lineRule="auto"/>
        <w:ind w:firstLine="0"/>
        <w:rPr>
          <w:lang w:val="en-GB"/>
        </w:rPr>
      </w:pPr>
      <w:r w:rsidRPr="00C4280C">
        <w:rPr>
          <w:lang w:val="en-GB"/>
        </w:rPr>
        <w:t xml:space="preserve">Whilst MAGNET is a model for the whole economy, it has a clear focus on agriculture. It expands the classical economic framework of the Global Trade Analysis Project (GTAP) (Hertel, 1997) with respect to land use and land supply, the production of feed and energy crops, and the modelling of agricultural policies. There is also a factor market segmentation between agricultural and non-agricultural factors to account for the observable gap between remuneration of factors in those sectors </w:t>
      </w:r>
      <w:r w:rsidR="003D2324">
        <w:rPr>
          <w:lang w:val="en-GB"/>
        </w:rPr>
        <w:fldChar w:fldCharType="begin"/>
      </w:r>
      <w:r w:rsidR="00BB7752">
        <w:rPr>
          <w:lang w:val="en-GB"/>
        </w:rPr>
        <w:instrText xml:space="preserve"> ADDIN ZOTERO_ITEM CSL_CITATION {"citationID":"NkfWbhU7","properties":{"formattedCitation":"\\super 2\\nosupersub{}","plainCitation":"2","noteIndex":0},"citationItems":[{"id":"9UZPP0Go/Wh8q1cAz","uris":["http://zotero.org/users/14122/items/NPSVDRZ8"],"uri":["http://zotero.org/users/14122/items/NPSVDRZ8"],"itemData":{"id":5932,"type":"report","title":"GTAP-AGR: A Framework for Assessing the Implications of Multilateral Changes in Agricultural Policies","publisher":"GTAP","genre":"Report","author":[{"family":"Keeney","given":"Roman"},{"family":"Hertel","given":"Thomas W."}],"issued":{"date-parts":[["2005"]]}}}],"schema":"https://github.com/citation-style-language/schema/raw/master/csl-citation.json"} </w:instrText>
      </w:r>
      <w:r w:rsidR="003D2324">
        <w:rPr>
          <w:lang w:val="en-GB"/>
        </w:rPr>
        <w:fldChar w:fldCharType="separate"/>
      </w:r>
      <w:r w:rsidR="00BB7752" w:rsidRPr="00BB7752">
        <w:rPr>
          <w:szCs w:val="24"/>
          <w:vertAlign w:val="superscript"/>
        </w:rPr>
        <w:t>2</w:t>
      </w:r>
      <w:r w:rsidR="003D2324">
        <w:rPr>
          <w:lang w:val="en-GB"/>
        </w:rPr>
        <w:fldChar w:fldCharType="end"/>
      </w:r>
      <w:r w:rsidRPr="00C4280C">
        <w:rPr>
          <w:lang w:val="en-GB"/>
        </w:rPr>
        <w:t xml:space="preserve">. </w:t>
      </w:r>
    </w:p>
    <w:p w14:paraId="31F18254" w14:textId="77777777" w:rsidR="00C4280C" w:rsidRPr="00C4280C" w:rsidRDefault="00C4280C" w:rsidP="00416662">
      <w:pPr>
        <w:pStyle w:val="SMText"/>
        <w:spacing w:line="276" w:lineRule="auto"/>
        <w:rPr>
          <w:lang w:val="en-GB"/>
        </w:rPr>
      </w:pPr>
    </w:p>
    <w:p w14:paraId="1921ADBB" w14:textId="0ADF134F" w:rsidR="00C4280C" w:rsidRPr="00C4280C" w:rsidRDefault="00C4280C" w:rsidP="00416662">
      <w:pPr>
        <w:pStyle w:val="SMText"/>
        <w:spacing w:line="276" w:lineRule="auto"/>
        <w:ind w:firstLine="0"/>
        <w:rPr>
          <w:lang w:val="en-GB"/>
        </w:rPr>
      </w:pPr>
      <w:r w:rsidRPr="00C4280C">
        <w:rPr>
          <w:lang w:val="en-GB"/>
        </w:rPr>
        <w:t xml:space="preserve">Household demand is modelled with a non-homothetic Constant Differences in Elasticities (CDE) demand function. This specific form – in contrast to homothetic functions – allows for more realistic non-constant marginal budget shares. Estimates of real (PPP-corrected) GDP per capita were used to account for the observed effects that income elasticities of many food items tend to shrink as income growth </w:t>
      </w:r>
      <w:r w:rsidR="003D2324">
        <w:rPr>
          <w:lang w:val="en-GB"/>
        </w:rPr>
        <w:fldChar w:fldCharType="begin"/>
      </w:r>
      <w:r w:rsidR="00BB7752">
        <w:rPr>
          <w:lang w:val="en-GB"/>
        </w:rPr>
        <w:instrText xml:space="preserve"> ADDIN ZOTERO_ITEM CSL_CITATION {"citationID":"WmkTVPR7","properties":{"formattedCitation":"\\super 3\\nosupersub{}","plainCitation":"3","noteIndex":0},"citationItems":[{"id":"9UZPP0Go/D7eoIJQi","uris":["http://zotero.org/users/14122/items/PJCXJX3E"],"uri":["http://zotero.org/users/14122/items/PJCXJX3E"],"itemData":{"id":5930,"type":"book","title":"Income Elasticity and Economic Development - Methods and Applications","collection-title":"Advanced Studies in Theoretical and Applied Econometrics","publisher":"Springer US","note":"DOI: 10.1007/b105193","author":[{"family":"Haque","given":"M. Ohidul"}],"issued":{"date-parts":[["2005"]]}}}],"schema":"https://github.com/citation-style-language/schema/raw/master/csl-citation.json"} </w:instrText>
      </w:r>
      <w:r w:rsidR="003D2324">
        <w:rPr>
          <w:lang w:val="en-GB"/>
        </w:rPr>
        <w:fldChar w:fldCharType="separate"/>
      </w:r>
      <w:r w:rsidR="00BB7752" w:rsidRPr="00BB7752">
        <w:rPr>
          <w:szCs w:val="24"/>
          <w:vertAlign w:val="superscript"/>
        </w:rPr>
        <w:t>3</w:t>
      </w:r>
      <w:r w:rsidR="003D2324">
        <w:rPr>
          <w:lang w:val="en-GB"/>
        </w:rPr>
        <w:fldChar w:fldCharType="end"/>
      </w:r>
      <w:r w:rsidRPr="00C4280C">
        <w:rPr>
          <w:lang w:val="en-GB"/>
        </w:rPr>
        <w:t>. The model includes compensated own-price elasticities, as well as cross-price and income elasticities. We used income elasticities that, for food commodities, were in line with estimates of the Food and Agriculture Organization of the United Nations (FAO), and we updated the compensated own-price elasticities to the most recent estimates</w:t>
      </w:r>
      <w:r w:rsidR="003D2324">
        <w:rPr>
          <w:lang w:val="en-GB"/>
        </w:rPr>
        <w:t xml:space="preserve"> </w:t>
      </w:r>
      <w:r w:rsidR="003D2324">
        <w:rPr>
          <w:lang w:val="en-GB"/>
        </w:rPr>
        <w:fldChar w:fldCharType="begin"/>
      </w:r>
      <w:r w:rsidR="00BB7752">
        <w:rPr>
          <w:lang w:val="en-GB"/>
        </w:rPr>
        <w:instrText xml:space="preserve"> ADDIN ZOTERO_ITEM CSL_CITATION {"citationID":"OOxQdr45","properties":{"formattedCitation":"\\super 4\\nosupersub{}","plainCitation":"4","noteIndex":0},"citationItems":[{"id":"9UZPP0Go/RTOunfzE","uris":["http://zotero.org/users/14122/items/65K69L2Q"],"uri":["http://zotero.org/users/14122/items/65K69L2Q"],"itemData":{"id":5929,"type":"article-journal","title":"The effect of rising food prices on food consumption: systematic review with meta-regression","container-title":"BMJ","page":"f3703","volume":"346","DOI":"10.1136/bmj.f3703","ISSN":"1756-1833 (Electronic) 0959-8138 (Linking)","author":[{"family":"Green","given":"R."},{"family":"Cornelsen","given":"L."},{"family":"Dangour","given":"A. D."},{"family":"Turner","given":"R."},{"family":"Shankar","given":"B."},{"family":"Mazzocchi","given":"M."},{"family":"Smith","given":"R. D."}],"issued":{"date-parts":[["2013"]]}}}],"schema":"https://github.com/citation-style-language/schema/raw/master/csl-citation.json"} </w:instrText>
      </w:r>
      <w:r w:rsidR="003D2324">
        <w:rPr>
          <w:lang w:val="en-GB"/>
        </w:rPr>
        <w:fldChar w:fldCharType="separate"/>
      </w:r>
      <w:r w:rsidR="00BB7752" w:rsidRPr="00BB7752">
        <w:rPr>
          <w:szCs w:val="24"/>
          <w:vertAlign w:val="superscript"/>
        </w:rPr>
        <w:t>4</w:t>
      </w:r>
      <w:r w:rsidR="003D2324">
        <w:rPr>
          <w:lang w:val="en-GB"/>
        </w:rPr>
        <w:fldChar w:fldCharType="end"/>
      </w:r>
      <w:r w:rsidRPr="00C4280C">
        <w:rPr>
          <w:lang w:val="en-GB"/>
        </w:rPr>
        <w:t>.</w:t>
      </w:r>
    </w:p>
    <w:p w14:paraId="3C1290E9" w14:textId="77777777" w:rsidR="00C4280C" w:rsidRPr="00C4280C" w:rsidRDefault="00C4280C" w:rsidP="00416662">
      <w:pPr>
        <w:pStyle w:val="SMText"/>
        <w:spacing w:line="276" w:lineRule="auto"/>
        <w:rPr>
          <w:lang w:val="en-GB"/>
        </w:rPr>
      </w:pPr>
    </w:p>
    <w:p w14:paraId="2F4E1A67" w14:textId="77777777" w:rsidR="00C4280C" w:rsidRPr="00C4280C" w:rsidRDefault="00C4280C" w:rsidP="00416662">
      <w:pPr>
        <w:pStyle w:val="SMText"/>
        <w:spacing w:line="276" w:lineRule="auto"/>
        <w:ind w:firstLine="0"/>
        <w:rPr>
          <w:lang w:val="en-GB"/>
        </w:rPr>
      </w:pPr>
      <w:r w:rsidRPr="00C4280C">
        <w:rPr>
          <w:lang w:val="en-GB"/>
        </w:rPr>
        <w:t>The supply side of the economy is modelled by nested Constant Elasticities of Substitution (CES) functions. Goods and services are produced with a combination of primary production factors (land, labour, capital and natural resources) as well as with domestic and imported intermediates. The production structure therefore resembles the information of input-output tables. The nesting structure allows for different levels of substitutability between different primary production factors and between different intermediates at each nesting level. In contrast to the basic GTAP model, MAGNET provides a more flexible production structure that also allows for substitutability between specific primary factors and specific intermediates. In an agricultural context this allows, e.g., to model the substitutability between land and fertilizer inputs. Substitution takes place when relative prices change and the degree of substitutability at each stage of the production structure depends on the respective substitution elasticities.</w:t>
      </w:r>
    </w:p>
    <w:p w14:paraId="6257C080" w14:textId="77777777" w:rsidR="00C4280C" w:rsidRPr="00C4280C" w:rsidRDefault="00C4280C" w:rsidP="00416662">
      <w:pPr>
        <w:pStyle w:val="SMText"/>
        <w:spacing w:line="276" w:lineRule="auto"/>
        <w:rPr>
          <w:lang w:val="en-GB"/>
        </w:rPr>
      </w:pPr>
    </w:p>
    <w:p w14:paraId="5B80DB98" w14:textId="4A5823E7" w:rsidR="00C4280C" w:rsidRPr="00C4280C" w:rsidRDefault="00C4280C" w:rsidP="00416662">
      <w:pPr>
        <w:pStyle w:val="SMText"/>
        <w:spacing w:line="276" w:lineRule="auto"/>
        <w:ind w:firstLine="0"/>
        <w:rPr>
          <w:lang w:val="en-GB"/>
        </w:rPr>
      </w:pPr>
      <w:r w:rsidRPr="00C4280C">
        <w:rPr>
          <w:lang w:val="en-GB"/>
        </w:rPr>
        <w:t xml:space="preserve">Land is an important production factor for agricultural activities. In MAGNET, the total amount of land available is not exogenous as in most CGE models, but there is a dynamic land-supply function which is based on information from the IMAGE model </w:t>
      </w:r>
      <w:r w:rsidR="003D2324">
        <w:rPr>
          <w:lang w:val="en-GB"/>
        </w:rPr>
        <w:fldChar w:fldCharType="begin"/>
      </w:r>
      <w:r w:rsidR="00BB7752">
        <w:rPr>
          <w:lang w:val="en-GB"/>
        </w:rPr>
        <w:instrText xml:space="preserve"> ADDIN ZOTERO_ITEM CSL_CITATION {"citationID":"Bey1wQqj","properties":{"formattedCitation":"\\super 5\\nosupersub{}","plainCitation":"5","noteIndex":0},"citationItems":[{"id":"9UZPP0Go/XjeTr258","uris":["http://zotero.org/users/14122/items/VMFBEFY4"],"uri":["http://zotero.org/users/14122/items/VMFBEFY4"],"itemData":{"id":5933,"type":"article-journal","title":"The impact of different policy environments on agricultural land use in Europe","container-title":"Agriculture, Ecosystems &amp; Environment","page":"21-38","volume":"114","issue":"1","DOI":"10.1016/j.agee.2005.11.006","ISSN":"01678809","author":[{"family":"Meijl","given":"H.","non-dropping-particle":"van"},{"family":"Rheenen","given":"T.","non-dropping-particle":"van"},{"family":"Tabeau","given":"A."},{"family":"Eickhout","given":"B."}],"issued":{"date-parts":[["2006"]]}}}],"schema":"https://github.com/citation-style-language/schema/raw/master/csl-citation.json"} </w:instrText>
      </w:r>
      <w:r w:rsidR="003D2324">
        <w:rPr>
          <w:lang w:val="en-GB"/>
        </w:rPr>
        <w:fldChar w:fldCharType="separate"/>
      </w:r>
      <w:r w:rsidR="00BB7752" w:rsidRPr="00BB7752">
        <w:rPr>
          <w:szCs w:val="24"/>
          <w:vertAlign w:val="superscript"/>
        </w:rPr>
        <w:t>5</w:t>
      </w:r>
      <w:r w:rsidR="003D2324">
        <w:rPr>
          <w:lang w:val="en-GB"/>
        </w:rPr>
        <w:fldChar w:fldCharType="end"/>
      </w:r>
      <w:r w:rsidRPr="00C4280C">
        <w:rPr>
          <w:lang w:val="en-GB"/>
        </w:rPr>
        <w:t xml:space="preserve">. In IMAGE, total land supply for each region is determined by potential crop productivity and land availability on a resolution of 5x5 arcminutes. The supply curve depends on total land supply, current agricultural area, current land price, and estimated price elasticity of land supply. These elasticities reflect regional differences in the endowment of suitable agricultural land. The price elasticity of land supply is small in regions where most of the area suitable for agriculture is in use, with little expansion occurring at high price changes. In contrast, in regions with a large reserve of suitable agricultural land, such as Sub-Saharan Africa and some regions in South America, the price elasticity of land supply is larger, with expansion of agricultural land occurring at smaller price changes </w:t>
      </w:r>
      <w:r w:rsidR="003D2324" w:rsidRPr="00A14459">
        <w:rPr>
          <w:lang w:val="en-GB"/>
        </w:rPr>
        <w:fldChar w:fldCharType="begin" w:fldLock="1"/>
      </w:r>
      <w:r w:rsidR="00BB7752">
        <w:rPr>
          <w:lang w:val="en-GB"/>
        </w:rPr>
        <w:instrText xml:space="preserve"> ADDIN ZOTERO_ITEM CSL_CITATION {"citationID":"3N4wWs8O","properties":{"formattedCitation":"\\super 1\\nosupersub{}","plainCitation":"1","noteIndex":0},"citationItems":[{"id":"9UZPP0Go/iLNv1GUB","uris":["http://www.mendeley.com/documents/?uuid=de694494-a89b-466e-ac37-81bd0eddb821","http://www.mendeley.com/documents/?uuid=21e728e3-3613-45dd-a599-1e8abfd61c29"],"uri":["http://www.mendeley.com/documents/?uuid=de694494-a89b-466e-ac37-81bd0eddb821","http://www.mendeley.com/documents/?uuid=21e728e3-3613-45dd-a599-1e8abfd61c29"],"itemData":{"author":[{"dropping-particle":"","family":"Woltjer","given":"Gerard Bastiaan","non-dropping-particle":"","parse-names":false,"suffix":""},{"dropping-particle":"","family":"Kuiper","given":"Marijke","non-dropping-particle":"","parse-names":false,"suffix":""},{"dropping-particle":"","family":"Kavallari","given":"Aikaterini","non-dropping-particle":"","parse-names":false,"suffix":""},{"dropping-particle":"","family":"Meijl","given":"Hans","non-dropping-particle":"van","parse-names":false,"suffix":""},{"dropping-particle":"","family":"Powell","given":"J P","non-dropping-particle":"","parse-names":false,"suffix":""},{"dropping-particle":"","family":"Rutten","given":"M M","non-dropping-particle":"","parse-names":false,"suffix":""},{"dropping-particle":"","family":"Shutes","given":"L J","non-dropping-particle":"","parse-names":false,"suffix":""},{"dropping-particle":"","family":"Tabeau","given":"A A","non-dropping-particle":"","parse-names":false,"suffix":""}],"id":"ITEM-1","issued":{"date-parts":[["2014"]]},"publisher":"LEI Wageningen UR","title":"The MAGNET model: Module description","type":"report"}}],"schema":"https://github.com/citation-style-language/schema/raw/master/csl-citation.json"} </w:instrText>
      </w:r>
      <w:r w:rsidR="003D2324" w:rsidRPr="00A14459">
        <w:rPr>
          <w:lang w:val="en-GB"/>
        </w:rPr>
        <w:fldChar w:fldCharType="separate"/>
      </w:r>
      <w:r w:rsidR="00BB7752" w:rsidRPr="00BB7752">
        <w:rPr>
          <w:szCs w:val="24"/>
          <w:vertAlign w:val="superscript"/>
        </w:rPr>
        <w:t>1</w:t>
      </w:r>
      <w:r w:rsidR="003D2324" w:rsidRPr="00A14459">
        <w:fldChar w:fldCharType="end"/>
      </w:r>
      <w:r w:rsidRPr="00C4280C">
        <w:rPr>
          <w:lang w:val="en-GB"/>
        </w:rPr>
        <w:t xml:space="preserve">. A nested land-use structure accounts for the differences in substitutability of the various types of land use </w:t>
      </w:r>
      <w:r w:rsidR="003D2324">
        <w:rPr>
          <w:lang w:val="en-GB"/>
        </w:rPr>
        <w:fldChar w:fldCharType="begin"/>
      </w:r>
      <w:r w:rsidR="00BB7752">
        <w:rPr>
          <w:lang w:val="en-GB"/>
        </w:rPr>
        <w:instrText xml:space="preserve"> ADDIN ZOTERO_ITEM CSL_CITATION {"citationID":"N7v8EX5A","properties":{"formattedCitation":"\\super 5,6\\nosupersub{}","plainCitation":"5,6","noteIndex":0},"citationItems":[{"id":"9UZPP0Go/XjeTr258","uris":["http://zotero.org/users/14122/items/VMFBEFY4"],"uri":["http://zotero.org/users/14122/items/VMFBEFY4"],"itemData":{"id":5933,"type":"article-journal","title":"The impact of different policy environments on agricultural land use in Europe","container-title":"Agriculture, Ecosystems &amp; Environment","page":"21-38","volume":"114","issue":"1","DOI":"10.1016/j.agee.2005.11.006","ISSN":"01678809","author":[{"family":"Meijl","given":"H.","non-dropping-particle":"van"},{"family":"Rheenen","given":"T.","non-dropping-particle":"van"},{"family":"Tabeau","given":"A."},{"family":"Eickhout","given":"B."}],"issued":{"date-parts":[["2006"]]}}},{"id":"9UZPP0Go/GhCy1Juy","uris":["http://zotero.org/users/14122/items/GXTZU4DG"],"uri":["http://zotero.org/users/14122/items/GXTZU4DG"],"itemData":{"id":5935,"type":"chapter","title":"Agricultural Domestic Support","container-title":"Global Trade, Assistance, and Production: The GTAP 8 Data Base","publisher":"Global Trade Analysis Project (GTAP)","publisher-place":"Department of Agricultural Economics, Purdue University, West Lafayette, IN","event-place":"Department of Agricultural Economics, Purdue University, West Lafayette, IN","abstract":"This chapter documents how domestic support levels are calculated from the OECD Producer Support Estimate (PSE) and incorporated into the GTAP 8 Data Base.","URL":"https://www.gtap.agecon.purdue.edu/resources/res_display.asp?RecordID=4296","editor":[{"family":"G","given":"Badri Narayanan"},{"family":"Aguiar","given":"Angel"},{"family":"McDougall","given":"Robert"}],"author":[{"family":"Huang","given":"Hsin"}],"issued":{"date-parts":[["2013"]]}}}],"schema":"https://github.com/citation-style-language/schema/raw/master/csl-citation.json"} </w:instrText>
      </w:r>
      <w:r w:rsidR="003D2324">
        <w:rPr>
          <w:lang w:val="en-GB"/>
        </w:rPr>
        <w:fldChar w:fldCharType="separate"/>
      </w:r>
      <w:r w:rsidR="00BB7752" w:rsidRPr="00BB7752">
        <w:rPr>
          <w:szCs w:val="24"/>
          <w:vertAlign w:val="superscript"/>
        </w:rPr>
        <w:t>5,6</w:t>
      </w:r>
      <w:r w:rsidR="003D2324">
        <w:rPr>
          <w:lang w:val="en-GB"/>
        </w:rPr>
        <w:fldChar w:fldCharType="end"/>
      </w:r>
      <w:r w:rsidRPr="00C4280C">
        <w:rPr>
          <w:lang w:val="en-GB"/>
        </w:rPr>
        <w:t xml:space="preserve">. For example, the ease of transforming land used for pasture into land used for sugar crops production is different from transforming land used for wheat cultivation into land used for oilseeds production. </w:t>
      </w:r>
    </w:p>
    <w:p w14:paraId="7975420A" w14:textId="77777777" w:rsidR="00C4280C" w:rsidRPr="00C4280C" w:rsidRDefault="00C4280C" w:rsidP="00416662">
      <w:pPr>
        <w:pStyle w:val="SMText"/>
        <w:spacing w:line="276" w:lineRule="auto"/>
        <w:rPr>
          <w:lang w:val="en-GB"/>
        </w:rPr>
      </w:pPr>
    </w:p>
    <w:p w14:paraId="22736216" w14:textId="23C1CC9A" w:rsidR="00C4280C" w:rsidRPr="00C4280C" w:rsidRDefault="00C4280C" w:rsidP="00416662">
      <w:pPr>
        <w:pStyle w:val="SMText"/>
        <w:spacing w:line="276" w:lineRule="auto"/>
        <w:ind w:firstLine="0"/>
      </w:pPr>
      <w:r w:rsidRPr="00C4280C">
        <w:t xml:space="preserve">The model aggregation </w:t>
      </w:r>
      <w:r w:rsidR="006614B9">
        <w:t xml:space="preserve">resolves 19 countries and regions (Table S1), each with </w:t>
      </w:r>
      <w:r w:rsidRPr="00C4280C">
        <w:t xml:space="preserve">34 different products (Table </w:t>
      </w:r>
      <w:r w:rsidR="004B5495">
        <w:t>S</w:t>
      </w:r>
      <w:r w:rsidRPr="00C4280C">
        <w:t>2)</w:t>
      </w:r>
      <w:r w:rsidR="006614B9">
        <w:t>. The</w:t>
      </w:r>
      <w:r w:rsidRPr="00C4280C">
        <w:t xml:space="preserve"> agricultural products represented as explicitly as possible given the data provided by GTAP. The 26 agricultural sectors include primary agriculture such as animal husbandry, wheat production and raw milk, processing sectors such as meat production and dairy, as well as sectors for bio energy (bio diesel and bio ethanol). We aggregated the remaining manufacturing and service sectors into one aggregate each, in line with the agricultural focus of our analysis.  </w:t>
      </w:r>
    </w:p>
    <w:p w14:paraId="3F86A18F" w14:textId="77777777" w:rsidR="00C4280C" w:rsidRPr="00C4280C" w:rsidRDefault="00C4280C" w:rsidP="00416662">
      <w:pPr>
        <w:pStyle w:val="SMText"/>
        <w:spacing w:line="276" w:lineRule="auto"/>
      </w:pPr>
    </w:p>
    <w:p w14:paraId="2AF0D44D" w14:textId="5207B1F2" w:rsidR="00C4280C" w:rsidRPr="00C4280C" w:rsidRDefault="00C4280C" w:rsidP="00416662">
      <w:pPr>
        <w:pStyle w:val="SMText"/>
        <w:spacing w:line="276" w:lineRule="auto"/>
        <w:ind w:firstLine="0"/>
        <w:rPr>
          <w:lang w:val="en-GB"/>
        </w:rPr>
      </w:pPr>
      <w:r w:rsidRPr="00C4280C">
        <w:rPr>
          <w:lang w:val="en-GB"/>
        </w:rPr>
        <w:t xml:space="preserve">MAGNET features a baseline projection that accounts for changes in key economic variables up to the year 2030. Projections of changes in biophysical yields of crops and pastures that account for changes in climate and land use were adapted from the IMAGE integrated-assessment model, and projections of changes in real GDP and population were adopted from the shared socio-economic development pathways developed by the modelling community </w:t>
      </w:r>
      <w:r w:rsidR="008A1ECE" w:rsidRPr="00A14459">
        <w:rPr>
          <w:lang w:val="en-GB"/>
        </w:rPr>
        <w:fldChar w:fldCharType="begin" w:fldLock="1"/>
      </w:r>
      <w:r w:rsidR="00BB7752">
        <w:rPr>
          <w:lang w:val="en-GB"/>
        </w:rPr>
        <w:instrText xml:space="preserve"> ADDIN ZOTERO_ITEM CSL_CITATION {"citationID":"gH3rmV91","properties":{"formattedCitation":"\\super 7\\nosupersub{}","plainCitation":"7","noteIndex":0},"citationItems":[{"id":"9UZPP0Go/LEEaDuaA","uris":["http://www.mendeley.com/documents/?uuid=67e0ea7d-c5d8-3443-8870-2c04d6ad1b58"],"uri":["http://www.mendeley.com/documents/?uuid=67e0ea7d-c5d8-3443-8870-2c04d6ad1b58"],"itemData":{"DOI":"10.1016/j.gloenvcha.2016.05.009","ISSN":"09593780","abstract":"This paper presents the overview of the Shared Socioeconomic Pathways (SSPs) and their energy, land use, and emissions implications. The SSPs are part of a new scenario framework, established by the climate change research community in order to facilitate the integrated analysis of future climate impacts, vulnerabilities, adaptation, and mitigation. The pathways were developed over the last years as a joint community effort and describe plausible major global developments that together would lead in the future to different challenges for mitigation and adaptation to climate change. The SSPs are based on five narratives describing alternative socio-economic developments, including sustainable development, regional rivalry, inequality, fossil-fueled development, and middle-of-the-road development. The long-term demographic and economic projections of the SSPs depict a wide uncertainty range consistent with the scenario literature. A multi-model approach was used for the elaboration of the energy, land-use and the emissions trajectories of SSP-based scenarios. The baseline scenarios lead to global energy consumption of 400–1200 EJ in 2100, and feature vastly different land-use dynamics, ranging from a possible reduction in cropland area up to a massive expansion by more than 700 million hectares by 2100. The associated annual CO2 emissions of the baseline scenarios range from about 25 GtCO2 to more than 120 GtCO2 per year by 2100. With respect to mitigation, we find that associated costs strongly depend on three factors: (1) the policy assumptions, (2) the socio-economic narrative, and (3) the stringency of the target. The carbon price for reaching the target of 2.6 W/m2 that is consistent with a temperature change limit of 2 °C, differs in our analysis thus by about a factor of three across the SSP marker scenarios. Moreover, many models could not reach this target from the SSPs with high mitigation challenges. While the SSPs were designed to represent different mitigation and adaptation challenges, the resulting narratives and quantifications span a wide range of different futures broadly representative of the current literature. This allows their subsequent use and development in new assessments and research projects. Critical next steps for the community scenario process will, among others, involve regional and sectoral extensions, further elaboration of the adaptation and impacts dimension, as well as employing the SSP scenarios with the new generatio…","author":[{"dropping-particle":"","family":"Riahi","given":"Keywan","non-dropping-particle":"","parse-names":false,"suffix":""},{"dropping-particle":"","family":"Vuuren","given":"Detlef P.","non-dropping-particle":"van","parse-names":false,"suffix":""},{"dropping-particle":"","family":"Kriegler","given":"Elmar","non-dropping-particle":"","parse-names":false,"suffix":""},{"dropping-particle":"","family":"Edmonds","given":"Jae","non-dropping-particle":"","parse-names":false,"suffix":""},{"dropping-particle":"","family":"O'Neill","given":"Brian C.","non-dropping-particle":"","parse-names":false,"suffix":""},{"dropping-particle":"","family":"Fujimori","given":"Shinichiro","non-dropping-particle":"","parse-names":false,"suffix":""},{"dropping-particle":"","family":"Bauer","given":"Nico","non-dropping-particle":"","parse-names":false,"suffix":""},{"dropping-particle":"","family":"Calvin","given":"Katherine","non-dropping-particle":"","parse-names":false,"suffix":""},{"dropping-particle":"","family":"Dellink","given":"Rob","non-dropping-particle":"","parse-names":false,"suffix":""},{"dropping-particle":"","family":"Fricko","given":"Oliver","non-dropping-particle":"","parse-names":false,"suffix":""},{"dropping-particle":"","family":"Lutz","given":"Wolfgang","non-dropping-particle":"","parse-names":false,"suffix":""},{"dropping-particle":"","family":"Popp","given":"Alexander","non-dropping-particle":"","parse-names":false,"suffix":""},{"dropping-particle":"","family":"Cuaresma","given":"Jesus Crespo","non-dropping-particle":"","parse-names":false,"suffix":""},{"dropping-particle":"","family":"KC","given":"Samir","non-dropping-particle":"","parse-names":false,"suffix":""},{"dropping-particle":"","family":"Leimbach","given":"Marian","non-dropping-particle":"","parse-names":false,"suffix":""},{"dropping-particle":"","family":"Jiang","given":"Leiwen","non-dropping-particle":"","parse-names":false,"suffix":""},{"dropping-particle":"","family":"Kram","given":"Tom","non-dropping-particle":"","parse-names":false,"suffix":""},{"dropping-particle":"","family":"Rao","given":"Shilpa","non-dropping-particle":"","parse-names":false,"suffix":""},{"dropping-particle":"","family":"Emmerling","given":"Johannes","non-dropping-particle":"","parse-names":false,"suffix":""},{"dropping-particle":"","family":"Ebi","given":"Kristie","non-dropping-particle":"","parse-names":false,"suffix":""},{"dropping-particle":"","family":"Hasegawa","given":"Tomoko","non-dropping-particle":"","parse-names":false,"suffix":""},{"dropping-particle":"","family":"Havlik","given":"Petr","non-dropping-particle":"","parse-names":false,"suffix":""},{"dropping-particle":"","family":"Humpenöder","given":"Florian","non-dropping-particle":"","parse-names":false,"suffix":""},{"dropping-particle":"","family":"Silva","given":"Lara Aleluia","non-dropping-particle":"Da","parse-names":false,"suffix":""},{"dropping-particle":"","family":"Smith","given":"Steve","non-dropping-particle":"","parse-names":false,"suffix":""},{"dropping-particle":"","family":"Stehfest","given":"Elke","non-dropping-particle":"","parse-names":false,"suffix":""},{"dropping-particle":"","family":"Bosetti","given":"Valentina","non-dropping-particle":"","parse-names":false,"suffix":""},{"dropping-particle":"","family":"Eom","given":"Jiyong","non-dropping-particle":"","parse-names":false,"suffix":""},{"dropping-particle":"","family":"Gernaat","given":"David","non-dropping-particle":"","parse-names":false,"suffix":""},{"dropping-particle":"","family":"Masui","given":"Toshihiko","non-dropping-particle":"","parse-names":false,"suffix":""},{"dropping-particle":"","family":"Rogelj","given":"Joeri","non-dropping-particle":"","parse-names":false,"suffix":""},{"dropping-particle":"","family":"Strefler","given":"Jessica","non-dropping-particle":"","parse-names":false,"suffix":""},{"dropping-particle":"","family":"Drouet","given":"Laurent","non-dropping-particle":"","parse-names":false,"suffix":""},{"dropping-particle":"","family":"Krey","given":"Volker","non-dropping-particle":"","parse-names":false,"suffix":""},{"dropping-particle":"","family":"Luderer","given":"Gunnar","non-dropping-particle":"","parse-names":false,"suffix":""},{"dropping-particle":"","family":"Harmsen","given":"Mathijs","non-dropping-particle":"","parse-names":false,"suffix":""},{"dropping-particle":"","family":"Takahashi","given":"Kiyoshi","non-dropping-particle":"","parse-names":false,"suffix":""},{"dropping-particle":"","family":"Baumstark","given":"Lavinia","non-dropping-particle":"","parse-names":false,"suffix":""},{"dropping-particle":"","family":"Doelman","given":"Jonathan C.","non-dropping-particle":"","parse-names":false,"suffix":""},{"dropping-particle":"","family":"Kainuma","given":"Mikiko","non-dropping-particle":"","parse-names":false,"suffix":""},{"dropping-particle":"","family":"Klimont","given":"Zbigniew","non-dropping-particle":"","parse-names":false,"suffix":""},{"dropping-particle":"","family":"Marangoni","given":"Giacomo","non-dropping-particle":"","parse-names":false,"suffix":""},{"dropping-particle":"","family":"Lotze-Campen","given":"Hermann","non-dropping-particle":"","parse-names":false,"suffix":""},{"dropping-particle":"","family":"Obersteiner","given":"Michael","non-dropping-particle":"","parse-names":false,"suffix":""},{"dropping-particle":"","family":"Tabeau","given":"Andrzej","non-dropping-particle":"","parse-names":false,"suffix":""},{"dropping-particle":"","family":"Tavoni","given":"Massimo","non-dropping-particle":"","parse-names":false,"suffix":""}],"container-title":"Global Environmental Change","id":"ITEM-1","issued":{"date-parts":[["2017","1","1"]]},"page":"153-168","publisher":"Elsevier Ltd","title":"The Shared Socioeconomic Pathways and their energy, land use, and greenhouse gas emissions implications: An overview","type":"article-journal","volume":"42"}}],"schema":"https://github.com/citation-style-language/schema/raw/master/csl-citation.json"} </w:instrText>
      </w:r>
      <w:r w:rsidR="008A1ECE" w:rsidRPr="00A14459">
        <w:rPr>
          <w:lang w:val="en-GB"/>
        </w:rPr>
        <w:fldChar w:fldCharType="separate"/>
      </w:r>
      <w:r w:rsidR="00BB7752" w:rsidRPr="00BB7752">
        <w:rPr>
          <w:szCs w:val="24"/>
          <w:vertAlign w:val="superscript"/>
        </w:rPr>
        <w:t>7</w:t>
      </w:r>
      <w:r w:rsidR="008A1ECE" w:rsidRPr="00A14459">
        <w:fldChar w:fldCharType="end"/>
      </w:r>
      <w:r w:rsidRPr="00C4280C">
        <w:rPr>
          <w:lang w:val="en-GB"/>
        </w:rPr>
        <w:t>. For the main analysis, we used a middle-of-the-road development pathway (SSP2</w:t>
      </w:r>
      <w:r w:rsidR="006614B9">
        <w:rPr>
          <w:lang w:val="en-GB"/>
        </w:rPr>
        <w:t>)</w:t>
      </w:r>
      <w:r w:rsidRPr="00C4280C">
        <w:rPr>
          <w:lang w:val="en-GB"/>
        </w:rPr>
        <w:t>.</w:t>
      </w:r>
    </w:p>
    <w:p w14:paraId="6F68B692" w14:textId="795351C7" w:rsidR="00E97167" w:rsidRDefault="00E97167" w:rsidP="006614B9">
      <w:pPr>
        <w:pStyle w:val="SMText"/>
        <w:spacing w:line="276" w:lineRule="auto"/>
        <w:ind w:firstLine="0"/>
        <w:rPr>
          <w:lang w:val="en-GB"/>
        </w:rPr>
      </w:pPr>
    </w:p>
    <w:p w14:paraId="0C7525E0" w14:textId="053AA91E" w:rsidR="006614B9" w:rsidRDefault="006614B9" w:rsidP="006614B9">
      <w:pPr>
        <w:pStyle w:val="SMText"/>
        <w:spacing w:line="276" w:lineRule="auto"/>
        <w:ind w:firstLine="0"/>
        <w:rPr>
          <w:lang w:val="en-GB"/>
        </w:rPr>
      </w:pPr>
    </w:p>
    <w:p w14:paraId="367693DA" w14:textId="35DE7719" w:rsidR="006614B9" w:rsidRDefault="006614B9" w:rsidP="006614B9">
      <w:pPr>
        <w:pStyle w:val="SMText"/>
        <w:spacing w:line="276" w:lineRule="auto"/>
        <w:ind w:firstLine="0"/>
        <w:rPr>
          <w:lang w:val="en-GB"/>
        </w:rPr>
      </w:pPr>
    </w:p>
    <w:p w14:paraId="328BB979" w14:textId="3355D86C" w:rsidR="006614B9" w:rsidRDefault="006614B9" w:rsidP="006614B9">
      <w:pPr>
        <w:pStyle w:val="SMText"/>
        <w:spacing w:line="276" w:lineRule="auto"/>
        <w:ind w:firstLine="0"/>
        <w:rPr>
          <w:lang w:val="en-GB"/>
        </w:rPr>
      </w:pPr>
    </w:p>
    <w:p w14:paraId="7F5C78FA" w14:textId="199A158B" w:rsidR="00BB7752" w:rsidRDefault="00BB7752" w:rsidP="006614B9">
      <w:pPr>
        <w:pStyle w:val="SMText"/>
        <w:spacing w:line="276" w:lineRule="auto"/>
        <w:ind w:firstLine="0"/>
        <w:rPr>
          <w:lang w:val="en-GB"/>
        </w:rPr>
      </w:pPr>
    </w:p>
    <w:p w14:paraId="47393FC0" w14:textId="7A4F82D0" w:rsidR="00BB7752" w:rsidRDefault="00BB7752" w:rsidP="006614B9">
      <w:pPr>
        <w:pStyle w:val="SMText"/>
        <w:spacing w:line="276" w:lineRule="auto"/>
        <w:ind w:firstLine="0"/>
        <w:rPr>
          <w:lang w:val="en-GB"/>
        </w:rPr>
      </w:pPr>
    </w:p>
    <w:p w14:paraId="575A4C23" w14:textId="77777777" w:rsidR="00BB7752" w:rsidRDefault="00BB7752" w:rsidP="006614B9">
      <w:pPr>
        <w:pStyle w:val="SMText"/>
        <w:spacing w:line="276" w:lineRule="auto"/>
        <w:ind w:firstLine="0"/>
        <w:rPr>
          <w:lang w:val="en-GB"/>
        </w:rPr>
      </w:pPr>
    </w:p>
    <w:p w14:paraId="21519913" w14:textId="526A1FA7" w:rsidR="006614B9" w:rsidRDefault="006614B9" w:rsidP="006614B9">
      <w:pPr>
        <w:pStyle w:val="SMText"/>
        <w:spacing w:line="276" w:lineRule="auto"/>
        <w:ind w:firstLine="0"/>
        <w:rPr>
          <w:lang w:val="en-GB"/>
        </w:rPr>
      </w:pPr>
    </w:p>
    <w:p w14:paraId="4C4D3AE2" w14:textId="77777777" w:rsidR="006614B9" w:rsidRDefault="006614B9" w:rsidP="006614B9">
      <w:pPr>
        <w:pStyle w:val="SMText"/>
        <w:spacing w:line="276" w:lineRule="auto"/>
        <w:ind w:firstLine="0"/>
        <w:rPr>
          <w:lang w:val="en-GB"/>
        </w:rPr>
      </w:pPr>
    </w:p>
    <w:p w14:paraId="16774D31" w14:textId="6A7D422F" w:rsidR="006614B9" w:rsidRDefault="006614B9" w:rsidP="006614B9">
      <w:pPr>
        <w:pStyle w:val="SMText"/>
        <w:spacing w:line="276" w:lineRule="auto"/>
        <w:ind w:firstLine="0"/>
        <w:rPr>
          <w:lang w:val="en-GB"/>
        </w:rPr>
      </w:pPr>
    </w:p>
    <w:p w14:paraId="62610473" w14:textId="176F5BC2" w:rsidR="006614B9" w:rsidRDefault="006614B9" w:rsidP="006614B9">
      <w:pPr>
        <w:pStyle w:val="SMText"/>
        <w:spacing w:line="276" w:lineRule="auto"/>
        <w:ind w:firstLine="0"/>
        <w:rPr>
          <w:lang w:val="en-GB"/>
        </w:rPr>
      </w:pPr>
    </w:p>
    <w:p w14:paraId="261FED9B" w14:textId="255A1714" w:rsidR="006614B9" w:rsidRDefault="006614B9" w:rsidP="006614B9">
      <w:pPr>
        <w:pStyle w:val="SMText"/>
        <w:spacing w:line="276" w:lineRule="auto"/>
        <w:ind w:firstLine="0"/>
        <w:rPr>
          <w:lang w:val="en-GB"/>
        </w:rPr>
      </w:pPr>
    </w:p>
    <w:p w14:paraId="0C341E4E" w14:textId="77777777" w:rsidR="006614B9" w:rsidRDefault="006614B9" w:rsidP="006614B9">
      <w:pPr>
        <w:pStyle w:val="SMText"/>
        <w:spacing w:line="276" w:lineRule="auto"/>
        <w:ind w:firstLine="0"/>
        <w:rPr>
          <w:lang w:val="en-GB"/>
        </w:rPr>
      </w:pPr>
    </w:p>
    <w:p w14:paraId="1CB87131" w14:textId="630D8A15" w:rsidR="004B5495" w:rsidRDefault="004B5495" w:rsidP="00416662">
      <w:pPr>
        <w:pStyle w:val="SMHeading"/>
        <w:spacing w:line="276" w:lineRule="auto"/>
      </w:pPr>
      <w:bookmarkStart w:id="3" w:name="_Toc58791047"/>
      <w:r>
        <w:lastRenderedPageBreak/>
        <w:t>Table S1.</w:t>
      </w:r>
      <w:bookmarkEnd w:id="3"/>
    </w:p>
    <w:p w14:paraId="06290E27" w14:textId="77777777" w:rsidR="004B5495" w:rsidRDefault="004B5495" w:rsidP="00416662">
      <w:pPr>
        <w:pStyle w:val="SMcaption"/>
        <w:spacing w:line="276" w:lineRule="auto"/>
        <w:rPr>
          <w:lang w:val="en-GB"/>
        </w:rPr>
      </w:pPr>
      <w:r>
        <w:rPr>
          <w:lang w:val="en-GB"/>
        </w:rPr>
        <w:t>Regional aggregation.</w:t>
      </w:r>
    </w:p>
    <w:p w14:paraId="79C91308" w14:textId="770A5D8A" w:rsidR="00C4280C" w:rsidRPr="00C4280C" w:rsidRDefault="006614B9" w:rsidP="00416662">
      <w:pPr>
        <w:pStyle w:val="SMcaption"/>
        <w:spacing w:line="276" w:lineRule="auto"/>
        <w:rPr>
          <w:lang w:val="en-GB"/>
        </w:rPr>
      </w:pPr>
      <w:r w:rsidRPr="006614B9">
        <w:rPr>
          <w:noProof/>
        </w:rPr>
        <w:drawing>
          <wp:inline distT="0" distB="0" distL="0" distR="0" wp14:anchorId="051CBADA" wp14:editId="22DAF062">
            <wp:extent cx="4229100" cy="6309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3485" cy="6315809"/>
                    </a:xfrm>
                    <a:prstGeom prst="rect">
                      <a:avLst/>
                    </a:prstGeom>
                    <a:noFill/>
                    <a:ln>
                      <a:noFill/>
                    </a:ln>
                  </pic:spPr>
                </pic:pic>
              </a:graphicData>
            </a:graphic>
          </wp:inline>
        </w:drawing>
      </w:r>
    </w:p>
    <w:p w14:paraId="31EC20EE" w14:textId="2BFAB299" w:rsidR="00C4280C" w:rsidRDefault="00C4280C" w:rsidP="00416662">
      <w:pPr>
        <w:pStyle w:val="SMText"/>
        <w:spacing w:line="276" w:lineRule="auto"/>
        <w:rPr>
          <w:lang w:val="en-GB"/>
        </w:rPr>
      </w:pPr>
    </w:p>
    <w:p w14:paraId="4BA26DAD" w14:textId="4444B2D9" w:rsidR="004B5495" w:rsidRDefault="004B5495" w:rsidP="008A7375">
      <w:pPr>
        <w:pStyle w:val="SMText"/>
        <w:spacing w:line="276" w:lineRule="auto"/>
        <w:ind w:firstLine="0"/>
        <w:rPr>
          <w:lang w:val="en-GB"/>
        </w:rPr>
      </w:pPr>
    </w:p>
    <w:p w14:paraId="1A8E011B" w14:textId="3A62227B" w:rsidR="008A7375" w:rsidRDefault="008A7375" w:rsidP="008A7375">
      <w:pPr>
        <w:pStyle w:val="SMText"/>
        <w:spacing w:line="276" w:lineRule="auto"/>
        <w:ind w:firstLine="0"/>
        <w:rPr>
          <w:lang w:val="en-GB"/>
        </w:rPr>
      </w:pPr>
    </w:p>
    <w:p w14:paraId="61D19ED9" w14:textId="2114BE49" w:rsidR="008A7375" w:rsidRDefault="008A7375" w:rsidP="008A7375">
      <w:pPr>
        <w:pStyle w:val="SMText"/>
        <w:spacing w:line="276" w:lineRule="auto"/>
        <w:ind w:firstLine="0"/>
        <w:rPr>
          <w:lang w:val="en-GB"/>
        </w:rPr>
      </w:pPr>
    </w:p>
    <w:p w14:paraId="33D4AF04" w14:textId="6C49C32A" w:rsidR="008A7375" w:rsidRDefault="008A7375" w:rsidP="008A7375">
      <w:pPr>
        <w:pStyle w:val="SMText"/>
        <w:spacing w:line="276" w:lineRule="auto"/>
        <w:ind w:firstLine="0"/>
        <w:rPr>
          <w:lang w:val="en-GB"/>
        </w:rPr>
      </w:pPr>
    </w:p>
    <w:p w14:paraId="64D11A11" w14:textId="1D546B17" w:rsidR="008A7375" w:rsidRDefault="008A7375" w:rsidP="008A7375">
      <w:pPr>
        <w:pStyle w:val="SMText"/>
        <w:spacing w:line="276" w:lineRule="auto"/>
        <w:ind w:firstLine="0"/>
        <w:rPr>
          <w:lang w:val="en-GB"/>
        </w:rPr>
      </w:pPr>
    </w:p>
    <w:p w14:paraId="4A9D01E9" w14:textId="6DF383DA" w:rsidR="008A7375" w:rsidRDefault="008A7375" w:rsidP="008A7375">
      <w:pPr>
        <w:pStyle w:val="SMText"/>
        <w:spacing w:line="276" w:lineRule="auto"/>
        <w:ind w:firstLine="0"/>
        <w:rPr>
          <w:lang w:val="en-GB"/>
        </w:rPr>
      </w:pPr>
    </w:p>
    <w:p w14:paraId="32162434" w14:textId="056BF5E2" w:rsidR="008A7375" w:rsidRDefault="008A7375" w:rsidP="008A7375">
      <w:pPr>
        <w:pStyle w:val="SMText"/>
        <w:spacing w:line="276" w:lineRule="auto"/>
        <w:ind w:firstLine="0"/>
        <w:rPr>
          <w:lang w:val="en-GB"/>
        </w:rPr>
      </w:pPr>
    </w:p>
    <w:p w14:paraId="19C48445" w14:textId="77777777" w:rsidR="008A7375" w:rsidRDefault="008A7375" w:rsidP="008A7375">
      <w:pPr>
        <w:pStyle w:val="SMText"/>
        <w:spacing w:line="276" w:lineRule="auto"/>
        <w:ind w:firstLine="0"/>
        <w:rPr>
          <w:lang w:val="en-GB"/>
        </w:rPr>
      </w:pPr>
    </w:p>
    <w:p w14:paraId="0602AA1F" w14:textId="14E6F2C4" w:rsidR="004B5495" w:rsidRDefault="004B5495" w:rsidP="00416662">
      <w:pPr>
        <w:pStyle w:val="SMHeading"/>
        <w:spacing w:line="276" w:lineRule="auto"/>
      </w:pPr>
      <w:bookmarkStart w:id="4" w:name="_Toc58791048"/>
      <w:r>
        <w:lastRenderedPageBreak/>
        <w:t>Table S2.</w:t>
      </w:r>
      <w:bookmarkEnd w:id="4"/>
    </w:p>
    <w:p w14:paraId="3F2907B9" w14:textId="77777777" w:rsidR="004B5495" w:rsidRDefault="004B5495" w:rsidP="00416662">
      <w:pPr>
        <w:pStyle w:val="SMcaption"/>
        <w:spacing w:line="276" w:lineRule="auto"/>
        <w:rPr>
          <w:lang w:val="en-GB"/>
        </w:rPr>
      </w:pPr>
      <w:r>
        <w:rPr>
          <w:lang w:val="en-GB"/>
        </w:rPr>
        <w:t>Sectoral aggregation</w:t>
      </w:r>
    </w:p>
    <w:tbl>
      <w:tblPr>
        <w:tblW w:w="7780" w:type="dxa"/>
        <w:tblLook w:val="04A0" w:firstRow="1" w:lastRow="0" w:firstColumn="1" w:lastColumn="0" w:noHBand="0" w:noVBand="1"/>
      </w:tblPr>
      <w:tblGrid>
        <w:gridCol w:w="1300"/>
        <w:gridCol w:w="3580"/>
        <w:gridCol w:w="2900"/>
      </w:tblGrid>
      <w:tr w:rsidR="0078620D" w:rsidRPr="0078620D" w14:paraId="7F3CEADE" w14:textId="77777777" w:rsidTr="0078620D">
        <w:trPr>
          <w:trHeight w:val="528"/>
        </w:trPr>
        <w:tc>
          <w:tcPr>
            <w:tcW w:w="1300" w:type="dxa"/>
            <w:tcBorders>
              <w:top w:val="single" w:sz="4" w:space="0" w:color="auto"/>
              <w:left w:val="nil"/>
              <w:bottom w:val="single" w:sz="4" w:space="0" w:color="auto"/>
              <w:right w:val="nil"/>
            </w:tcBorders>
            <w:shd w:val="clear" w:color="auto" w:fill="auto"/>
            <w:vAlign w:val="center"/>
            <w:hideMark/>
          </w:tcPr>
          <w:p w14:paraId="1E12077D"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Arial"/>
                <w:bCs/>
                <w:color w:val="000000"/>
                <w:sz w:val="18"/>
                <w:szCs w:val="18"/>
                <w:lang w:eastAsia="en-GB"/>
              </w:rPr>
              <w:t>MAGNET aggregate</w:t>
            </w:r>
          </w:p>
        </w:tc>
        <w:tc>
          <w:tcPr>
            <w:tcW w:w="3580" w:type="dxa"/>
            <w:tcBorders>
              <w:top w:val="single" w:sz="4" w:space="0" w:color="auto"/>
              <w:left w:val="nil"/>
              <w:bottom w:val="single" w:sz="4" w:space="0" w:color="auto"/>
              <w:right w:val="nil"/>
            </w:tcBorders>
            <w:shd w:val="clear" w:color="auto" w:fill="auto"/>
            <w:vAlign w:val="center"/>
            <w:hideMark/>
          </w:tcPr>
          <w:p w14:paraId="34B5FE28"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Arial"/>
                <w:bCs/>
                <w:color w:val="000000"/>
                <w:sz w:val="18"/>
                <w:szCs w:val="18"/>
                <w:lang w:eastAsia="en-GB"/>
              </w:rPr>
              <w:t>Description</w:t>
            </w:r>
          </w:p>
        </w:tc>
        <w:tc>
          <w:tcPr>
            <w:tcW w:w="2900" w:type="dxa"/>
            <w:tcBorders>
              <w:top w:val="single" w:sz="4" w:space="0" w:color="auto"/>
              <w:left w:val="nil"/>
              <w:bottom w:val="single" w:sz="4" w:space="0" w:color="auto"/>
              <w:right w:val="nil"/>
            </w:tcBorders>
            <w:shd w:val="clear" w:color="auto" w:fill="auto"/>
            <w:vAlign w:val="center"/>
            <w:hideMark/>
          </w:tcPr>
          <w:p w14:paraId="44E423C4"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Arial"/>
                <w:bCs/>
                <w:color w:val="000000"/>
                <w:sz w:val="18"/>
                <w:szCs w:val="18"/>
                <w:lang w:eastAsia="en-GB"/>
              </w:rPr>
              <w:t>GTAP sectors</w:t>
            </w:r>
          </w:p>
        </w:tc>
      </w:tr>
      <w:tr w:rsidR="0078620D" w:rsidRPr="0078620D" w14:paraId="3975121C"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F0B5097"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pdr</w:t>
            </w:r>
            <w:proofErr w:type="spellEnd"/>
          </w:p>
        </w:tc>
        <w:tc>
          <w:tcPr>
            <w:tcW w:w="3580" w:type="dxa"/>
            <w:tcBorders>
              <w:top w:val="nil"/>
              <w:left w:val="nil"/>
              <w:bottom w:val="single" w:sz="4" w:space="0" w:color="auto"/>
              <w:right w:val="nil"/>
            </w:tcBorders>
            <w:shd w:val="clear" w:color="auto" w:fill="auto"/>
            <w:vAlign w:val="center"/>
            <w:hideMark/>
          </w:tcPr>
          <w:p w14:paraId="501F9A21"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Paddy rice</w:t>
            </w:r>
          </w:p>
        </w:tc>
        <w:tc>
          <w:tcPr>
            <w:tcW w:w="2900" w:type="dxa"/>
            <w:tcBorders>
              <w:top w:val="nil"/>
              <w:left w:val="nil"/>
              <w:bottom w:val="single" w:sz="4" w:space="0" w:color="auto"/>
              <w:right w:val="nil"/>
            </w:tcBorders>
            <w:shd w:val="clear" w:color="auto" w:fill="auto"/>
            <w:vAlign w:val="center"/>
            <w:hideMark/>
          </w:tcPr>
          <w:p w14:paraId="6768C5B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pdr</w:t>
            </w:r>
            <w:proofErr w:type="spellEnd"/>
          </w:p>
        </w:tc>
      </w:tr>
      <w:tr w:rsidR="0078620D" w:rsidRPr="0078620D" w14:paraId="10C4D373"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B448AD8"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wht</w:t>
            </w:r>
            <w:proofErr w:type="spellEnd"/>
          </w:p>
        </w:tc>
        <w:tc>
          <w:tcPr>
            <w:tcW w:w="3580" w:type="dxa"/>
            <w:tcBorders>
              <w:top w:val="nil"/>
              <w:left w:val="nil"/>
              <w:bottom w:val="single" w:sz="4" w:space="0" w:color="auto"/>
              <w:right w:val="nil"/>
            </w:tcBorders>
            <w:shd w:val="clear" w:color="auto" w:fill="auto"/>
            <w:vAlign w:val="center"/>
            <w:hideMark/>
          </w:tcPr>
          <w:p w14:paraId="6F8F7607"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Wheat</w:t>
            </w:r>
          </w:p>
        </w:tc>
        <w:tc>
          <w:tcPr>
            <w:tcW w:w="2900" w:type="dxa"/>
            <w:tcBorders>
              <w:top w:val="nil"/>
              <w:left w:val="nil"/>
              <w:bottom w:val="single" w:sz="4" w:space="0" w:color="auto"/>
              <w:right w:val="nil"/>
            </w:tcBorders>
            <w:shd w:val="clear" w:color="auto" w:fill="auto"/>
            <w:vAlign w:val="center"/>
            <w:hideMark/>
          </w:tcPr>
          <w:p w14:paraId="6DAFEA8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wht</w:t>
            </w:r>
            <w:proofErr w:type="spellEnd"/>
          </w:p>
        </w:tc>
      </w:tr>
      <w:tr w:rsidR="0078620D" w:rsidRPr="0078620D" w14:paraId="50881350"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9F0A23D"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gro</w:t>
            </w:r>
            <w:proofErr w:type="spellEnd"/>
          </w:p>
        </w:tc>
        <w:tc>
          <w:tcPr>
            <w:tcW w:w="3580" w:type="dxa"/>
            <w:tcBorders>
              <w:top w:val="nil"/>
              <w:left w:val="nil"/>
              <w:bottom w:val="single" w:sz="4" w:space="0" w:color="auto"/>
              <w:right w:val="nil"/>
            </w:tcBorders>
            <w:shd w:val="clear" w:color="auto" w:fill="auto"/>
            <w:vAlign w:val="center"/>
            <w:hideMark/>
          </w:tcPr>
          <w:p w14:paraId="4F8CF898"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 xml:space="preserve">Cereal grains </w:t>
            </w:r>
            <w:proofErr w:type="spellStart"/>
            <w:r w:rsidRPr="0078620D">
              <w:rPr>
                <w:rFonts w:ascii="Arial" w:hAnsi="Arial" w:cs="Calibri"/>
                <w:color w:val="000000"/>
                <w:sz w:val="18"/>
                <w:szCs w:val="18"/>
                <w:lang w:eastAsia="en-GB"/>
              </w:rPr>
              <w:t>nec</w:t>
            </w:r>
            <w:proofErr w:type="spellEnd"/>
          </w:p>
        </w:tc>
        <w:tc>
          <w:tcPr>
            <w:tcW w:w="2900" w:type="dxa"/>
            <w:tcBorders>
              <w:top w:val="nil"/>
              <w:left w:val="nil"/>
              <w:bottom w:val="single" w:sz="4" w:space="0" w:color="auto"/>
              <w:right w:val="nil"/>
            </w:tcBorders>
            <w:shd w:val="clear" w:color="auto" w:fill="auto"/>
            <w:vAlign w:val="center"/>
            <w:hideMark/>
          </w:tcPr>
          <w:p w14:paraId="6E29B16A"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gro</w:t>
            </w:r>
            <w:proofErr w:type="spellEnd"/>
          </w:p>
        </w:tc>
      </w:tr>
      <w:tr w:rsidR="0078620D" w:rsidRPr="0078620D" w14:paraId="3C56A370"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F59BBCF"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v_f</w:t>
            </w:r>
            <w:proofErr w:type="spellEnd"/>
          </w:p>
        </w:tc>
        <w:tc>
          <w:tcPr>
            <w:tcW w:w="3580" w:type="dxa"/>
            <w:tcBorders>
              <w:top w:val="nil"/>
              <w:left w:val="nil"/>
              <w:bottom w:val="single" w:sz="4" w:space="0" w:color="auto"/>
              <w:right w:val="nil"/>
            </w:tcBorders>
            <w:shd w:val="clear" w:color="auto" w:fill="auto"/>
            <w:vAlign w:val="center"/>
            <w:hideMark/>
          </w:tcPr>
          <w:p w14:paraId="00869C37"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Vegetables, fruit, nuts</w:t>
            </w:r>
          </w:p>
        </w:tc>
        <w:tc>
          <w:tcPr>
            <w:tcW w:w="2900" w:type="dxa"/>
            <w:tcBorders>
              <w:top w:val="nil"/>
              <w:left w:val="nil"/>
              <w:bottom w:val="single" w:sz="4" w:space="0" w:color="auto"/>
              <w:right w:val="nil"/>
            </w:tcBorders>
            <w:shd w:val="clear" w:color="auto" w:fill="auto"/>
            <w:vAlign w:val="center"/>
            <w:hideMark/>
          </w:tcPr>
          <w:p w14:paraId="47239D4E"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v_f</w:t>
            </w:r>
            <w:proofErr w:type="spellEnd"/>
          </w:p>
        </w:tc>
      </w:tr>
      <w:tr w:rsidR="0078620D" w:rsidRPr="0078620D" w14:paraId="034C0F89"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2C8C66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osd</w:t>
            </w:r>
            <w:proofErr w:type="spellEnd"/>
          </w:p>
        </w:tc>
        <w:tc>
          <w:tcPr>
            <w:tcW w:w="3580" w:type="dxa"/>
            <w:tcBorders>
              <w:top w:val="nil"/>
              <w:left w:val="nil"/>
              <w:bottom w:val="single" w:sz="4" w:space="0" w:color="auto"/>
              <w:right w:val="nil"/>
            </w:tcBorders>
            <w:shd w:val="clear" w:color="auto" w:fill="auto"/>
            <w:vAlign w:val="center"/>
            <w:hideMark/>
          </w:tcPr>
          <w:p w14:paraId="4B70E2B1"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Oil seeds</w:t>
            </w:r>
          </w:p>
        </w:tc>
        <w:tc>
          <w:tcPr>
            <w:tcW w:w="2900" w:type="dxa"/>
            <w:tcBorders>
              <w:top w:val="nil"/>
              <w:left w:val="nil"/>
              <w:bottom w:val="single" w:sz="4" w:space="0" w:color="auto"/>
              <w:right w:val="nil"/>
            </w:tcBorders>
            <w:shd w:val="clear" w:color="auto" w:fill="auto"/>
            <w:vAlign w:val="center"/>
            <w:hideMark/>
          </w:tcPr>
          <w:p w14:paraId="44B588C0"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osd</w:t>
            </w:r>
            <w:proofErr w:type="spellEnd"/>
          </w:p>
        </w:tc>
      </w:tr>
      <w:tr w:rsidR="0078620D" w:rsidRPr="0078620D" w14:paraId="10DFE764"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17FCAFD2"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c_b</w:t>
            </w:r>
            <w:proofErr w:type="spellEnd"/>
          </w:p>
        </w:tc>
        <w:tc>
          <w:tcPr>
            <w:tcW w:w="3580" w:type="dxa"/>
            <w:tcBorders>
              <w:top w:val="nil"/>
              <w:left w:val="nil"/>
              <w:bottom w:val="single" w:sz="4" w:space="0" w:color="auto"/>
              <w:right w:val="nil"/>
            </w:tcBorders>
            <w:shd w:val="clear" w:color="auto" w:fill="auto"/>
            <w:vAlign w:val="center"/>
            <w:hideMark/>
          </w:tcPr>
          <w:p w14:paraId="53F1D5D8"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Sugar cane, sugar beet</w:t>
            </w:r>
          </w:p>
        </w:tc>
        <w:tc>
          <w:tcPr>
            <w:tcW w:w="2900" w:type="dxa"/>
            <w:tcBorders>
              <w:top w:val="nil"/>
              <w:left w:val="nil"/>
              <w:bottom w:val="single" w:sz="4" w:space="0" w:color="auto"/>
              <w:right w:val="nil"/>
            </w:tcBorders>
            <w:shd w:val="clear" w:color="auto" w:fill="auto"/>
            <w:vAlign w:val="center"/>
            <w:hideMark/>
          </w:tcPr>
          <w:p w14:paraId="7FA5A60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c_b</w:t>
            </w:r>
            <w:proofErr w:type="spellEnd"/>
          </w:p>
        </w:tc>
      </w:tr>
      <w:tr w:rsidR="0078620D" w:rsidRPr="0078620D" w14:paraId="7CE1150D"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78BC9050"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pfb</w:t>
            </w:r>
            <w:proofErr w:type="spellEnd"/>
          </w:p>
        </w:tc>
        <w:tc>
          <w:tcPr>
            <w:tcW w:w="3580" w:type="dxa"/>
            <w:tcBorders>
              <w:top w:val="nil"/>
              <w:left w:val="nil"/>
              <w:bottom w:val="single" w:sz="4" w:space="0" w:color="auto"/>
              <w:right w:val="nil"/>
            </w:tcBorders>
            <w:shd w:val="clear" w:color="auto" w:fill="auto"/>
            <w:vAlign w:val="center"/>
            <w:hideMark/>
          </w:tcPr>
          <w:p w14:paraId="74F9349C"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Other agriculture</w:t>
            </w:r>
          </w:p>
        </w:tc>
        <w:tc>
          <w:tcPr>
            <w:tcW w:w="2900" w:type="dxa"/>
            <w:tcBorders>
              <w:top w:val="nil"/>
              <w:left w:val="nil"/>
              <w:bottom w:val="single" w:sz="4" w:space="0" w:color="auto"/>
              <w:right w:val="nil"/>
            </w:tcBorders>
            <w:shd w:val="clear" w:color="auto" w:fill="auto"/>
            <w:vAlign w:val="center"/>
            <w:hideMark/>
          </w:tcPr>
          <w:p w14:paraId="17644613"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pfb</w:t>
            </w:r>
            <w:proofErr w:type="spellEnd"/>
          </w:p>
        </w:tc>
      </w:tr>
      <w:tr w:rsidR="0078620D" w:rsidRPr="0078620D" w14:paraId="41961209"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1F17EDE"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ocr</w:t>
            </w:r>
            <w:proofErr w:type="spellEnd"/>
          </w:p>
        </w:tc>
        <w:tc>
          <w:tcPr>
            <w:tcW w:w="3580" w:type="dxa"/>
            <w:tcBorders>
              <w:top w:val="nil"/>
              <w:left w:val="nil"/>
              <w:bottom w:val="single" w:sz="4" w:space="0" w:color="auto"/>
              <w:right w:val="nil"/>
            </w:tcBorders>
            <w:shd w:val="clear" w:color="auto" w:fill="auto"/>
            <w:vAlign w:val="center"/>
            <w:hideMark/>
          </w:tcPr>
          <w:p w14:paraId="089D0143"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 xml:space="preserve">Crops </w:t>
            </w:r>
            <w:proofErr w:type="spellStart"/>
            <w:r w:rsidRPr="0078620D">
              <w:rPr>
                <w:rFonts w:ascii="Arial" w:hAnsi="Arial" w:cs="Calibri"/>
                <w:color w:val="000000"/>
                <w:sz w:val="18"/>
                <w:szCs w:val="18"/>
                <w:lang w:eastAsia="en-GB"/>
              </w:rPr>
              <w:t>nec</w:t>
            </w:r>
            <w:proofErr w:type="spellEnd"/>
          </w:p>
        </w:tc>
        <w:tc>
          <w:tcPr>
            <w:tcW w:w="2900" w:type="dxa"/>
            <w:tcBorders>
              <w:top w:val="nil"/>
              <w:left w:val="nil"/>
              <w:bottom w:val="single" w:sz="4" w:space="0" w:color="auto"/>
              <w:right w:val="nil"/>
            </w:tcBorders>
            <w:shd w:val="clear" w:color="auto" w:fill="auto"/>
            <w:vAlign w:val="center"/>
            <w:hideMark/>
          </w:tcPr>
          <w:p w14:paraId="0A462F6D"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ocr</w:t>
            </w:r>
            <w:proofErr w:type="spellEnd"/>
          </w:p>
        </w:tc>
      </w:tr>
      <w:tr w:rsidR="0078620D" w:rsidRPr="0078620D" w14:paraId="6CDC23C3"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353EA7E8"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ctl</w:t>
            </w:r>
            <w:proofErr w:type="spellEnd"/>
          </w:p>
        </w:tc>
        <w:tc>
          <w:tcPr>
            <w:tcW w:w="3580" w:type="dxa"/>
            <w:tcBorders>
              <w:top w:val="nil"/>
              <w:left w:val="nil"/>
              <w:bottom w:val="single" w:sz="4" w:space="0" w:color="auto"/>
              <w:right w:val="nil"/>
            </w:tcBorders>
            <w:shd w:val="clear" w:color="auto" w:fill="auto"/>
            <w:vAlign w:val="center"/>
            <w:hideMark/>
          </w:tcPr>
          <w:p w14:paraId="3FBC3171" w14:textId="77777777" w:rsidR="0078620D" w:rsidRPr="0078620D" w:rsidRDefault="0078620D" w:rsidP="0078620D">
            <w:pPr>
              <w:rPr>
                <w:rFonts w:ascii="Arial" w:hAnsi="Arial" w:cs="Arial"/>
                <w:color w:val="000000"/>
                <w:sz w:val="18"/>
                <w:szCs w:val="18"/>
                <w:lang w:val="en-GB" w:eastAsia="en-GB"/>
              </w:rPr>
            </w:pPr>
            <w:proofErr w:type="spellStart"/>
            <w:proofErr w:type="gramStart"/>
            <w:r w:rsidRPr="0078620D">
              <w:rPr>
                <w:rFonts w:ascii="Arial" w:hAnsi="Arial" w:cs="Calibri"/>
                <w:color w:val="000000"/>
                <w:sz w:val="18"/>
                <w:szCs w:val="18"/>
                <w:lang w:eastAsia="en-GB"/>
              </w:rPr>
              <w:t>Sheep,goats</w:t>
            </w:r>
            <w:proofErr w:type="gramEnd"/>
            <w:r w:rsidRPr="0078620D">
              <w:rPr>
                <w:rFonts w:ascii="Arial" w:hAnsi="Arial" w:cs="Calibri"/>
                <w:color w:val="000000"/>
                <w:sz w:val="18"/>
                <w:szCs w:val="18"/>
                <w:lang w:eastAsia="en-GB"/>
              </w:rPr>
              <w:t>,horses</w:t>
            </w:r>
            <w:proofErr w:type="spellEnd"/>
            <w:r w:rsidRPr="0078620D">
              <w:rPr>
                <w:rFonts w:ascii="Arial" w:hAnsi="Arial" w:cs="Calibri"/>
                <w:color w:val="000000"/>
                <w:sz w:val="18"/>
                <w:szCs w:val="18"/>
                <w:lang w:eastAsia="en-GB"/>
              </w:rPr>
              <w:t xml:space="preserve">  (live)</w:t>
            </w:r>
          </w:p>
        </w:tc>
        <w:tc>
          <w:tcPr>
            <w:tcW w:w="2900" w:type="dxa"/>
            <w:tcBorders>
              <w:top w:val="nil"/>
              <w:left w:val="nil"/>
              <w:bottom w:val="single" w:sz="4" w:space="0" w:color="auto"/>
              <w:right w:val="nil"/>
            </w:tcBorders>
            <w:shd w:val="clear" w:color="auto" w:fill="auto"/>
            <w:vAlign w:val="center"/>
            <w:hideMark/>
          </w:tcPr>
          <w:p w14:paraId="31C1A4CD"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241D2B77"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454E12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oap</w:t>
            </w:r>
            <w:proofErr w:type="spellEnd"/>
          </w:p>
        </w:tc>
        <w:tc>
          <w:tcPr>
            <w:tcW w:w="3580" w:type="dxa"/>
            <w:tcBorders>
              <w:top w:val="nil"/>
              <w:left w:val="nil"/>
              <w:bottom w:val="single" w:sz="4" w:space="0" w:color="auto"/>
              <w:right w:val="nil"/>
            </w:tcBorders>
            <w:shd w:val="clear" w:color="auto" w:fill="auto"/>
            <w:vAlign w:val="center"/>
            <w:hideMark/>
          </w:tcPr>
          <w:p w14:paraId="574DA167"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val="en-GB" w:eastAsia="en-GB"/>
              </w:rPr>
              <w:t>Pigs (live)</w:t>
            </w:r>
          </w:p>
        </w:tc>
        <w:tc>
          <w:tcPr>
            <w:tcW w:w="2900" w:type="dxa"/>
            <w:tcBorders>
              <w:top w:val="nil"/>
              <w:left w:val="nil"/>
              <w:bottom w:val="single" w:sz="4" w:space="0" w:color="auto"/>
              <w:right w:val="nil"/>
            </w:tcBorders>
            <w:shd w:val="clear" w:color="auto" w:fill="auto"/>
            <w:vAlign w:val="center"/>
            <w:hideMark/>
          </w:tcPr>
          <w:p w14:paraId="5835D444"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6A4BD7C2"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E194A40"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pltry</w:t>
            </w:r>
            <w:proofErr w:type="spellEnd"/>
          </w:p>
        </w:tc>
        <w:tc>
          <w:tcPr>
            <w:tcW w:w="3580" w:type="dxa"/>
            <w:tcBorders>
              <w:top w:val="nil"/>
              <w:left w:val="nil"/>
              <w:bottom w:val="single" w:sz="4" w:space="0" w:color="auto"/>
              <w:right w:val="nil"/>
            </w:tcBorders>
            <w:shd w:val="clear" w:color="auto" w:fill="auto"/>
            <w:vAlign w:val="center"/>
            <w:hideMark/>
          </w:tcPr>
          <w:p w14:paraId="7B4240CE"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Poultry sector (live)</w:t>
            </w:r>
          </w:p>
        </w:tc>
        <w:tc>
          <w:tcPr>
            <w:tcW w:w="2900" w:type="dxa"/>
            <w:tcBorders>
              <w:top w:val="nil"/>
              <w:left w:val="nil"/>
              <w:bottom w:val="single" w:sz="4" w:space="0" w:color="auto"/>
              <w:right w:val="nil"/>
            </w:tcBorders>
            <w:shd w:val="clear" w:color="auto" w:fill="auto"/>
            <w:vAlign w:val="center"/>
            <w:hideMark/>
          </w:tcPr>
          <w:p w14:paraId="37BD0A9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55403E69"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7AA12150"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bfctl</w:t>
            </w:r>
            <w:proofErr w:type="spellEnd"/>
          </w:p>
        </w:tc>
        <w:tc>
          <w:tcPr>
            <w:tcW w:w="3580" w:type="dxa"/>
            <w:tcBorders>
              <w:top w:val="nil"/>
              <w:left w:val="nil"/>
              <w:bottom w:val="single" w:sz="4" w:space="0" w:color="auto"/>
              <w:right w:val="nil"/>
            </w:tcBorders>
            <w:shd w:val="clear" w:color="auto" w:fill="auto"/>
            <w:vAlign w:val="center"/>
            <w:hideMark/>
          </w:tcPr>
          <w:p w14:paraId="1287F33A"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Cattle (live)</w:t>
            </w:r>
          </w:p>
        </w:tc>
        <w:tc>
          <w:tcPr>
            <w:tcW w:w="2900" w:type="dxa"/>
            <w:tcBorders>
              <w:top w:val="nil"/>
              <w:left w:val="nil"/>
              <w:bottom w:val="single" w:sz="4" w:space="0" w:color="auto"/>
              <w:right w:val="nil"/>
            </w:tcBorders>
            <w:shd w:val="clear" w:color="auto" w:fill="auto"/>
            <w:vAlign w:val="center"/>
            <w:hideMark/>
          </w:tcPr>
          <w:p w14:paraId="048AA09C"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428D6D46"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1CA735C3"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rmk</w:t>
            </w:r>
            <w:proofErr w:type="spellEnd"/>
          </w:p>
        </w:tc>
        <w:tc>
          <w:tcPr>
            <w:tcW w:w="3580" w:type="dxa"/>
            <w:tcBorders>
              <w:top w:val="nil"/>
              <w:left w:val="nil"/>
              <w:bottom w:val="single" w:sz="4" w:space="0" w:color="auto"/>
              <w:right w:val="nil"/>
            </w:tcBorders>
            <w:shd w:val="clear" w:color="auto" w:fill="auto"/>
            <w:vAlign w:val="center"/>
            <w:hideMark/>
          </w:tcPr>
          <w:p w14:paraId="55C637BB"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Raw milk</w:t>
            </w:r>
          </w:p>
        </w:tc>
        <w:tc>
          <w:tcPr>
            <w:tcW w:w="2900" w:type="dxa"/>
            <w:tcBorders>
              <w:top w:val="nil"/>
              <w:left w:val="nil"/>
              <w:bottom w:val="single" w:sz="4" w:space="0" w:color="auto"/>
              <w:right w:val="nil"/>
            </w:tcBorders>
            <w:shd w:val="clear" w:color="auto" w:fill="auto"/>
            <w:vAlign w:val="center"/>
            <w:hideMark/>
          </w:tcPr>
          <w:p w14:paraId="3054DC1F"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rmk</w:t>
            </w:r>
            <w:proofErr w:type="spellEnd"/>
          </w:p>
        </w:tc>
      </w:tr>
      <w:tr w:rsidR="0078620D" w:rsidRPr="0078620D" w14:paraId="7C589A9F"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46A5F25E"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wol</w:t>
            </w:r>
            <w:proofErr w:type="spellEnd"/>
          </w:p>
        </w:tc>
        <w:tc>
          <w:tcPr>
            <w:tcW w:w="3580" w:type="dxa"/>
            <w:tcBorders>
              <w:top w:val="nil"/>
              <w:left w:val="nil"/>
              <w:bottom w:val="single" w:sz="4" w:space="0" w:color="auto"/>
              <w:right w:val="nil"/>
            </w:tcBorders>
            <w:shd w:val="clear" w:color="auto" w:fill="auto"/>
            <w:vAlign w:val="center"/>
            <w:hideMark/>
          </w:tcPr>
          <w:p w14:paraId="674FD51D"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Wool, silk-worm cocoons</w:t>
            </w:r>
          </w:p>
        </w:tc>
        <w:tc>
          <w:tcPr>
            <w:tcW w:w="2900" w:type="dxa"/>
            <w:tcBorders>
              <w:top w:val="nil"/>
              <w:left w:val="nil"/>
              <w:bottom w:val="single" w:sz="4" w:space="0" w:color="auto"/>
              <w:right w:val="nil"/>
            </w:tcBorders>
            <w:shd w:val="clear" w:color="auto" w:fill="auto"/>
            <w:vAlign w:val="center"/>
            <w:hideMark/>
          </w:tcPr>
          <w:p w14:paraId="7CAFB8FC"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wol</w:t>
            </w:r>
            <w:proofErr w:type="spellEnd"/>
          </w:p>
        </w:tc>
      </w:tr>
      <w:tr w:rsidR="0078620D" w:rsidRPr="0078620D" w14:paraId="2E3261AD"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E30C85C"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cmt</w:t>
            </w:r>
            <w:proofErr w:type="spellEnd"/>
          </w:p>
        </w:tc>
        <w:tc>
          <w:tcPr>
            <w:tcW w:w="3580" w:type="dxa"/>
            <w:tcBorders>
              <w:top w:val="nil"/>
              <w:left w:val="nil"/>
              <w:bottom w:val="single" w:sz="4" w:space="0" w:color="auto"/>
              <w:right w:val="nil"/>
            </w:tcBorders>
            <w:shd w:val="clear" w:color="auto" w:fill="auto"/>
            <w:vAlign w:val="center"/>
            <w:hideMark/>
          </w:tcPr>
          <w:p w14:paraId="60836256"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val="en-GB" w:eastAsia="en-GB"/>
              </w:rPr>
              <w:t xml:space="preserve">Meat: sheep, goats, horse </w:t>
            </w:r>
          </w:p>
        </w:tc>
        <w:tc>
          <w:tcPr>
            <w:tcW w:w="2900" w:type="dxa"/>
            <w:tcBorders>
              <w:top w:val="nil"/>
              <w:left w:val="nil"/>
              <w:bottom w:val="single" w:sz="4" w:space="0" w:color="auto"/>
              <w:right w:val="nil"/>
            </w:tcBorders>
            <w:shd w:val="clear" w:color="auto" w:fill="auto"/>
            <w:vAlign w:val="center"/>
            <w:hideMark/>
          </w:tcPr>
          <w:p w14:paraId="2B60734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20F84445"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DD9F440"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omt</w:t>
            </w:r>
            <w:proofErr w:type="spellEnd"/>
          </w:p>
        </w:tc>
        <w:tc>
          <w:tcPr>
            <w:tcW w:w="3580" w:type="dxa"/>
            <w:tcBorders>
              <w:top w:val="nil"/>
              <w:left w:val="nil"/>
              <w:bottom w:val="single" w:sz="4" w:space="0" w:color="auto"/>
              <w:right w:val="nil"/>
            </w:tcBorders>
            <w:shd w:val="clear" w:color="auto" w:fill="auto"/>
            <w:vAlign w:val="center"/>
            <w:hideMark/>
          </w:tcPr>
          <w:p w14:paraId="0D7C2341"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Pig meat</w:t>
            </w:r>
          </w:p>
        </w:tc>
        <w:tc>
          <w:tcPr>
            <w:tcW w:w="2900" w:type="dxa"/>
            <w:tcBorders>
              <w:top w:val="nil"/>
              <w:left w:val="nil"/>
              <w:bottom w:val="single" w:sz="4" w:space="0" w:color="auto"/>
              <w:right w:val="nil"/>
            </w:tcBorders>
            <w:shd w:val="clear" w:color="auto" w:fill="auto"/>
            <w:vAlign w:val="center"/>
            <w:hideMark/>
          </w:tcPr>
          <w:p w14:paraId="6E612C9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7BF704D4"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F5FD38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poum</w:t>
            </w:r>
            <w:proofErr w:type="spellEnd"/>
          </w:p>
        </w:tc>
        <w:tc>
          <w:tcPr>
            <w:tcW w:w="3580" w:type="dxa"/>
            <w:tcBorders>
              <w:top w:val="nil"/>
              <w:left w:val="nil"/>
              <w:bottom w:val="single" w:sz="4" w:space="0" w:color="auto"/>
              <w:right w:val="nil"/>
            </w:tcBorders>
            <w:shd w:val="clear" w:color="auto" w:fill="auto"/>
            <w:vAlign w:val="center"/>
            <w:hideMark/>
          </w:tcPr>
          <w:p w14:paraId="4A4287F5"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Poultry meat</w:t>
            </w:r>
          </w:p>
        </w:tc>
        <w:tc>
          <w:tcPr>
            <w:tcW w:w="2900" w:type="dxa"/>
            <w:tcBorders>
              <w:top w:val="nil"/>
              <w:left w:val="nil"/>
              <w:bottom w:val="single" w:sz="4" w:space="0" w:color="auto"/>
              <w:right w:val="nil"/>
            </w:tcBorders>
            <w:shd w:val="clear" w:color="auto" w:fill="auto"/>
            <w:vAlign w:val="center"/>
            <w:hideMark/>
          </w:tcPr>
          <w:p w14:paraId="7566988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2FE86663"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4E812E6D"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BFCMT</w:t>
            </w:r>
          </w:p>
        </w:tc>
        <w:tc>
          <w:tcPr>
            <w:tcW w:w="3580" w:type="dxa"/>
            <w:tcBorders>
              <w:top w:val="nil"/>
              <w:left w:val="nil"/>
              <w:bottom w:val="single" w:sz="4" w:space="0" w:color="auto"/>
              <w:right w:val="nil"/>
            </w:tcBorders>
            <w:shd w:val="clear" w:color="auto" w:fill="auto"/>
            <w:vAlign w:val="center"/>
            <w:hideMark/>
          </w:tcPr>
          <w:p w14:paraId="4CDEFDB7"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Beef meat</w:t>
            </w:r>
          </w:p>
        </w:tc>
        <w:tc>
          <w:tcPr>
            <w:tcW w:w="2900" w:type="dxa"/>
            <w:tcBorders>
              <w:top w:val="nil"/>
              <w:left w:val="nil"/>
              <w:bottom w:val="single" w:sz="4" w:space="0" w:color="auto"/>
              <w:right w:val="nil"/>
            </w:tcBorders>
            <w:shd w:val="clear" w:color="auto" w:fill="auto"/>
            <w:vAlign w:val="center"/>
            <w:hideMark/>
          </w:tcPr>
          <w:p w14:paraId="21B82176"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0175B93C"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1ACB87D"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mil</w:t>
            </w:r>
          </w:p>
        </w:tc>
        <w:tc>
          <w:tcPr>
            <w:tcW w:w="3580" w:type="dxa"/>
            <w:tcBorders>
              <w:top w:val="nil"/>
              <w:left w:val="nil"/>
              <w:bottom w:val="single" w:sz="4" w:space="0" w:color="auto"/>
              <w:right w:val="nil"/>
            </w:tcBorders>
            <w:shd w:val="clear" w:color="auto" w:fill="auto"/>
            <w:vAlign w:val="center"/>
            <w:hideMark/>
          </w:tcPr>
          <w:p w14:paraId="5A2E42B0"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Dairy products</w:t>
            </w:r>
          </w:p>
        </w:tc>
        <w:tc>
          <w:tcPr>
            <w:tcW w:w="2900" w:type="dxa"/>
            <w:tcBorders>
              <w:top w:val="nil"/>
              <w:left w:val="nil"/>
              <w:bottom w:val="single" w:sz="4" w:space="0" w:color="auto"/>
              <w:right w:val="nil"/>
            </w:tcBorders>
            <w:shd w:val="clear" w:color="auto" w:fill="auto"/>
            <w:vAlign w:val="center"/>
            <w:hideMark/>
          </w:tcPr>
          <w:p w14:paraId="3BC14B62"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mil</w:t>
            </w:r>
          </w:p>
        </w:tc>
      </w:tr>
      <w:tr w:rsidR="0078620D" w:rsidRPr="0078620D" w14:paraId="53F0DE3B"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1C4FE2FA"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pcr</w:t>
            </w:r>
            <w:proofErr w:type="spellEnd"/>
          </w:p>
        </w:tc>
        <w:tc>
          <w:tcPr>
            <w:tcW w:w="3580" w:type="dxa"/>
            <w:tcBorders>
              <w:top w:val="nil"/>
              <w:left w:val="nil"/>
              <w:bottom w:val="single" w:sz="4" w:space="0" w:color="auto"/>
              <w:right w:val="nil"/>
            </w:tcBorders>
            <w:shd w:val="clear" w:color="auto" w:fill="auto"/>
            <w:vAlign w:val="center"/>
            <w:hideMark/>
          </w:tcPr>
          <w:p w14:paraId="3FC362CB"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Processed rice</w:t>
            </w:r>
          </w:p>
        </w:tc>
        <w:tc>
          <w:tcPr>
            <w:tcW w:w="2900" w:type="dxa"/>
            <w:tcBorders>
              <w:top w:val="nil"/>
              <w:left w:val="nil"/>
              <w:bottom w:val="single" w:sz="4" w:space="0" w:color="auto"/>
              <w:right w:val="nil"/>
            </w:tcBorders>
            <w:shd w:val="clear" w:color="auto" w:fill="auto"/>
            <w:vAlign w:val="center"/>
            <w:hideMark/>
          </w:tcPr>
          <w:p w14:paraId="45B1E026"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pcr</w:t>
            </w:r>
            <w:proofErr w:type="spellEnd"/>
          </w:p>
        </w:tc>
      </w:tr>
      <w:tr w:rsidR="0078620D" w:rsidRPr="0078620D" w14:paraId="337D7C5B"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A8A61C3"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sgr</w:t>
            </w:r>
            <w:proofErr w:type="spellEnd"/>
          </w:p>
        </w:tc>
        <w:tc>
          <w:tcPr>
            <w:tcW w:w="3580" w:type="dxa"/>
            <w:tcBorders>
              <w:top w:val="nil"/>
              <w:left w:val="nil"/>
              <w:bottom w:val="single" w:sz="4" w:space="0" w:color="auto"/>
              <w:right w:val="nil"/>
            </w:tcBorders>
            <w:shd w:val="clear" w:color="auto" w:fill="auto"/>
            <w:vAlign w:val="center"/>
            <w:hideMark/>
          </w:tcPr>
          <w:p w14:paraId="09D55800"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Sugar and molasses</w:t>
            </w:r>
          </w:p>
        </w:tc>
        <w:tc>
          <w:tcPr>
            <w:tcW w:w="2900" w:type="dxa"/>
            <w:tcBorders>
              <w:top w:val="nil"/>
              <w:left w:val="nil"/>
              <w:bottom w:val="single" w:sz="4" w:space="0" w:color="auto"/>
              <w:right w:val="nil"/>
            </w:tcBorders>
            <w:shd w:val="clear" w:color="auto" w:fill="auto"/>
            <w:vAlign w:val="center"/>
            <w:hideMark/>
          </w:tcPr>
          <w:p w14:paraId="589DA987"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sgr</w:t>
            </w:r>
            <w:proofErr w:type="spellEnd"/>
          </w:p>
        </w:tc>
      </w:tr>
      <w:tr w:rsidR="0078620D" w:rsidRPr="0078620D" w14:paraId="5DD04133"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70188081"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vol</w:t>
            </w:r>
          </w:p>
        </w:tc>
        <w:tc>
          <w:tcPr>
            <w:tcW w:w="3580" w:type="dxa"/>
            <w:tcBorders>
              <w:top w:val="nil"/>
              <w:left w:val="nil"/>
              <w:bottom w:val="single" w:sz="4" w:space="0" w:color="auto"/>
              <w:right w:val="nil"/>
            </w:tcBorders>
            <w:shd w:val="clear" w:color="auto" w:fill="auto"/>
            <w:vAlign w:val="center"/>
            <w:hideMark/>
          </w:tcPr>
          <w:p w14:paraId="7706BFB5"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Vegetable oils and fats</w:t>
            </w:r>
          </w:p>
        </w:tc>
        <w:tc>
          <w:tcPr>
            <w:tcW w:w="2900" w:type="dxa"/>
            <w:tcBorders>
              <w:top w:val="nil"/>
              <w:left w:val="nil"/>
              <w:bottom w:val="single" w:sz="4" w:space="0" w:color="auto"/>
              <w:right w:val="nil"/>
            </w:tcBorders>
            <w:shd w:val="clear" w:color="auto" w:fill="auto"/>
            <w:vAlign w:val="center"/>
            <w:hideMark/>
          </w:tcPr>
          <w:p w14:paraId="58F583DB"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vol</w:t>
            </w:r>
          </w:p>
        </w:tc>
      </w:tr>
      <w:tr w:rsidR="0078620D" w:rsidRPr="0078620D" w14:paraId="27C41812"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196216CC"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ofd</w:t>
            </w:r>
            <w:proofErr w:type="spellEnd"/>
          </w:p>
        </w:tc>
        <w:tc>
          <w:tcPr>
            <w:tcW w:w="3580" w:type="dxa"/>
            <w:tcBorders>
              <w:top w:val="nil"/>
              <w:left w:val="nil"/>
              <w:bottom w:val="single" w:sz="4" w:space="0" w:color="auto"/>
              <w:right w:val="nil"/>
            </w:tcBorders>
            <w:shd w:val="clear" w:color="auto" w:fill="auto"/>
            <w:vAlign w:val="center"/>
            <w:hideMark/>
          </w:tcPr>
          <w:p w14:paraId="63115EB5"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Processed food</w:t>
            </w:r>
          </w:p>
        </w:tc>
        <w:tc>
          <w:tcPr>
            <w:tcW w:w="2900" w:type="dxa"/>
            <w:tcBorders>
              <w:top w:val="nil"/>
              <w:left w:val="nil"/>
              <w:bottom w:val="single" w:sz="4" w:space="0" w:color="auto"/>
              <w:right w:val="nil"/>
            </w:tcBorders>
            <w:shd w:val="clear" w:color="auto" w:fill="auto"/>
            <w:vAlign w:val="center"/>
            <w:hideMark/>
          </w:tcPr>
          <w:p w14:paraId="2C6B3459"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ofd</w:t>
            </w:r>
            <w:proofErr w:type="spellEnd"/>
          </w:p>
        </w:tc>
      </w:tr>
      <w:tr w:rsidR="0078620D" w:rsidRPr="0078620D" w14:paraId="0FB239D0"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28DC26EF"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frs</w:t>
            </w:r>
            <w:proofErr w:type="spellEnd"/>
          </w:p>
        </w:tc>
        <w:tc>
          <w:tcPr>
            <w:tcW w:w="3580" w:type="dxa"/>
            <w:tcBorders>
              <w:top w:val="nil"/>
              <w:left w:val="nil"/>
              <w:bottom w:val="single" w:sz="4" w:space="0" w:color="auto"/>
              <w:right w:val="nil"/>
            </w:tcBorders>
            <w:shd w:val="clear" w:color="auto" w:fill="auto"/>
            <w:vAlign w:val="center"/>
            <w:hideMark/>
          </w:tcPr>
          <w:p w14:paraId="20CE61BD"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Forestry</w:t>
            </w:r>
          </w:p>
        </w:tc>
        <w:tc>
          <w:tcPr>
            <w:tcW w:w="2900" w:type="dxa"/>
            <w:tcBorders>
              <w:top w:val="nil"/>
              <w:left w:val="nil"/>
              <w:bottom w:val="single" w:sz="4" w:space="0" w:color="auto"/>
              <w:right w:val="nil"/>
            </w:tcBorders>
            <w:shd w:val="clear" w:color="auto" w:fill="auto"/>
            <w:vAlign w:val="center"/>
            <w:hideMark/>
          </w:tcPr>
          <w:p w14:paraId="28884B0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frs</w:t>
            </w:r>
            <w:proofErr w:type="spellEnd"/>
          </w:p>
        </w:tc>
      </w:tr>
      <w:tr w:rsidR="0078620D" w:rsidRPr="0078620D" w14:paraId="2B8B4196"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436088E0"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fsh</w:t>
            </w:r>
            <w:proofErr w:type="spellEnd"/>
          </w:p>
        </w:tc>
        <w:tc>
          <w:tcPr>
            <w:tcW w:w="3580" w:type="dxa"/>
            <w:tcBorders>
              <w:top w:val="nil"/>
              <w:left w:val="nil"/>
              <w:bottom w:val="single" w:sz="4" w:space="0" w:color="auto"/>
              <w:right w:val="nil"/>
            </w:tcBorders>
            <w:shd w:val="clear" w:color="auto" w:fill="auto"/>
            <w:vAlign w:val="center"/>
            <w:hideMark/>
          </w:tcPr>
          <w:p w14:paraId="696FC892"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Wild fish</w:t>
            </w:r>
          </w:p>
        </w:tc>
        <w:tc>
          <w:tcPr>
            <w:tcW w:w="2900" w:type="dxa"/>
            <w:tcBorders>
              <w:top w:val="nil"/>
              <w:left w:val="nil"/>
              <w:bottom w:val="single" w:sz="4" w:space="0" w:color="auto"/>
              <w:right w:val="nil"/>
            </w:tcBorders>
            <w:shd w:val="clear" w:color="auto" w:fill="auto"/>
            <w:vAlign w:val="center"/>
            <w:hideMark/>
          </w:tcPr>
          <w:p w14:paraId="006E890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fsh</w:t>
            </w:r>
            <w:proofErr w:type="spellEnd"/>
          </w:p>
        </w:tc>
      </w:tr>
      <w:tr w:rsidR="0078620D" w:rsidRPr="0078620D" w14:paraId="3CA440E7"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185FD6E3"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coa</w:t>
            </w:r>
            <w:proofErr w:type="spellEnd"/>
          </w:p>
        </w:tc>
        <w:tc>
          <w:tcPr>
            <w:tcW w:w="3580" w:type="dxa"/>
            <w:tcBorders>
              <w:top w:val="nil"/>
              <w:left w:val="nil"/>
              <w:bottom w:val="single" w:sz="4" w:space="0" w:color="auto"/>
              <w:right w:val="nil"/>
            </w:tcBorders>
            <w:shd w:val="clear" w:color="auto" w:fill="auto"/>
            <w:vAlign w:val="center"/>
            <w:hideMark/>
          </w:tcPr>
          <w:p w14:paraId="2FC374B5"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Coal</w:t>
            </w:r>
          </w:p>
        </w:tc>
        <w:tc>
          <w:tcPr>
            <w:tcW w:w="2900" w:type="dxa"/>
            <w:tcBorders>
              <w:top w:val="nil"/>
              <w:left w:val="nil"/>
              <w:bottom w:val="single" w:sz="4" w:space="0" w:color="auto"/>
              <w:right w:val="nil"/>
            </w:tcBorders>
            <w:shd w:val="clear" w:color="auto" w:fill="auto"/>
            <w:vAlign w:val="center"/>
            <w:hideMark/>
          </w:tcPr>
          <w:p w14:paraId="7861025A"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coa</w:t>
            </w:r>
            <w:proofErr w:type="spellEnd"/>
          </w:p>
        </w:tc>
      </w:tr>
      <w:tr w:rsidR="0078620D" w:rsidRPr="0078620D" w14:paraId="4E0E7289"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45AA614"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oil</w:t>
            </w:r>
          </w:p>
        </w:tc>
        <w:tc>
          <w:tcPr>
            <w:tcW w:w="3580" w:type="dxa"/>
            <w:tcBorders>
              <w:top w:val="nil"/>
              <w:left w:val="nil"/>
              <w:bottom w:val="single" w:sz="4" w:space="0" w:color="auto"/>
              <w:right w:val="nil"/>
            </w:tcBorders>
            <w:shd w:val="clear" w:color="auto" w:fill="auto"/>
            <w:vAlign w:val="center"/>
            <w:hideMark/>
          </w:tcPr>
          <w:p w14:paraId="24A1FDAC"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Crude oil</w:t>
            </w:r>
          </w:p>
        </w:tc>
        <w:tc>
          <w:tcPr>
            <w:tcW w:w="2900" w:type="dxa"/>
            <w:tcBorders>
              <w:top w:val="nil"/>
              <w:left w:val="nil"/>
              <w:bottom w:val="single" w:sz="4" w:space="0" w:color="auto"/>
              <w:right w:val="nil"/>
            </w:tcBorders>
            <w:shd w:val="clear" w:color="auto" w:fill="auto"/>
            <w:vAlign w:val="center"/>
            <w:hideMark/>
          </w:tcPr>
          <w:p w14:paraId="758D6FFF"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oil</w:t>
            </w:r>
          </w:p>
        </w:tc>
      </w:tr>
      <w:tr w:rsidR="0078620D" w:rsidRPr="0078620D" w14:paraId="74A2B48A"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1B4CD700"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gas</w:t>
            </w:r>
          </w:p>
        </w:tc>
        <w:tc>
          <w:tcPr>
            <w:tcW w:w="3580" w:type="dxa"/>
            <w:tcBorders>
              <w:top w:val="nil"/>
              <w:left w:val="nil"/>
              <w:bottom w:val="single" w:sz="4" w:space="0" w:color="auto"/>
              <w:right w:val="nil"/>
            </w:tcBorders>
            <w:shd w:val="clear" w:color="auto" w:fill="auto"/>
            <w:vAlign w:val="center"/>
            <w:hideMark/>
          </w:tcPr>
          <w:p w14:paraId="6DE0DDAF"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Gas</w:t>
            </w:r>
          </w:p>
        </w:tc>
        <w:tc>
          <w:tcPr>
            <w:tcW w:w="2900" w:type="dxa"/>
            <w:tcBorders>
              <w:top w:val="nil"/>
              <w:left w:val="nil"/>
              <w:bottom w:val="single" w:sz="4" w:space="0" w:color="auto"/>
              <w:right w:val="nil"/>
            </w:tcBorders>
            <w:shd w:val="clear" w:color="auto" w:fill="auto"/>
            <w:vAlign w:val="center"/>
            <w:hideMark/>
          </w:tcPr>
          <w:p w14:paraId="66A575BD"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gas</w:t>
            </w:r>
          </w:p>
        </w:tc>
      </w:tr>
      <w:tr w:rsidR="0078620D" w:rsidRPr="0078620D" w14:paraId="2C018909" w14:textId="77777777" w:rsidTr="0078620D">
        <w:trPr>
          <w:trHeight w:val="792"/>
        </w:trPr>
        <w:tc>
          <w:tcPr>
            <w:tcW w:w="1300" w:type="dxa"/>
            <w:tcBorders>
              <w:top w:val="nil"/>
              <w:left w:val="nil"/>
              <w:bottom w:val="single" w:sz="4" w:space="0" w:color="auto"/>
              <w:right w:val="nil"/>
            </w:tcBorders>
            <w:shd w:val="clear" w:color="auto" w:fill="auto"/>
            <w:vAlign w:val="center"/>
            <w:hideMark/>
          </w:tcPr>
          <w:p w14:paraId="20F50D04"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othind</w:t>
            </w:r>
            <w:proofErr w:type="spellEnd"/>
          </w:p>
        </w:tc>
        <w:tc>
          <w:tcPr>
            <w:tcW w:w="3580" w:type="dxa"/>
            <w:tcBorders>
              <w:top w:val="nil"/>
              <w:left w:val="nil"/>
              <w:bottom w:val="single" w:sz="4" w:space="0" w:color="auto"/>
              <w:right w:val="nil"/>
            </w:tcBorders>
            <w:shd w:val="clear" w:color="auto" w:fill="auto"/>
            <w:vAlign w:val="center"/>
            <w:hideMark/>
          </w:tcPr>
          <w:p w14:paraId="74012818"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Other industry</w:t>
            </w:r>
          </w:p>
        </w:tc>
        <w:tc>
          <w:tcPr>
            <w:tcW w:w="2900" w:type="dxa"/>
            <w:tcBorders>
              <w:top w:val="nil"/>
              <w:left w:val="nil"/>
              <w:bottom w:val="single" w:sz="4" w:space="0" w:color="auto"/>
              <w:right w:val="nil"/>
            </w:tcBorders>
            <w:shd w:val="clear" w:color="auto" w:fill="auto"/>
            <w:vAlign w:val="center"/>
            <w:hideMark/>
          </w:tcPr>
          <w:p w14:paraId="6B6C1228"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oxt</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tex</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wap</w:t>
            </w:r>
            <w:proofErr w:type="spellEnd"/>
            <w:r w:rsidRPr="0078620D">
              <w:rPr>
                <w:rFonts w:ascii="Arial" w:hAnsi="Arial" w:cs="Arial"/>
                <w:color w:val="000000"/>
                <w:sz w:val="18"/>
                <w:szCs w:val="18"/>
                <w:lang w:eastAsia="en-GB"/>
              </w:rPr>
              <w:t xml:space="preserve">, lea, </w:t>
            </w:r>
            <w:proofErr w:type="spellStart"/>
            <w:r w:rsidRPr="0078620D">
              <w:rPr>
                <w:rFonts w:ascii="Arial" w:hAnsi="Arial" w:cs="Arial"/>
                <w:color w:val="000000"/>
                <w:sz w:val="18"/>
                <w:szCs w:val="18"/>
                <w:lang w:eastAsia="en-GB"/>
              </w:rPr>
              <w:t>lum</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ppp</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nmm</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i_s</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nfm</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fmp</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ele</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eeq</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ome</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mvh</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otn</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omf</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cns</w:t>
            </w:r>
            <w:proofErr w:type="spellEnd"/>
          </w:p>
        </w:tc>
      </w:tr>
      <w:tr w:rsidR="0078620D" w:rsidRPr="0078620D" w14:paraId="5EE841EF"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1F2E587"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p_c</w:t>
            </w:r>
            <w:proofErr w:type="spellEnd"/>
          </w:p>
        </w:tc>
        <w:tc>
          <w:tcPr>
            <w:tcW w:w="3580" w:type="dxa"/>
            <w:tcBorders>
              <w:top w:val="nil"/>
              <w:left w:val="nil"/>
              <w:bottom w:val="single" w:sz="4" w:space="0" w:color="auto"/>
              <w:right w:val="nil"/>
            </w:tcBorders>
            <w:shd w:val="clear" w:color="auto" w:fill="auto"/>
            <w:vAlign w:val="center"/>
            <w:hideMark/>
          </w:tcPr>
          <w:p w14:paraId="6E5C3BEA"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Petroleum, coal products</w:t>
            </w:r>
          </w:p>
        </w:tc>
        <w:tc>
          <w:tcPr>
            <w:tcW w:w="2900" w:type="dxa"/>
            <w:tcBorders>
              <w:top w:val="nil"/>
              <w:left w:val="nil"/>
              <w:bottom w:val="single" w:sz="4" w:space="0" w:color="auto"/>
              <w:right w:val="nil"/>
            </w:tcBorders>
            <w:shd w:val="clear" w:color="auto" w:fill="auto"/>
            <w:vAlign w:val="center"/>
            <w:hideMark/>
          </w:tcPr>
          <w:p w14:paraId="637371F9"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p_c</w:t>
            </w:r>
            <w:proofErr w:type="spellEnd"/>
          </w:p>
        </w:tc>
      </w:tr>
      <w:tr w:rsidR="0078620D" w:rsidRPr="0078620D" w14:paraId="66E07E24"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F365DEC"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chm</w:t>
            </w:r>
          </w:p>
        </w:tc>
        <w:tc>
          <w:tcPr>
            <w:tcW w:w="3580" w:type="dxa"/>
            <w:tcBorders>
              <w:top w:val="nil"/>
              <w:left w:val="nil"/>
              <w:bottom w:val="single" w:sz="4" w:space="0" w:color="auto"/>
              <w:right w:val="nil"/>
            </w:tcBorders>
            <w:shd w:val="clear" w:color="auto" w:fill="auto"/>
            <w:vAlign w:val="center"/>
            <w:hideMark/>
          </w:tcPr>
          <w:p w14:paraId="33BDD005" w14:textId="77777777" w:rsidR="0078620D" w:rsidRPr="0078620D" w:rsidRDefault="0078620D" w:rsidP="0078620D">
            <w:pPr>
              <w:rPr>
                <w:rFonts w:ascii="Arial" w:hAnsi="Arial" w:cs="Arial"/>
                <w:color w:val="000000"/>
                <w:sz w:val="18"/>
                <w:szCs w:val="18"/>
                <w:lang w:val="en-GB" w:eastAsia="en-GB"/>
              </w:rPr>
            </w:pPr>
            <w:proofErr w:type="spellStart"/>
            <w:proofErr w:type="gramStart"/>
            <w:r w:rsidRPr="0078620D">
              <w:rPr>
                <w:rFonts w:ascii="Arial" w:hAnsi="Arial" w:cs="Calibri"/>
                <w:color w:val="000000"/>
                <w:sz w:val="18"/>
                <w:szCs w:val="18"/>
                <w:lang w:val="en-GB" w:eastAsia="en-GB"/>
              </w:rPr>
              <w:t>Chemical,rubber</w:t>
            </w:r>
            <w:proofErr w:type="spellEnd"/>
            <w:proofErr w:type="gramEnd"/>
            <w:r w:rsidRPr="0078620D">
              <w:rPr>
                <w:rFonts w:ascii="Arial" w:hAnsi="Arial" w:cs="Calibri"/>
                <w:color w:val="000000"/>
                <w:sz w:val="18"/>
                <w:szCs w:val="18"/>
                <w:lang w:val="en-GB" w:eastAsia="en-GB"/>
              </w:rPr>
              <w:t xml:space="preserve">, other plastic prods </w:t>
            </w:r>
          </w:p>
        </w:tc>
        <w:tc>
          <w:tcPr>
            <w:tcW w:w="2900" w:type="dxa"/>
            <w:tcBorders>
              <w:top w:val="nil"/>
              <w:left w:val="nil"/>
              <w:bottom w:val="single" w:sz="4" w:space="0" w:color="auto"/>
              <w:right w:val="nil"/>
            </w:tcBorders>
            <w:shd w:val="clear" w:color="auto" w:fill="auto"/>
            <w:vAlign w:val="center"/>
            <w:hideMark/>
          </w:tcPr>
          <w:p w14:paraId="13E22CE1"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Arial"/>
                <w:color w:val="000000"/>
                <w:sz w:val="18"/>
                <w:szCs w:val="18"/>
                <w:lang w:eastAsia="en-GB"/>
              </w:rPr>
              <w:t>chm</w:t>
            </w:r>
          </w:p>
        </w:tc>
      </w:tr>
      <w:tr w:rsidR="0078620D" w:rsidRPr="0078620D" w14:paraId="7DB12282"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4D541314"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ely</w:t>
            </w:r>
            <w:proofErr w:type="spellEnd"/>
          </w:p>
        </w:tc>
        <w:tc>
          <w:tcPr>
            <w:tcW w:w="3580" w:type="dxa"/>
            <w:tcBorders>
              <w:top w:val="nil"/>
              <w:left w:val="nil"/>
              <w:bottom w:val="single" w:sz="4" w:space="0" w:color="auto"/>
              <w:right w:val="nil"/>
            </w:tcBorders>
            <w:shd w:val="clear" w:color="auto" w:fill="auto"/>
            <w:vAlign w:val="center"/>
            <w:hideMark/>
          </w:tcPr>
          <w:p w14:paraId="2D6CC49A"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Electricity</w:t>
            </w:r>
          </w:p>
        </w:tc>
        <w:tc>
          <w:tcPr>
            <w:tcW w:w="2900" w:type="dxa"/>
            <w:tcBorders>
              <w:top w:val="nil"/>
              <w:left w:val="nil"/>
              <w:bottom w:val="single" w:sz="4" w:space="0" w:color="auto"/>
              <w:right w:val="nil"/>
            </w:tcBorders>
            <w:shd w:val="clear" w:color="auto" w:fill="auto"/>
            <w:vAlign w:val="center"/>
            <w:hideMark/>
          </w:tcPr>
          <w:p w14:paraId="40BF15B9"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ely</w:t>
            </w:r>
            <w:proofErr w:type="spellEnd"/>
          </w:p>
        </w:tc>
      </w:tr>
      <w:tr w:rsidR="0078620D" w:rsidRPr="0078620D" w14:paraId="226BC427"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F85E04C"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gdt</w:t>
            </w:r>
            <w:proofErr w:type="spellEnd"/>
          </w:p>
        </w:tc>
        <w:tc>
          <w:tcPr>
            <w:tcW w:w="3580" w:type="dxa"/>
            <w:tcBorders>
              <w:top w:val="nil"/>
              <w:left w:val="nil"/>
              <w:bottom w:val="single" w:sz="4" w:space="0" w:color="auto"/>
              <w:right w:val="nil"/>
            </w:tcBorders>
            <w:shd w:val="clear" w:color="auto" w:fill="auto"/>
            <w:vAlign w:val="center"/>
            <w:hideMark/>
          </w:tcPr>
          <w:p w14:paraId="1DFA7BE2"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Gas manufacture, distribution</w:t>
            </w:r>
          </w:p>
        </w:tc>
        <w:tc>
          <w:tcPr>
            <w:tcW w:w="2900" w:type="dxa"/>
            <w:tcBorders>
              <w:top w:val="nil"/>
              <w:left w:val="nil"/>
              <w:bottom w:val="single" w:sz="4" w:space="0" w:color="auto"/>
              <w:right w:val="nil"/>
            </w:tcBorders>
            <w:shd w:val="clear" w:color="auto" w:fill="auto"/>
            <w:vAlign w:val="center"/>
            <w:hideMark/>
          </w:tcPr>
          <w:p w14:paraId="2D6F5063"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gdt</w:t>
            </w:r>
            <w:proofErr w:type="spellEnd"/>
          </w:p>
        </w:tc>
      </w:tr>
      <w:tr w:rsidR="0078620D" w:rsidRPr="0078620D" w14:paraId="45A89347" w14:textId="77777777" w:rsidTr="0078620D">
        <w:trPr>
          <w:trHeight w:val="792"/>
        </w:trPr>
        <w:tc>
          <w:tcPr>
            <w:tcW w:w="1300" w:type="dxa"/>
            <w:tcBorders>
              <w:top w:val="nil"/>
              <w:left w:val="nil"/>
              <w:bottom w:val="single" w:sz="4" w:space="0" w:color="auto"/>
              <w:right w:val="nil"/>
            </w:tcBorders>
            <w:shd w:val="clear" w:color="auto" w:fill="auto"/>
            <w:vAlign w:val="center"/>
            <w:hideMark/>
          </w:tcPr>
          <w:p w14:paraId="1B50CC02"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ser</w:t>
            </w:r>
          </w:p>
        </w:tc>
        <w:tc>
          <w:tcPr>
            <w:tcW w:w="3580" w:type="dxa"/>
            <w:tcBorders>
              <w:top w:val="nil"/>
              <w:left w:val="nil"/>
              <w:bottom w:val="single" w:sz="4" w:space="0" w:color="auto"/>
              <w:right w:val="nil"/>
            </w:tcBorders>
            <w:shd w:val="clear" w:color="auto" w:fill="auto"/>
            <w:vAlign w:val="center"/>
            <w:hideMark/>
          </w:tcPr>
          <w:p w14:paraId="05AF3947"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Services</w:t>
            </w:r>
          </w:p>
        </w:tc>
        <w:tc>
          <w:tcPr>
            <w:tcW w:w="2900" w:type="dxa"/>
            <w:tcBorders>
              <w:top w:val="nil"/>
              <w:left w:val="nil"/>
              <w:bottom w:val="single" w:sz="4" w:space="0" w:color="auto"/>
              <w:right w:val="nil"/>
            </w:tcBorders>
            <w:shd w:val="clear" w:color="auto" w:fill="auto"/>
            <w:vAlign w:val="center"/>
            <w:hideMark/>
          </w:tcPr>
          <w:p w14:paraId="2E351663"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wtr</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trd</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afs</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whs</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cmn</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ofi</w:t>
            </w:r>
            <w:proofErr w:type="spellEnd"/>
            <w:r w:rsidRPr="0078620D">
              <w:rPr>
                <w:rFonts w:ascii="Arial" w:hAnsi="Arial" w:cs="Arial"/>
                <w:color w:val="000000"/>
                <w:sz w:val="18"/>
                <w:szCs w:val="18"/>
                <w:lang w:eastAsia="en-GB"/>
              </w:rPr>
              <w:t xml:space="preserve">, ins, </w:t>
            </w:r>
            <w:proofErr w:type="spellStart"/>
            <w:r w:rsidRPr="0078620D">
              <w:rPr>
                <w:rFonts w:ascii="Arial" w:hAnsi="Arial" w:cs="Arial"/>
                <w:color w:val="000000"/>
                <w:sz w:val="18"/>
                <w:szCs w:val="18"/>
                <w:lang w:eastAsia="en-GB"/>
              </w:rPr>
              <w:t>rsa</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obs</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ros</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osg</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edu</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hht</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dwe</w:t>
            </w:r>
            <w:proofErr w:type="spellEnd"/>
          </w:p>
        </w:tc>
      </w:tr>
      <w:tr w:rsidR="0078620D" w:rsidRPr="0078620D" w14:paraId="23512520"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F26F749"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trans</w:t>
            </w:r>
          </w:p>
        </w:tc>
        <w:tc>
          <w:tcPr>
            <w:tcW w:w="3580" w:type="dxa"/>
            <w:tcBorders>
              <w:top w:val="nil"/>
              <w:left w:val="nil"/>
              <w:bottom w:val="single" w:sz="4" w:space="0" w:color="auto"/>
              <w:right w:val="nil"/>
            </w:tcBorders>
            <w:shd w:val="clear" w:color="auto" w:fill="auto"/>
            <w:vAlign w:val="center"/>
            <w:hideMark/>
          </w:tcPr>
          <w:p w14:paraId="44E9AC52"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Transport sector</w:t>
            </w:r>
          </w:p>
        </w:tc>
        <w:tc>
          <w:tcPr>
            <w:tcW w:w="2900" w:type="dxa"/>
            <w:tcBorders>
              <w:top w:val="nil"/>
              <w:left w:val="nil"/>
              <w:bottom w:val="single" w:sz="4" w:space="0" w:color="auto"/>
              <w:right w:val="nil"/>
            </w:tcBorders>
            <w:shd w:val="clear" w:color="auto" w:fill="auto"/>
            <w:vAlign w:val="center"/>
            <w:hideMark/>
          </w:tcPr>
          <w:p w14:paraId="5384A8E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otp</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wtp</w:t>
            </w:r>
            <w:proofErr w:type="spellEnd"/>
            <w:r w:rsidRPr="0078620D">
              <w:rPr>
                <w:rFonts w:ascii="Arial" w:hAnsi="Arial" w:cs="Arial"/>
                <w:color w:val="000000"/>
                <w:sz w:val="18"/>
                <w:szCs w:val="18"/>
                <w:lang w:eastAsia="en-GB"/>
              </w:rPr>
              <w:t xml:space="preserve">, </w:t>
            </w:r>
            <w:proofErr w:type="spellStart"/>
            <w:r w:rsidRPr="0078620D">
              <w:rPr>
                <w:rFonts w:ascii="Arial" w:hAnsi="Arial" w:cs="Arial"/>
                <w:color w:val="000000"/>
                <w:sz w:val="18"/>
                <w:szCs w:val="18"/>
                <w:lang w:eastAsia="en-GB"/>
              </w:rPr>
              <w:t>atp</w:t>
            </w:r>
            <w:proofErr w:type="spellEnd"/>
          </w:p>
        </w:tc>
      </w:tr>
      <w:tr w:rsidR="0078620D" w:rsidRPr="0078620D" w14:paraId="06546175"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7B0A09B9"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feed</w:t>
            </w:r>
          </w:p>
        </w:tc>
        <w:tc>
          <w:tcPr>
            <w:tcW w:w="3580" w:type="dxa"/>
            <w:tcBorders>
              <w:top w:val="nil"/>
              <w:left w:val="nil"/>
              <w:bottom w:val="single" w:sz="4" w:space="0" w:color="auto"/>
              <w:right w:val="nil"/>
            </w:tcBorders>
            <w:shd w:val="clear" w:color="auto" w:fill="auto"/>
            <w:vAlign w:val="center"/>
            <w:hideMark/>
          </w:tcPr>
          <w:p w14:paraId="4B23FAE3"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Animal feed</w:t>
            </w:r>
          </w:p>
        </w:tc>
        <w:tc>
          <w:tcPr>
            <w:tcW w:w="2900" w:type="dxa"/>
            <w:tcBorders>
              <w:top w:val="nil"/>
              <w:left w:val="nil"/>
              <w:bottom w:val="single" w:sz="4" w:space="0" w:color="auto"/>
              <w:right w:val="nil"/>
            </w:tcBorders>
            <w:shd w:val="clear" w:color="auto" w:fill="auto"/>
            <w:vAlign w:val="center"/>
            <w:hideMark/>
          </w:tcPr>
          <w:p w14:paraId="3E5CB9E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00C9E93F"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E2B821E"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cvol</w:t>
            </w:r>
            <w:proofErr w:type="spellEnd"/>
          </w:p>
        </w:tc>
        <w:tc>
          <w:tcPr>
            <w:tcW w:w="3580" w:type="dxa"/>
            <w:tcBorders>
              <w:top w:val="nil"/>
              <w:left w:val="nil"/>
              <w:bottom w:val="single" w:sz="4" w:space="0" w:color="auto"/>
              <w:right w:val="nil"/>
            </w:tcBorders>
            <w:shd w:val="clear" w:color="auto" w:fill="auto"/>
            <w:vAlign w:val="center"/>
            <w:hideMark/>
          </w:tcPr>
          <w:p w14:paraId="162BB715"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Crude vegetable oil</w:t>
            </w:r>
          </w:p>
        </w:tc>
        <w:tc>
          <w:tcPr>
            <w:tcW w:w="2900" w:type="dxa"/>
            <w:tcBorders>
              <w:top w:val="nil"/>
              <w:left w:val="nil"/>
              <w:bottom w:val="single" w:sz="4" w:space="0" w:color="auto"/>
              <w:right w:val="nil"/>
            </w:tcBorders>
            <w:shd w:val="clear" w:color="auto" w:fill="auto"/>
            <w:vAlign w:val="center"/>
            <w:hideMark/>
          </w:tcPr>
          <w:p w14:paraId="261B4F9C"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4586C3D4"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D05B3A2"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biog</w:t>
            </w:r>
            <w:proofErr w:type="spellEnd"/>
          </w:p>
        </w:tc>
        <w:tc>
          <w:tcPr>
            <w:tcW w:w="3580" w:type="dxa"/>
            <w:tcBorders>
              <w:top w:val="nil"/>
              <w:left w:val="nil"/>
              <w:bottom w:val="single" w:sz="4" w:space="0" w:color="auto"/>
              <w:right w:val="nil"/>
            </w:tcBorders>
            <w:shd w:val="clear" w:color="auto" w:fill="auto"/>
            <w:vAlign w:val="center"/>
            <w:hideMark/>
          </w:tcPr>
          <w:p w14:paraId="3EC92BF7"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Biogasoline</w:t>
            </w:r>
            <w:proofErr w:type="spellEnd"/>
          </w:p>
        </w:tc>
        <w:tc>
          <w:tcPr>
            <w:tcW w:w="2900" w:type="dxa"/>
            <w:tcBorders>
              <w:top w:val="nil"/>
              <w:left w:val="nil"/>
              <w:bottom w:val="single" w:sz="4" w:space="0" w:color="auto"/>
              <w:right w:val="nil"/>
            </w:tcBorders>
            <w:shd w:val="clear" w:color="auto" w:fill="auto"/>
            <w:vAlign w:val="center"/>
            <w:hideMark/>
          </w:tcPr>
          <w:p w14:paraId="46A8671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15697E06"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E136EE3"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biod</w:t>
            </w:r>
            <w:proofErr w:type="spellEnd"/>
          </w:p>
        </w:tc>
        <w:tc>
          <w:tcPr>
            <w:tcW w:w="3580" w:type="dxa"/>
            <w:tcBorders>
              <w:top w:val="nil"/>
              <w:left w:val="nil"/>
              <w:bottom w:val="single" w:sz="4" w:space="0" w:color="auto"/>
              <w:right w:val="nil"/>
            </w:tcBorders>
            <w:shd w:val="clear" w:color="auto" w:fill="auto"/>
            <w:vAlign w:val="center"/>
            <w:hideMark/>
          </w:tcPr>
          <w:p w14:paraId="2A91D042"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Biodiesel</w:t>
            </w:r>
          </w:p>
        </w:tc>
        <w:tc>
          <w:tcPr>
            <w:tcW w:w="2900" w:type="dxa"/>
            <w:tcBorders>
              <w:top w:val="nil"/>
              <w:left w:val="nil"/>
              <w:bottom w:val="single" w:sz="4" w:space="0" w:color="auto"/>
              <w:right w:val="nil"/>
            </w:tcBorders>
            <w:shd w:val="clear" w:color="auto" w:fill="auto"/>
            <w:vAlign w:val="center"/>
            <w:hideMark/>
          </w:tcPr>
          <w:p w14:paraId="36EF4CFE"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4EB59B86"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B14662E"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lastRenderedPageBreak/>
              <w:t>fert</w:t>
            </w:r>
            <w:proofErr w:type="spellEnd"/>
          </w:p>
        </w:tc>
        <w:tc>
          <w:tcPr>
            <w:tcW w:w="3580" w:type="dxa"/>
            <w:tcBorders>
              <w:top w:val="nil"/>
              <w:left w:val="nil"/>
              <w:bottom w:val="single" w:sz="4" w:space="0" w:color="auto"/>
              <w:right w:val="nil"/>
            </w:tcBorders>
            <w:shd w:val="clear" w:color="auto" w:fill="auto"/>
            <w:vAlign w:val="center"/>
            <w:hideMark/>
          </w:tcPr>
          <w:p w14:paraId="28A09674"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fertilizer</w:t>
            </w:r>
          </w:p>
        </w:tc>
        <w:tc>
          <w:tcPr>
            <w:tcW w:w="2900" w:type="dxa"/>
            <w:tcBorders>
              <w:top w:val="nil"/>
              <w:left w:val="nil"/>
              <w:bottom w:val="single" w:sz="4" w:space="0" w:color="auto"/>
              <w:right w:val="nil"/>
            </w:tcBorders>
            <w:shd w:val="clear" w:color="auto" w:fill="auto"/>
            <w:vAlign w:val="center"/>
            <w:hideMark/>
          </w:tcPr>
          <w:p w14:paraId="33B8AC4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4A74A27F"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281C2FF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ftfuel</w:t>
            </w:r>
            <w:proofErr w:type="spellEnd"/>
          </w:p>
        </w:tc>
        <w:tc>
          <w:tcPr>
            <w:tcW w:w="3580" w:type="dxa"/>
            <w:tcBorders>
              <w:top w:val="nil"/>
              <w:left w:val="nil"/>
              <w:bottom w:val="single" w:sz="4" w:space="0" w:color="auto"/>
              <w:right w:val="nil"/>
            </w:tcBorders>
            <w:shd w:val="clear" w:color="auto" w:fill="auto"/>
            <w:vAlign w:val="center"/>
            <w:hideMark/>
          </w:tcPr>
          <w:p w14:paraId="5C68A06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ftfuel</w:t>
            </w:r>
            <w:proofErr w:type="spellEnd"/>
            <w:r w:rsidRPr="0078620D">
              <w:rPr>
                <w:rFonts w:ascii="Arial" w:hAnsi="Arial" w:cs="Calibri"/>
                <w:color w:val="000000"/>
                <w:sz w:val="18"/>
                <w:szCs w:val="18"/>
                <w:lang w:eastAsia="en-GB"/>
              </w:rPr>
              <w:t xml:space="preserve"> 2nd gen biofuel</w:t>
            </w:r>
          </w:p>
        </w:tc>
        <w:tc>
          <w:tcPr>
            <w:tcW w:w="2900" w:type="dxa"/>
            <w:tcBorders>
              <w:top w:val="nil"/>
              <w:left w:val="nil"/>
              <w:bottom w:val="single" w:sz="4" w:space="0" w:color="auto"/>
              <w:right w:val="nil"/>
            </w:tcBorders>
            <w:shd w:val="clear" w:color="auto" w:fill="auto"/>
            <w:vAlign w:val="center"/>
            <w:hideMark/>
          </w:tcPr>
          <w:p w14:paraId="34DE2D17"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58AAE11B"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778AC57D"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eth</w:t>
            </w:r>
          </w:p>
        </w:tc>
        <w:tc>
          <w:tcPr>
            <w:tcW w:w="3580" w:type="dxa"/>
            <w:tcBorders>
              <w:top w:val="nil"/>
              <w:left w:val="nil"/>
              <w:bottom w:val="single" w:sz="4" w:space="0" w:color="auto"/>
              <w:right w:val="nil"/>
            </w:tcBorders>
            <w:shd w:val="clear" w:color="auto" w:fill="auto"/>
            <w:vAlign w:val="center"/>
            <w:hideMark/>
          </w:tcPr>
          <w:p w14:paraId="21C74712"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ethanol 2nd gen biofuels</w:t>
            </w:r>
          </w:p>
        </w:tc>
        <w:tc>
          <w:tcPr>
            <w:tcW w:w="2900" w:type="dxa"/>
            <w:tcBorders>
              <w:top w:val="nil"/>
              <w:left w:val="nil"/>
              <w:bottom w:val="single" w:sz="4" w:space="0" w:color="auto"/>
              <w:right w:val="nil"/>
            </w:tcBorders>
            <w:shd w:val="clear" w:color="auto" w:fill="auto"/>
            <w:vAlign w:val="center"/>
            <w:hideMark/>
          </w:tcPr>
          <w:p w14:paraId="74FE3E59"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0480CB0F"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2E8A9D8E"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lsug</w:t>
            </w:r>
            <w:proofErr w:type="spellEnd"/>
          </w:p>
        </w:tc>
        <w:tc>
          <w:tcPr>
            <w:tcW w:w="3580" w:type="dxa"/>
            <w:tcBorders>
              <w:top w:val="nil"/>
              <w:left w:val="nil"/>
              <w:bottom w:val="single" w:sz="4" w:space="0" w:color="auto"/>
              <w:right w:val="nil"/>
            </w:tcBorders>
            <w:shd w:val="clear" w:color="auto" w:fill="auto"/>
            <w:vAlign w:val="center"/>
            <w:hideMark/>
          </w:tcPr>
          <w:p w14:paraId="16CB14C6"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ligno</w:t>
            </w:r>
            <w:proofErr w:type="spellEnd"/>
            <w:r w:rsidRPr="0078620D">
              <w:rPr>
                <w:rFonts w:ascii="Arial" w:hAnsi="Arial" w:cs="Calibri"/>
                <w:color w:val="000000"/>
                <w:sz w:val="18"/>
                <w:szCs w:val="18"/>
                <w:lang w:eastAsia="en-GB"/>
              </w:rPr>
              <w:t xml:space="preserve"> sugar</w:t>
            </w:r>
          </w:p>
        </w:tc>
        <w:tc>
          <w:tcPr>
            <w:tcW w:w="2900" w:type="dxa"/>
            <w:tcBorders>
              <w:top w:val="nil"/>
              <w:left w:val="nil"/>
              <w:bottom w:val="single" w:sz="4" w:space="0" w:color="auto"/>
              <w:right w:val="nil"/>
            </w:tcBorders>
            <w:shd w:val="clear" w:color="auto" w:fill="auto"/>
            <w:vAlign w:val="center"/>
            <w:hideMark/>
          </w:tcPr>
          <w:p w14:paraId="07E8AEA6"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6C56D040"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BFAAD21"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pe</w:t>
            </w:r>
          </w:p>
        </w:tc>
        <w:tc>
          <w:tcPr>
            <w:tcW w:w="3580" w:type="dxa"/>
            <w:tcBorders>
              <w:top w:val="nil"/>
              <w:left w:val="nil"/>
              <w:bottom w:val="single" w:sz="4" w:space="0" w:color="auto"/>
              <w:right w:val="nil"/>
            </w:tcBorders>
            <w:shd w:val="clear" w:color="auto" w:fill="auto"/>
            <w:vAlign w:val="center"/>
            <w:hideMark/>
          </w:tcPr>
          <w:p w14:paraId="3AD0AB0C"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pe biochemical</w:t>
            </w:r>
          </w:p>
        </w:tc>
        <w:tc>
          <w:tcPr>
            <w:tcW w:w="2900" w:type="dxa"/>
            <w:tcBorders>
              <w:top w:val="nil"/>
              <w:left w:val="nil"/>
              <w:bottom w:val="single" w:sz="4" w:space="0" w:color="auto"/>
              <w:right w:val="nil"/>
            </w:tcBorders>
            <w:shd w:val="clear" w:color="auto" w:fill="auto"/>
            <w:vAlign w:val="center"/>
            <w:hideMark/>
          </w:tcPr>
          <w:p w14:paraId="723EBFF3"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584417A8"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9801492"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pla</w:t>
            </w:r>
            <w:proofErr w:type="spellEnd"/>
          </w:p>
        </w:tc>
        <w:tc>
          <w:tcPr>
            <w:tcW w:w="3580" w:type="dxa"/>
            <w:tcBorders>
              <w:top w:val="nil"/>
              <w:left w:val="nil"/>
              <w:bottom w:val="single" w:sz="4" w:space="0" w:color="auto"/>
              <w:right w:val="nil"/>
            </w:tcBorders>
            <w:shd w:val="clear" w:color="auto" w:fill="auto"/>
            <w:vAlign w:val="center"/>
            <w:hideMark/>
          </w:tcPr>
          <w:p w14:paraId="21A1FF7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pla</w:t>
            </w:r>
            <w:proofErr w:type="spellEnd"/>
            <w:r w:rsidRPr="0078620D">
              <w:rPr>
                <w:rFonts w:ascii="Arial" w:hAnsi="Arial" w:cs="Calibri"/>
                <w:color w:val="000000"/>
                <w:sz w:val="18"/>
                <w:szCs w:val="18"/>
                <w:lang w:eastAsia="en-GB"/>
              </w:rPr>
              <w:t xml:space="preserve"> biochemical</w:t>
            </w:r>
          </w:p>
        </w:tc>
        <w:tc>
          <w:tcPr>
            <w:tcW w:w="2900" w:type="dxa"/>
            <w:tcBorders>
              <w:top w:val="nil"/>
              <w:left w:val="nil"/>
              <w:bottom w:val="single" w:sz="4" w:space="0" w:color="auto"/>
              <w:right w:val="nil"/>
            </w:tcBorders>
            <w:shd w:val="clear" w:color="auto" w:fill="auto"/>
            <w:vAlign w:val="center"/>
            <w:hideMark/>
          </w:tcPr>
          <w:p w14:paraId="5ED2CE60"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2346BD75"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474C7F9E"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f_chem</w:t>
            </w:r>
            <w:proofErr w:type="spellEnd"/>
          </w:p>
        </w:tc>
        <w:tc>
          <w:tcPr>
            <w:tcW w:w="3580" w:type="dxa"/>
            <w:tcBorders>
              <w:top w:val="nil"/>
              <w:left w:val="nil"/>
              <w:bottom w:val="single" w:sz="4" w:space="0" w:color="auto"/>
              <w:right w:val="nil"/>
            </w:tcBorders>
            <w:shd w:val="clear" w:color="auto" w:fill="auto"/>
            <w:vAlign w:val="center"/>
            <w:hideMark/>
          </w:tcPr>
          <w:p w14:paraId="5CC8A657"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mixed fossil biochemical sector</w:t>
            </w:r>
          </w:p>
        </w:tc>
        <w:tc>
          <w:tcPr>
            <w:tcW w:w="2900" w:type="dxa"/>
            <w:tcBorders>
              <w:top w:val="nil"/>
              <w:left w:val="nil"/>
              <w:bottom w:val="single" w:sz="4" w:space="0" w:color="auto"/>
              <w:right w:val="nil"/>
            </w:tcBorders>
            <w:shd w:val="clear" w:color="auto" w:fill="auto"/>
            <w:vAlign w:val="center"/>
            <w:hideMark/>
          </w:tcPr>
          <w:p w14:paraId="18A23E8F"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533A100A"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BDEEC3F"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ely_c</w:t>
            </w:r>
            <w:proofErr w:type="spellEnd"/>
          </w:p>
        </w:tc>
        <w:tc>
          <w:tcPr>
            <w:tcW w:w="3580" w:type="dxa"/>
            <w:tcBorders>
              <w:top w:val="nil"/>
              <w:left w:val="nil"/>
              <w:bottom w:val="single" w:sz="4" w:space="0" w:color="auto"/>
              <w:right w:val="nil"/>
            </w:tcBorders>
            <w:shd w:val="clear" w:color="auto" w:fill="auto"/>
            <w:vAlign w:val="center"/>
            <w:hideMark/>
          </w:tcPr>
          <w:p w14:paraId="621A164F"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electricity from coal</w:t>
            </w:r>
          </w:p>
        </w:tc>
        <w:tc>
          <w:tcPr>
            <w:tcW w:w="2900" w:type="dxa"/>
            <w:tcBorders>
              <w:top w:val="nil"/>
              <w:left w:val="nil"/>
              <w:bottom w:val="single" w:sz="4" w:space="0" w:color="auto"/>
              <w:right w:val="nil"/>
            </w:tcBorders>
            <w:shd w:val="clear" w:color="auto" w:fill="auto"/>
            <w:vAlign w:val="center"/>
            <w:hideMark/>
          </w:tcPr>
          <w:p w14:paraId="1DD6C46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65B93371"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7586414C"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ely_g</w:t>
            </w:r>
            <w:proofErr w:type="spellEnd"/>
          </w:p>
        </w:tc>
        <w:tc>
          <w:tcPr>
            <w:tcW w:w="3580" w:type="dxa"/>
            <w:tcBorders>
              <w:top w:val="nil"/>
              <w:left w:val="nil"/>
              <w:bottom w:val="single" w:sz="4" w:space="0" w:color="auto"/>
              <w:right w:val="nil"/>
            </w:tcBorders>
            <w:shd w:val="clear" w:color="auto" w:fill="auto"/>
            <w:vAlign w:val="center"/>
            <w:hideMark/>
          </w:tcPr>
          <w:p w14:paraId="3A83EF81"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electricity from gas</w:t>
            </w:r>
          </w:p>
        </w:tc>
        <w:tc>
          <w:tcPr>
            <w:tcW w:w="2900" w:type="dxa"/>
            <w:tcBorders>
              <w:top w:val="nil"/>
              <w:left w:val="nil"/>
              <w:bottom w:val="single" w:sz="4" w:space="0" w:color="auto"/>
              <w:right w:val="nil"/>
            </w:tcBorders>
            <w:shd w:val="clear" w:color="auto" w:fill="auto"/>
            <w:vAlign w:val="center"/>
            <w:hideMark/>
          </w:tcPr>
          <w:p w14:paraId="7287FB1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464F5949"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CF760FA"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ely_n</w:t>
            </w:r>
            <w:proofErr w:type="spellEnd"/>
          </w:p>
        </w:tc>
        <w:tc>
          <w:tcPr>
            <w:tcW w:w="3580" w:type="dxa"/>
            <w:tcBorders>
              <w:top w:val="nil"/>
              <w:left w:val="nil"/>
              <w:bottom w:val="single" w:sz="4" w:space="0" w:color="auto"/>
              <w:right w:val="nil"/>
            </w:tcBorders>
            <w:shd w:val="clear" w:color="auto" w:fill="auto"/>
            <w:vAlign w:val="center"/>
            <w:hideMark/>
          </w:tcPr>
          <w:p w14:paraId="09501204"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electricty</w:t>
            </w:r>
            <w:proofErr w:type="spellEnd"/>
            <w:r w:rsidRPr="0078620D">
              <w:rPr>
                <w:rFonts w:ascii="Arial" w:hAnsi="Arial" w:cs="Calibri"/>
                <w:color w:val="000000"/>
                <w:sz w:val="18"/>
                <w:szCs w:val="18"/>
                <w:lang w:eastAsia="en-GB"/>
              </w:rPr>
              <w:t xml:space="preserve"> from nuclear</w:t>
            </w:r>
          </w:p>
        </w:tc>
        <w:tc>
          <w:tcPr>
            <w:tcW w:w="2900" w:type="dxa"/>
            <w:tcBorders>
              <w:top w:val="nil"/>
              <w:left w:val="nil"/>
              <w:bottom w:val="single" w:sz="4" w:space="0" w:color="auto"/>
              <w:right w:val="nil"/>
            </w:tcBorders>
            <w:shd w:val="clear" w:color="auto" w:fill="auto"/>
            <w:vAlign w:val="center"/>
            <w:hideMark/>
          </w:tcPr>
          <w:p w14:paraId="5FCFE9F6"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0BDCD952"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D2113F8"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ely_h</w:t>
            </w:r>
            <w:proofErr w:type="spellEnd"/>
          </w:p>
        </w:tc>
        <w:tc>
          <w:tcPr>
            <w:tcW w:w="3580" w:type="dxa"/>
            <w:tcBorders>
              <w:top w:val="nil"/>
              <w:left w:val="nil"/>
              <w:bottom w:val="single" w:sz="4" w:space="0" w:color="auto"/>
              <w:right w:val="nil"/>
            </w:tcBorders>
            <w:shd w:val="clear" w:color="auto" w:fill="auto"/>
            <w:vAlign w:val="center"/>
            <w:hideMark/>
          </w:tcPr>
          <w:p w14:paraId="2907F1C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electricty</w:t>
            </w:r>
            <w:proofErr w:type="spellEnd"/>
            <w:r w:rsidRPr="0078620D">
              <w:rPr>
                <w:rFonts w:ascii="Arial" w:hAnsi="Arial" w:cs="Calibri"/>
                <w:color w:val="000000"/>
                <w:sz w:val="18"/>
                <w:szCs w:val="18"/>
                <w:lang w:eastAsia="en-GB"/>
              </w:rPr>
              <w:t xml:space="preserve"> from hydro</w:t>
            </w:r>
          </w:p>
        </w:tc>
        <w:tc>
          <w:tcPr>
            <w:tcW w:w="2900" w:type="dxa"/>
            <w:tcBorders>
              <w:top w:val="nil"/>
              <w:left w:val="nil"/>
              <w:bottom w:val="single" w:sz="4" w:space="0" w:color="auto"/>
              <w:right w:val="nil"/>
            </w:tcBorders>
            <w:shd w:val="clear" w:color="auto" w:fill="auto"/>
            <w:vAlign w:val="center"/>
            <w:hideMark/>
          </w:tcPr>
          <w:p w14:paraId="30D238E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6FD2FD87"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3289E08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ely_w</w:t>
            </w:r>
            <w:proofErr w:type="spellEnd"/>
          </w:p>
        </w:tc>
        <w:tc>
          <w:tcPr>
            <w:tcW w:w="3580" w:type="dxa"/>
            <w:tcBorders>
              <w:top w:val="nil"/>
              <w:left w:val="nil"/>
              <w:bottom w:val="single" w:sz="4" w:space="0" w:color="auto"/>
              <w:right w:val="nil"/>
            </w:tcBorders>
            <w:shd w:val="clear" w:color="auto" w:fill="auto"/>
            <w:vAlign w:val="center"/>
            <w:hideMark/>
          </w:tcPr>
          <w:p w14:paraId="6E7673CD"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val="en-GB" w:eastAsia="en-GB"/>
              </w:rPr>
              <w:t>electricty</w:t>
            </w:r>
            <w:proofErr w:type="spellEnd"/>
            <w:r w:rsidRPr="0078620D">
              <w:rPr>
                <w:rFonts w:ascii="Arial" w:hAnsi="Arial" w:cs="Calibri"/>
                <w:color w:val="000000"/>
                <w:sz w:val="18"/>
                <w:szCs w:val="18"/>
                <w:lang w:val="en-GB" w:eastAsia="en-GB"/>
              </w:rPr>
              <w:t xml:space="preserve"> from wind and solar</w:t>
            </w:r>
          </w:p>
        </w:tc>
        <w:tc>
          <w:tcPr>
            <w:tcW w:w="2900" w:type="dxa"/>
            <w:tcBorders>
              <w:top w:val="nil"/>
              <w:left w:val="nil"/>
              <w:bottom w:val="single" w:sz="4" w:space="0" w:color="auto"/>
              <w:right w:val="nil"/>
            </w:tcBorders>
            <w:shd w:val="clear" w:color="auto" w:fill="auto"/>
            <w:vAlign w:val="center"/>
            <w:hideMark/>
          </w:tcPr>
          <w:p w14:paraId="51456F7D"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25F16B87"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C550C32"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bioe</w:t>
            </w:r>
            <w:proofErr w:type="spellEnd"/>
          </w:p>
        </w:tc>
        <w:tc>
          <w:tcPr>
            <w:tcW w:w="3580" w:type="dxa"/>
            <w:tcBorders>
              <w:top w:val="nil"/>
              <w:left w:val="nil"/>
              <w:bottom w:val="single" w:sz="4" w:space="0" w:color="auto"/>
              <w:right w:val="nil"/>
            </w:tcBorders>
            <w:shd w:val="clear" w:color="auto" w:fill="auto"/>
            <w:vAlign w:val="center"/>
            <w:hideMark/>
          </w:tcPr>
          <w:p w14:paraId="35C1A039"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bioelectricity 2nd gen</w:t>
            </w:r>
          </w:p>
        </w:tc>
        <w:tc>
          <w:tcPr>
            <w:tcW w:w="2900" w:type="dxa"/>
            <w:tcBorders>
              <w:top w:val="nil"/>
              <w:left w:val="nil"/>
              <w:bottom w:val="single" w:sz="4" w:space="0" w:color="auto"/>
              <w:right w:val="nil"/>
            </w:tcBorders>
            <w:shd w:val="clear" w:color="auto" w:fill="auto"/>
            <w:vAlign w:val="center"/>
            <w:hideMark/>
          </w:tcPr>
          <w:p w14:paraId="602C7E2D"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311D4391"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39B6D217"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res</w:t>
            </w:r>
          </w:p>
        </w:tc>
        <w:tc>
          <w:tcPr>
            <w:tcW w:w="3580" w:type="dxa"/>
            <w:tcBorders>
              <w:top w:val="nil"/>
              <w:left w:val="nil"/>
              <w:bottom w:val="single" w:sz="4" w:space="0" w:color="auto"/>
              <w:right w:val="nil"/>
            </w:tcBorders>
            <w:shd w:val="clear" w:color="auto" w:fill="auto"/>
            <w:vAlign w:val="center"/>
            <w:hideMark/>
          </w:tcPr>
          <w:p w14:paraId="35A6911A"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residue sector</w:t>
            </w:r>
          </w:p>
        </w:tc>
        <w:tc>
          <w:tcPr>
            <w:tcW w:w="2900" w:type="dxa"/>
            <w:tcBorders>
              <w:top w:val="nil"/>
              <w:left w:val="nil"/>
              <w:bottom w:val="single" w:sz="4" w:space="0" w:color="auto"/>
              <w:right w:val="nil"/>
            </w:tcBorders>
            <w:shd w:val="clear" w:color="auto" w:fill="auto"/>
            <w:vAlign w:val="center"/>
            <w:hideMark/>
          </w:tcPr>
          <w:p w14:paraId="521956A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7197489F"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4AB5ECCA"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pel</w:t>
            </w:r>
          </w:p>
        </w:tc>
        <w:tc>
          <w:tcPr>
            <w:tcW w:w="3580" w:type="dxa"/>
            <w:tcBorders>
              <w:top w:val="nil"/>
              <w:left w:val="nil"/>
              <w:bottom w:val="single" w:sz="4" w:space="0" w:color="auto"/>
              <w:right w:val="nil"/>
            </w:tcBorders>
            <w:shd w:val="clear" w:color="auto" w:fill="auto"/>
            <w:vAlign w:val="center"/>
            <w:hideMark/>
          </w:tcPr>
          <w:p w14:paraId="4049D66D"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pellet sector</w:t>
            </w:r>
          </w:p>
        </w:tc>
        <w:tc>
          <w:tcPr>
            <w:tcW w:w="2900" w:type="dxa"/>
            <w:tcBorders>
              <w:top w:val="nil"/>
              <w:left w:val="nil"/>
              <w:bottom w:val="single" w:sz="4" w:space="0" w:color="auto"/>
              <w:right w:val="nil"/>
            </w:tcBorders>
            <w:shd w:val="clear" w:color="auto" w:fill="auto"/>
            <w:vAlign w:val="center"/>
            <w:hideMark/>
          </w:tcPr>
          <w:p w14:paraId="6BB3F3A7"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72277104"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53C9FECF"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plan</w:t>
            </w:r>
          </w:p>
        </w:tc>
        <w:tc>
          <w:tcPr>
            <w:tcW w:w="3580" w:type="dxa"/>
            <w:tcBorders>
              <w:top w:val="nil"/>
              <w:left w:val="nil"/>
              <w:bottom w:val="single" w:sz="4" w:space="0" w:color="auto"/>
              <w:right w:val="nil"/>
            </w:tcBorders>
            <w:shd w:val="clear" w:color="auto" w:fill="auto"/>
            <w:vAlign w:val="center"/>
            <w:hideMark/>
          </w:tcPr>
          <w:p w14:paraId="07413F91"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Plantation</w:t>
            </w:r>
          </w:p>
        </w:tc>
        <w:tc>
          <w:tcPr>
            <w:tcW w:w="2900" w:type="dxa"/>
            <w:tcBorders>
              <w:top w:val="nil"/>
              <w:left w:val="nil"/>
              <w:bottom w:val="single" w:sz="4" w:space="0" w:color="auto"/>
              <w:right w:val="nil"/>
            </w:tcBorders>
            <w:shd w:val="clear" w:color="auto" w:fill="auto"/>
            <w:vAlign w:val="center"/>
            <w:hideMark/>
          </w:tcPr>
          <w:p w14:paraId="6D30548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29C116DE"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E27ACA6"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Diad</w:t>
            </w:r>
            <w:proofErr w:type="spellEnd"/>
          </w:p>
        </w:tc>
        <w:tc>
          <w:tcPr>
            <w:tcW w:w="3580" w:type="dxa"/>
            <w:tcBorders>
              <w:top w:val="nil"/>
              <w:left w:val="nil"/>
              <w:bottom w:val="single" w:sz="4" w:space="0" w:color="auto"/>
              <w:right w:val="nil"/>
            </w:tcBorders>
            <w:shd w:val="clear" w:color="auto" w:fill="auto"/>
            <w:vAlign w:val="center"/>
            <w:hideMark/>
          </w:tcPr>
          <w:p w14:paraId="03174270"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Aquaculture</w:t>
            </w:r>
          </w:p>
        </w:tc>
        <w:tc>
          <w:tcPr>
            <w:tcW w:w="2900" w:type="dxa"/>
            <w:tcBorders>
              <w:top w:val="nil"/>
              <w:left w:val="nil"/>
              <w:bottom w:val="single" w:sz="4" w:space="0" w:color="auto"/>
              <w:right w:val="nil"/>
            </w:tcBorders>
            <w:shd w:val="clear" w:color="auto" w:fill="auto"/>
            <w:vAlign w:val="center"/>
            <w:hideMark/>
          </w:tcPr>
          <w:p w14:paraId="2E5C65F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0886CC38"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6F971478"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Fishp</w:t>
            </w:r>
            <w:proofErr w:type="spellEnd"/>
          </w:p>
        </w:tc>
        <w:tc>
          <w:tcPr>
            <w:tcW w:w="3580" w:type="dxa"/>
            <w:tcBorders>
              <w:top w:val="nil"/>
              <w:left w:val="nil"/>
              <w:bottom w:val="single" w:sz="4" w:space="0" w:color="auto"/>
              <w:right w:val="nil"/>
            </w:tcBorders>
            <w:shd w:val="clear" w:color="auto" w:fill="auto"/>
            <w:vAlign w:val="center"/>
            <w:hideMark/>
          </w:tcPr>
          <w:p w14:paraId="11F926EC"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Fish processing</w:t>
            </w:r>
          </w:p>
        </w:tc>
        <w:tc>
          <w:tcPr>
            <w:tcW w:w="2900" w:type="dxa"/>
            <w:tcBorders>
              <w:top w:val="nil"/>
              <w:left w:val="nil"/>
              <w:bottom w:val="single" w:sz="4" w:space="0" w:color="auto"/>
              <w:right w:val="nil"/>
            </w:tcBorders>
            <w:shd w:val="clear" w:color="auto" w:fill="auto"/>
            <w:vAlign w:val="center"/>
            <w:hideMark/>
          </w:tcPr>
          <w:p w14:paraId="1E56F1C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4F7912DE"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36554128"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bfchem</w:t>
            </w:r>
            <w:proofErr w:type="spellEnd"/>
          </w:p>
        </w:tc>
        <w:tc>
          <w:tcPr>
            <w:tcW w:w="3580" w:type="dxa"/>
            <w:tcBorders>
              <w:top w:val="nil"/>
              <w:left w:val="nil"/>
              <w:bottom w:val="single" w:sz="4" w:space="0" w:color="auto"/>
              <w:right w:val="nil"/>
            </w:tcBorders>
            <w:shd w:val="clear" w:color="auto" w:fill="auto"/>
            <w:vAlign w:val="center"/>
            <w:hideMark/>
          </w:tcPr>
          <w:p w14:paraId="7FB179F0"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bioplastics</w:t>
            </w:r>
          </w:p>
        </w:tc>
        <w:tc>
          <w:tcPr>
            <w:tcW w:w="2900" w:type="dxa"/>
            <w:tcBorders>
              <w:top w:val="nil"/>
              <w:left w:val="nil"/>
              <w:bottom w:val="single" w:sz="4" w:space="0" w:color="auto"/>
              <w:right w:val="nil"/>
            </w:tcBorders>
            <w:shd w:val="clear" w:color="auto" w:fill="auto"/>
            <w:vAlign w:val="center"/>
            <w:hideMark/>
          </w:tcPr>
          <w:p w14:paraId="569FE74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5C752F2F"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72D5BAB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ddgs</w:t>
            </w:r>
            <w:proofErr w:type="spellEnd"/>
          </w:p>
        </w:tc>
        <w:tc>
          <w:tcPr>
            <w:tcW w:w="3580" w:type="dxa"/>
            <w:tcBorders>
              <w:top w:val="nil"/>
              <w:left w:val="nil"/>
              <w:bottom w:val="single" w:sz="4" w:space="0" w:color="auto"/>
              <w:right w:val="nil"/>
            </w:tcBorders>
            <w:shd w:val="clear" w:color="auto" w:fill="auto"/>
            <w:vAlign w:val="center"/>
            <w:hideMark/>
          </w:tcPr>
          <w:p w14:paraId="0C6815A9"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Biogasoline</w:t>
            </w:r>
            <w:proofErr w:type="spellEnd"/>
            <w:r w:rsidRPr="0078620D">
              <w:rPr>
                <w:rFonts w:ascii="Arial" w:hAnsi="Arial" w:cs="Calibri"/>
                <w:color w:val="000000"/>
                <w:sz w:val="18"/>
                <w:szCs w:val="18"/>
                <w:lang w:eastAsia="en-GB"/>
              </w:rPr>
              <w:t xml:space="preserve"> byproduct</w:t>
            </w:r>
          </w:p>
        </w:tc>
        <w:tc>
          <w:tcPr>
            <w:tcW w:w="2900" w:type="dxa"/>
            <w:tcBorders>
              <w:top w:val="nil"/>
              <w:left w:val="nil"/>
              <w:bottom w:val="single" w:sz="4" w:space="0" w:color="auto"/>
              <w:right w:val="nil"/>
            </w:tcBorders>
            <w:shd w:val="clear" w:color="auto" w:fill="auto"/>
            <w:vAlign w:val="center"/>
            <w:hideMark/>
          </w:tcPr>
          <w:p w14:paraId="1013A387"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003CF9E2" w14:textId="77777777" w:rsidTr="0078620D">
        <w:trPr>
          <w:trHeight w:val="528"/>
        </w:trPr>
        <w:tc>
          <w:tcPr>
            <w:tcW w:w="1300" w:type="dxa"/>
            <w:tcBorders>
              <w:top w:val="nil"/>
              <w:left w:val="nil"/>
              <w:bottom w:val="single" w:sz="4" w:space="0" w:color="auto"/>
              <w:right w:val="nil"/>
            </w:tcBorders>
            <w:shd w:val="clear" w:color="auto" w:fill="auto"/>
            <w:vAlign w:val="center"/>
            <w:hideMark/>
          </w:tcPr>
          <w:p w14:paraId="16A0004F"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oilcake</w:t>
            </w:r>
          </w:p>
        </w:tc>
        <w:tc>
          <w:tcPr>
            <w:tcW w:w="3580" w:type="dxa"/>
            <w:tcBorders>
              <w:top w:val="nil"/>
              <w:left w:val="nil"/>
              <w:bottom w:val="single" w:sz="4" w:space="0" w:color="auto"/>
              <w:right w:val="nil"/>
            </w:tcBorders>
            <w:shd w:val="clear" w:color="auto" w:fill="auto"/>
            <w:vAlign w:val="center"/>
            <w:hideMark/>
          </w:tcPr>
          <w:p w14:paraId="13388F33"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val="en-GB" w:eastAsia="en-GB"/>
              </w:rPr>
              <w:t xml:space="preserve">Oil cake </w:t>
            </w:r>
            <w:proofErr w:type="spellStart"/>
            <w:r w:rsidRPr="0078620D">
              <w:rPr>
                <w:rFonts w:ascii="Arial" w:hAnsi="Arial" w:cs="Calibri"/>
                <w:color w:val="000000"/>
                <w:sz w:val="18"/>
                <w:szCs w:val="18"/>
                <w:lang w:val="en-GB" w:eastAsia="en-GB"/>
              </w:rPr>
              <w:t>byproduct</w:t>
            </w:r>
            <w:proofErr w:type="spellEnd"/>
            <w:r w:rsidRPr="0078620D">
              <w:rPr>
                <w:rFonts w:ascii="Arial" w:hAnsi="Arial" w:cs="Calibri"/>
                <w:color w:val="000000"/>
                <w:sz w:val="18"/>
                <w:szCs w:val="18"/>
                <w:lang w:val="en-GB" w:eastAsia="en-GB"/>
              </w:rPr>
              <w:t xml:space="preserve"> of </w:t>
            </w:r>
            <w:proofErr w:type="spellStart"/>
            <w:r w:rsidRPr="0078620D">
              <w:rPr>
                <w:rFonts w:ascii="Arial" w:hAnsi="Arial" w:cs="Calibri"/>
                <w:color w:val="000000"/>
                <w:sz w:val="18"/>
                <w:szCs w:val="18"/>
                <w:lang w:val="en-GB" w:eastAsia="en-GB"/>
              </w:rPr>
              <w:t>cvol</w:t>
            </w:r>
            <w:proofErr w:type="spellEnd"/>
            <w:r w:rsidRPr="0078620D">
              <w:rPr>
                <w:rFonts w:ascii="Arial" w:hAnsi="Arial" w:cs="Calibri"/>
                <w:color w:val="000000"/>
                <w:sz w:val="18"/>
                <w:szCs w:val="18"/>
                <w:lang w:val="en-GB" w:eastAsia="en-GB"/>
              </w:rPr>
              <w:t xml:space="preserve"> used as animal feed</w:t>
            </w:r>
          </w:p>
        </w:tc>
        <w:tc>
          <w:tcPr>
            <w:tcW w:w="2900" w:type="dxa"/>
            <w:tcBorders>
              <w:top w:val="nil"/>
              <w:left w:val="nil"/>
              <w:bottom w:val="single" w:sz="4" w:space="0" w:color="auto"/>
              <w:right w:val="nil"/>
            </w:tcBorders>
            <w:shd w:val="clear" w:color="auto" w:fill="auto"/>
            <w:vAlign w:val="center"/>
            <w:hideMark/>
          </w:tcPr>
          <w:p w14:paraId="7BDA495A"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5A944828"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3E4B1411"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r_pdr</w:t>
            </w:r>
            <w:proofErr w:type="spellEnd"/>
          </w:p>
        </w:tc>
        <w:tc>
          <w:tcPr>
            <w:tcW w:w="3580" w:type="dxa"/>
            <w:tcBorders>
              <w:top w:val="nil"/>
              <w:left w:val="nil"/>
              <w:bottom w:val="single" w:sz="4" w:space="0" w:color="auto"/>
              <w:right w:val="nil"/>
            </w:tcBorders>
            <w:shd w:val="clear" w:color="auto" w:fill="auto"/>
            <w:vAlign w:val="center"/>
            <w:hideMark/>
          </w:tcPr>
          <w:p w14:paraId="614D9629"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 xml:space="preserve">residue </w:t>
            </w:r>
            <w:proofErr w:type="spellStart"/>
            <w:r w:rsidRPr="0078620D">
              <w:rPr>
                <w:rFonts w:ascii="Arial" w:hAnsi="Arial" w:cs="Calibri"/>
                <w:color w:val="000000"/>
                <w:sz w:val="18"/>
                <w:szCs w:val="18"/>
                <w:lang w:eastAsia="en-GB"/>
              </w:rPr>
              <w:t>pdr</w:t>
            </w:r>
            <w:proofErr w:type="spellEnd"/>
          </w:p>
        </w:tc>
        <w:tc>
          <w:tcPr>
            <w:tcW w:w="2900" w:type="dxa"/>
            <w:tcBorders>
              <w:top w:val="nil"/>
              <w:left w:val="nil"/>
              <w:bottom w:val="single" w:sz="4" w:space="0" w:color="auto"/>
              <w:right w:val="nil"/>
            </w:tcBorders>
            <w:shd w:val="clear" w:color="auto" w:fill="auto"/>
            <w:vAlign w:val="center"/>
            <w:hideMark/>
          </w:tcPr>
          <w:p w14:paraId="78867DC8"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2ED727BE"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5A112F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r_wht</w:t>
            </w:r>
            <w:proofErr w:type="spellEnd"/>
          </w:p>
        </w:tc>
        <w:tc>
          <w:tcPr>
            <w:tcW w:w="3580" w:type="dxa"/>
            <w:tcBorders>
              <w:top w:val="nil"/>
              <w:left w:val="nil"/>
              <w:bottom w:val="single" w:sz="4" w:space="0" w:color="auto"/>
              <w:right w:val="nil"/>
            </w:tcBorders>
            <w:shd w:val="clear" w:color="auto" w:fill="auto"/>
            <w:vAlign w:val="center"/>
            <w:hideMark/>
          </w:tcPr>
          <w:p w14:paraId="0F60EE1D"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residue wheat</w:t>
            </w:r>
          </w:p>
        </w:tc>
        <w:tc>
          <w:tcPr>
            <w:tcW w:w="2900" w:type="dxa"/>
            <w:tcBorders>
              <w:top w:val="nil"/>
              <w:left w:val="nil"/>
              <w:bottom w:val="single" w:sz="4" w:space="0" w:color="auto"/>
              <w:right w:val="nil"/>
            </w:tcBorders>
            <w:shd w:val="clear" w:color="auto" w:fill="auto"/>
            <w:vAlign w:val="center"/>
            <w:hideMark/>
          </w:tcPr>
          <w:p w14:paraId="149B8F5A"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1CF20B22"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F1C78C5"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r_gro</w:t>
            </w:r>
            <w:proofErr w:type="spellEnd"/>
          </w:p>
        </w:tc>
        <w:tc>
          <w:tcPr>
            <w:tcW w:w="3580" w:type="dxa"/>
            <w:tcBorders>
              <w:top w:val="nil"/>
              <w:left w:val="nil"/>
              <w:bottom w:val="single" w:sz="4" w:space="0" w:color="auto"/>
              <w:right w:val="nil"/>
            </w:tcBorders>
            <w:shd w:val="clear" w:color="auto" w:fill="auto"/>
            <w:vAlign w:val="center"/>
            <w:hideMark/>
          </w:tcPr>
          <w:p w14:paraId="5251E1C0"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 xml:space="preserve">residue </w:t>
            </w:r>
            <w:proofErr w:type="spellStart"/>
            <w:r w:rsidRPr="0078620D">
              <w:rPr>
                <w:rFonts w:ascii="Arial" w:hAnsi="Arial" w:cs="Calibri"/>
                <w:color w:val="000000"/>
                <w:sz w:val="18"/>
                <w:szCs w:val="18"/>
                <w:lang w:eastAsia="en-GB"/>
              </w:rPr>
              <w:t>gro</w:t>
            </w:r>
            <w:proofErr w:type="spellEnd"/>
          </w:p>
        </w:tc>
        <w:tc>
          <w:tcPr>
            <w:tcW w:w="2900" w:type="dxa"/>
            <w:tcBorders>
              <w:top w:val="nil"/>
              <w:left w:val="nil"/>
              <w:bottom w:val="single" w:sz="4" w:space="0" w:color="auto"/>
              <w:right w:val="nil"/>
            </w:tcBorders>
            <w:shd w:val="clear" w:color="auto" w:fill="auto"/>
            <w:vAlign w:val="center"/>
            <w:hideMark/>
          </w:tcPr>
          <w:p w14:paraId="2A4E67D4"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4573C4C4"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CA1C609"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r_osd</w:t>
            </w:r>
            <w:proofErr w:type="spellEnd"/>
          </w:p>
        </w:tc>
        <w:tc>
          <w:tcPr>
            <w:tcW w:w="3580" w:type="dxa"/>
            <w:tcBorders>
              <w:top w:val="nil"/>
              <w:left w:val="nil"/>
              <w:bottom w:val="single" w:sz="4" w:space="0" w:color="auto"/>
              <w:right w:val="nil"/>
            </w:tcBorders>
            <w:shd w:val="clear" w:color="auto" w:fill="auto"/>
            <w:vAlign w:val="center"/>
            <w:hideMark/>
          </w:tcPr>
          <w:p w14:paraId="353700F7"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 xml:space="preserve">residue </w:t>
            </w:r>
            <w:proofErr w:type="spellStart"/>
            <w:r w:rsidRPr="0078620D">
              <w:rPr>
                <w:rFonts w:ascii="Arial" w:hAnsi="Arial" w:cs="Calibri"/>
                <w:color w:val="000000"/>
                <w:sz w:val="18"/>
                <w:szCs w:val="18"/>
                <w:lang w:eastAsia="en-GB"/>
              </w:rPr>
              <w:t>osd</w:t>
            </w:r>
            <w:proofErr w:type="spellEnd"/>
          </w:p>
        </w:tc>
        <w:tc>
          <w:tcPr>
            <w:tcW w:w="2900" w:type="dxa"/>
            <w:tcBorders>
              <w:top w:val="nil"/>
              <w:left w:val="nil"/>
              <w:bottom w:val="single" w:sz="4" w:space="0" w:color="auto"/>
              <w:right w:val="nil"/>
            </w:tcBorders>
            <w:shd w:val="clear" w:color="auto" w:fill="auto"/>
            <w:vAlign w:val="center"/>
            <w:hideMark/>
          </w:tcPr>
          <w:p w14:paraId="1A2CD854"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6AE201CA"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05505A2A"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r_ocr</w:t>
            </w:r>
            <w:proofErr w:type="spellEnd"/>
          </w:p>
        </w:tc>
        <w:tc>
          <w:tcPr>
            <w:tcW w:w="3580" w:type="dxa"/>
            <w:tcBorders>
              <w:top w:val="nil"/>
              <w:left w:val="nil"/>
              <w:bottom w:val="single" w:sz="4" w:space="0" w:color="auto"/>
              <w:right w:val="nil"/>
            </w:tcBorders>
            <w:shd w:val="clear" w:color="auto" w:fill="auto"/>
            <w:vAlign w:val="center"/>
            <w:hideMark/>
          </w:tcPr>
          <w:p w14:paraId="769FB141"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 xml:space="preserve">residue </w:t>
            </w:r>
            <w:proofErr w:type="spellStart"/>
            <w:r w:rsidRPr="0078620D">
              <w:rPr>
                <w:rFonts w:ascii="Arial" w:hAnsi="Arial" w:cs="Calibri"/>
                <w:color w:val="000000"/>
                <w:sz w:val="18"/>
                <w:szCs w:val="18"/>
                <w:lang w:eastAsia="en-GB"/>
              </w:rPr>
              <w:t>ocr</w:t>
            </w:r>
            <w:proofErr w:type="spellEnd"/>
          </w:p>
        </w:tc>
        <w:tc>
          <w:tcPr>
            <w:tcW w:w="2900" w:type="dxa"/>
            <w:tcBorders>
              <w:top w:val="nil"/>
              <w:left w:val="nil"/>
              <w:bottom w:val="single" w:sz="4" w:space="0" w:color="auto"/>
              <w:right w:val="nil"/>
            </w:tcBorders>
            <w:shd w:val="clear" w:color="auto" w:fill="auto"/>
            <w:vAlign w:val="center"/>
            <w:hideMark/>
          </w:tcPr>
          <w:p w14:paraId="67600D10"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06E50301"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7B6BA08F"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r_frs</w:t>
            </w:r>
            <w:proofErr w:type="spellEnd"/>
          </w:p>
        </w:tc>
        <w:tc>
          <w:tcPr>
            <w:tcW w:w="3580" w:type="dxa"/>
            <w:tcBorders>
              <w:top w:val="nil"/>
              <w:left w:val="nil"/>
              <w:bottom w:val="single" w:sz="4" w:space="0" w:color="auto"/>
              <w:right w:val="nil"/>
            </w:tcBorders>
            <w:shd w:val="clear" w:color="auto" w:fill="auto"/>
            <w:vAlign w:val="center"/>
            <w:hideMark/>
          </w:tcPr>
          <w:p w14:paraId="6AFB89A7"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 xml:space="preserve">residue </w:t>
            </w:r>
            <w:proofErr w:type="spellStart"/>
            <w:r w:rsidRPr="0078620D">
              <w:rPr>
                <w:rFonts w:ascii="Arial" w:hAnsi="Arial" w:cs="Calibri"/>
                <w:color w:val="000000"/>
                <w:sz w:val="18"/>
                <w:szCs w:val="18"/>
                <w:lang w:eastAsia="en-GB"/>
              </w:rPr>
              <w:t>frs</w:t>
            </w:r>
            <w:proofErr w:type="spellEnd"/>
          </w:p>
        </w:tc>
        <w:tc>
          <w:tcPr>
            <w:tcW w:w="2900" w:type="dxa"/>
            <w:tcBorders>
              <w:top w:val="nil"/>
              <w:left w:val="nil"/>
              <w:bottom w:val="single" w:sz="4" w:space="0" w:color="auto"/>
              <w:right w:val="nil"/>
            </w:tcBorders>
            <w:shd w:val="clear" w:color="auto" w:fill="auto"/>
            <w:vAlign w:val="center"/>
            <w:hideMark/>
          </w:tcPr>
          <w:p w14:paraId="4EDCC7AC"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6650AB0F"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1AB0F7F6"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r_v_f</w:t>
            </w:r>
            <w:proofErr w:type="spellEnd"/>
          </w:p>
        </w:tc>
        <w:tc>
          <w:tcPr>
            <w:tcW w:w="3580" w:type="dxa"/>
            <w:tcBorders>
              <w:top w:val="nil"/>
              <w:left w:val="nil"/>
              <w:bottom w:val="single" w:sz="4" w:space="0" w:color="auto"/>
              <w:right w:val="nil"/>
            </w:tcBorders>
            <w:shd w:val="clear" w:color="auto" w:fill="auto"/>
            <w:vAlign w:val="center"/>
            <w:hideMark/>
          </w:tcPr>
          <w:p w14:paraId="12254D7F"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 xml:space="preserve">residue </w:t>
            </w:r>
            <w:proofErr w:type="spellStart"/>
            <w:r w:rsidRPr="0078620D">
              <w:rPr>
                <w:rFonts w:ascii="Arial" w:hAnsi="Arial" w:cs="Calibri"/>
                <w:color w:val="000000"/>
                <w:sz w:val="18"/>
                <w:szCs w:val="18"/>
                <w:lang w:eastAsia="en-GB"/>
              </w:rPr>
              <w:t>v_f</w:t>
            </w:r>
            <w:proofErr w:type="spellEnd"/>
          </w:p>
        </w:tc>
        <w:tc>
          <w:tcPr>
            <w:tcW w:w="2900" w:type="dxa"/>
            <w:tcBorders>
              <w:top w:val="nil"/>
              <w:left w:val="nil"/>
              <w:bottom w:val="single" w:sz="4" w:space="0" w:color="auto"/>
              <w:right w:val="nil"/>
            </w:tcBorders>
            <w:shd w:val="clear" w:color="auto" w:fill="auto"/>
            <w:vAlign w:val="center"/>
            <w:hideMark/>
          </w:tcPr>
          <w:p w14:paraId="3C1AAC4C"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r w:rsidR="0078620D" w:rsidRPr="0078620D" w14:paraId="5A1773BC" w14:textId="77777777" w:rsidTr="0078620D">
        <w:trPr>
          <w:trHeight w:val="288"/>
        </w:trPr>
        <w:tc>
          <w:tcPr>
            <w:tcW w:w="1300" w:type="dxa"/>
            <w:tcBorders>
              <w:top w:val="nil"/>
              <w:left w:val="nil"/>
              <w:bottom w:val="single" w:sz="4" w:space="0" w:color="auto"/>
              <w:right w:val="nil"/>
            </w:tcBorders>
            <w:shd w:val="clear" w:color="auto" w:fill="auto"/>
            <w:vAlign w:val="center"/>
            <w:hideMark/>
          </w:tcPr>
          <w:p w14:paraId="3FBF5B48"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Calibri"/>
                <w:color w:val="000000"/>
                <w:sz w:val="18"/>
                <w:szCs w:val="18"/>
                <w:lang w:eastAsia="en-GB"/>
              </w:rPr>
              <w:t>fishm</w:t>
            </w:r>
            <w:proofErr w:type="spellEnd"/>
          </w:p>
        </w:tc>
        <w:tc>
          <w:tcPr>
            <w:tcW w:w="3580" w:type="dxa"/>
            <w:tcBorders>
              <w:top w:val="nil"/>
              <w:left w:val="nil"/>
              <w:bottom w:val="single" w:sz="4" w:space="0" w:color="auto"/>
              <w:right w:val="nil"/>
            </w:tcBorders>
            <w:shd w:val="clear" w:color="auto" w:fill="auto"/>
            <w:vAlign w:val="center"/>
            <w:hideMark/>
          </w:tcPr>
          <w:p w14:paraId="2B1DA429" w14:textId="77777777" w:rsidR="0078620D" w:rsidRPr="0078620D" w:rsidRDefault="0078620D" w:rsidP="0078620D">
            <w:pPr>
              <w:rPr>
                <w:rFonts w:ascii="Arial" w:hAnsi="Arial" w:cs="Arial"/>
                <w:color w:val="000000"/>
                <w:sz w:val="18"/>
                <w:szCs w:val="18"/>
                <w:lang w:val="en-GB" w:eastAsia="en-GB"/>
              </w:rPr>
            </w:pPr>
            <w:r w:rsidRPr="0078620D">
              <w:rPr>
                <w:rFonts w:ascii="Arial" w:hAnsi="Arial" w:cs="Calibri"/>
                <w:color w:val="000000"/>
                <w:sz w:val="18"/>
                <w:szCs w:val="18"/>
                <w:lang w:eastAsia="en-GB"/>
              </w:rPr>
              <w:t>fish meal</w:t>
            </w:r>
          </w:p>
        </w:tc>
        <w:tc>
          <w:tcPr>
            <w:tcW w:w="2900" w:type="dxa"/>
            <w:tcBorders>
              <w:top w:val="nil"/>
              <w:left w:val="nil"/>
              <w:bottom w:val="single" w:sz="4" w:space="0" w:color="auto"/>
              <w:right w:val="nil"/>
            </w:tcBorders>
            <w:shd w:val="clear" w:color="auto" w:fill="auto"/>
            <w:vAlign w:val="center"/>
            <w:hideMark/>
          </w:tcPr>
          <w:p w14:paraId="2B2F8BEB" w14:textId="77777777" w:rsidR="0078620D" w:rsidRPr="0078620D" w:rsidRDefault="0078620D" w:rsidP="0078620D">
            <w:pPr>
              <w:rPr>
                <w:rFonts w:ascii="Arial" w:hAnsi="Arial" w:cs="Arial"/>
                <w:color w:val="000000"/>
                <w:sz w:val="18"/>
                <w:szCs w:val="18"/>
                <w:lang w:val="en-GB" w:eastAsia="en-GB"/>
              </w:rPr>
            </w:pPr>
            <w:proofErr w:type="spellStart"/>
            <w:r w:rsidRPr="0078620D">
              <w:rPr>
                <w:rFonts w:ascii="Arial" w:hAnsi="Arial" w:cs="Arial"/>
                <w:color w:val="000000"/>
                <w:sz w:val="18"/>
                <w:szCs w:val="18"/>
                <w:lang w:eastAsia="en-GB"/>
              </w:rPr>
              <w:t>n.a.</w:t>
            </w:r>
            <w:proofErr w:type="spellEnd"/>
          </w:p>
        </w:tc>
      </w:tr>
    </w:tbl>
    <w:p w14:paraId="721D8E0E" w14:textId="663BBF99" w:rsidR="0078620D" w:rsidRPr="0078620D" w:rsidRDefault="0078620D" w:rsidP="0078620D">
      <w:pPr>
        <w:pStyle w:val="NoSpacing"/>
        <w:spacing w:line="276" w:lineRule="auto"/>
        <w:rPr>
          <w:sz w:val="22"/>
          <w:szCs w:val="22"/>
        </w:rPr>
      </w:pPr>
      <w:r w:rsidRPr="0078620D">
        <w:rPr>
          <w:sz w:val="22"/>
          <w:szCs w:val="18"/>
        </w:rPr>
        <w:t>Note: Sectors with “</w:t>
      </w:r>
      <w:proofErr w:type="spellStart"/>
      <w:r w:rsidRPr="0078620D">
        <w:rPr>
          <w:sz w:val="22"/>
          <w:szCs w:val="18"/>
        </w:rPr>
        <w:t>n.a</w:t>
      </w:r>
      <w:proofErr w:type="spellEnd"/>
      <w:proofErr w:type="gramStart"/>
      <w:r w:rsidRPr="0078620D">
        <w:rPr>
          <w:sz w:val="22"/>
          <w:szCs w:val="18"/>
        </w:rPr>
        <w:t>“ are</w:t>
      </w:r>
      <w:proofErr w:type="gramEnd"/>
      <w:r w:rsidRPr="0078620D">
        <w:rPr>
          <w:sz w:val="22"/>
          <w:szCs w:val="18"/>
        </w:rPr>
        <w:t xml:space="preserve"> not part of the GTAP data base and are MAGNET specific sectors. </w:t>
      </w:r>
      <w:r w:rsidR="00D64C07">
        <w:rPr>
          <w:sz w:val="22"/>
          <w:szCs w:val="18"/>
        </w:rPr>
        <w:t xml:space="preserve">See </w:t>
      </w:r>
      <w:r w:rsidR="00D64C07" w:rsidRPr="00D64C07">
        <w:rPr>
          <w:sz w:val="22"/>
          <w:szCs w:val="18"/>
        </w:rPr>
        <w:t>https://www.gtap.agecon.purdue.edu/databases/contribute/detailedsector.asp</w:t>
      </w:r>
      <w:r w:rsidR="00D64C07">
        <w:rPr>
          <w:sz w:val="22"/>
          <w:szCs w:val="18"/>
        </w:rPr>
        <w:t xml:space="preserve"> for </w:t>
      </w:r>
      <w:r w:rsidR="00D64C07" w:rsidRPr="0078620D">
        <w:rPr>
          <w:sz w:val="22"/>
          <w:szCs w:val="18"/>
        </w:rPr>
        <w:t xml:space="preserve">a detailed </w:t>
      </w:r>
      <w:r w:rsidR="00D64C07">
        <w:rPr>
          <w:sz w:val="22"/>
          <w:szCs w:val="18"/>
        </w:rPr>
        <w:t xml:space="preserve">description of </w:t>
      </w:r>
      <w:r w:rsidR="00D64C07" w:rsidRPr="0078620D">
        <w:rPr>
          <w:sz w:val="22"/>
          <w:szCs w:val="18"/>
        </w:rPr>
        <w:t>sector</w:t>
      </w:r>
      <w:r w:rsidR="00D64C07">
        <w:rPr>
          <w:sz w:val="22"/>
          <w:szCs w:val="18"/>
        </w:rPr>
        <w:t>s.</w:t>
      </w:r>
    </w:p>
    <w:p w14:paraId="72DF94C3" w14:textId="77777777" w:rsidR="0078620D" w:rsidRDefault="0078620D" w:rsidP="0078620D">
      <w:pPr>
        <w:pStyle w:val="SMcaption"/>
        <w:spacing w:line="276" w:lineRule="auto"/>
      </w:pPr>
    </w:p>
    <w:p w14:paraId="2B145D31" w14:textId="139E2F14" w:rsidR="00C4280C" w:rsidRPr="0078620D" w:rsidRDefault="00C4280C" w:rsidP="00416662">
      <w:pPr>
        <w:pStyle w:val="SMText"/>
        <w:spacing w:line="276" w:lineRule="auto"/>
      </w:pPr>
    </w:p>
    <w:p w14:paraId="3680CB2D" w14:textId="05FF4253" w:rsidR="00E97167" w:rsidRDefault="00E97167" w:rsidP="00416662">
      <w:pPr>
        <w:pStyle w:val="SMText"/>
        <w:spacing w:line="276" w:lineRule="auto"/>
        <w:rPr>
          <w:lang w:val="en-GB"/>
        </w:rPr>
      </w:pPr>
    </w:p>
    <w:p w14:paraId="2CA0122A" w14:textId="13E5AEF3" w:rsidR="00E97167" w:rsidRDefault="00E97167" w:rsidP="00416662">
      <w:pPr>
        <w:pStyle w:val="SMText"/>
        <w:spacing w:line="276" w:lineRule="auto"/>
        <w:rPr>
          <w:lang w:val="en-GB"/>
        </w:rPr>
      </w:pPr>
    </w:p>
    <w:p w14:paraId="6D756403" w14:textId="4B8AA8B9" w:rsidR="00E97167" w:rsidRDefault="00E97167" w:rsidP="00416662">
      <w:pPr>
        <w:pStyle w:val="SMText"/>
        <w:spacing w:line="276" w:lineRule="auto"/>
        <w:rPr>
          <w:lang w:val="en-GB"/>
        </w:rPr>
      </w:pPr>
    </w:p>
    <w:p w14:paraId="21778EC3" w14:textId="526C0FDB" w:rsidR="00E97167" w:rsidRDefault="00E97167" w:rsidP="0078620D">
      <w:pPr>
        <w:pStyle w:val="SMText"/>
        <w:spacing w:line="276" w:lineRule="auto"/>
        <w:ind w:firstLine="0"/>
        <w:rPr>
          <w:lang w:val="en-GB"/>
        </w:rPr>
      </w:pPr>
    </w:p>
    <w:p w14:paraId="16A914F6" w14:textId="6F95D105" w:rsidR="0078620D" w:rsidRDefault="0078620D" w:rsidP="0078620D">
      <w:pPr>
        <w:pStyle w:val="SMText"/>
        <w:spacing w:line="276" w:lineRule="auto"/>
        <w:ind w:firstLine="0"/>
        <w:rPr>
          <w:lang w:val="en-GB"/>
        </w:rPr>
      </w:pPr>
    </w:p>
    <w:p w14:paraId="61809ABC" w14:textId="1DBD0A1F" w:rsidR="0078620D" w:rsidRDefault="0078620D" w:rsidP="0078620D">
      <w:pPr>
        <w:pStyle w:val="SMText"/>
        <w:spacing w:line="276" w:lineRule="auto"/>
        <w:ind w:firstLine="0"/>
        <w:rPr>
          <w:lang w:val="en-GB"/>
        </w:rPr>
      </w:pPr>
    </w:p>
    <w:p w14:paraId="783A0958" w14:textId="65857D1D" w:rsidR="0078620D" w:rsidRDefault="0078620D" w:rsidP="0078620D">
      <w:pPr>
        <w:pStyle w:val="SMText"/>
        <w:spacing w:line="276" w:lineRule="auto"/>
        <w:ind w:firstLine="0"/>
        <w:rPr>
          <w:lang w:val="en-GB"/>
        </w:rPr>
      </w:pPr>
    </w:p>
    <w:p w14:paraId="4D1D9D06" w14:textId="041DC0B5" w:rsidR="0078620D" w:rsidRDefault="0078620D" w:rsidP="0078620D">
      <w:pPr>
        <w:pStyle w:val="SMText"/>
        <w:spacing w:line="276" w:lineRule="auto"/>
        <w:ind w:firstLine="0"/>
        <w:rPr>
          <w:lang w:val="en-GB"/>
        </w:rPr>
      </w:pPr>
    </w:p>
    <w:p w14:paraId="047684D9" w14:textId="51D328EF" w:rsidR="0078620D" w:rsidRDefault="0078620D" w:rsidP="0078620D">
      <w:pPr>
        <w:pStyle w:val="SMText"/>
        <w:spacing w:line="276" w:lineRule="auto"/>
        <w:ind w:firstLine="0"/>
        <w:rPr>
          <w:lang w:val="en-GB"/>
        </w:rPr>
      </w:pPr>
    </w:p>
    <w:p w14:paraId="2CD64A31" w14:textId="77777777" w:rsidR="0078620D" w:rsidRDefault="0078620D" w:rsidP="0078620D">
      <w:pPr>
        <w:pStyle w:val="SMText"/>
        <w:spacing w:line="276" w:lineRule="auto"/>
        <w:ind w:firstLine="0"/>
        <w:rPr>
          <w:lang w:val="en-GB"/>
        </w:rPr>
      </w:pPr>
    </w:p>
    <w:p w14:paraId="2F0D4F3A" w14:textId="77777777" w:rsidR="00E97167" w:rsidRPr="00C4280C" w:rsidRDefault="00E97167" w:rsidP="00416662">
      <w:pPr>
        <w:pStyle w:val="SMText"/>
        <w:spacing w:line="276" w:lineRule="auto"/>
        <w:rPr>
          <w:lang w:val="en-GB"/>
        </w:rPr>
      </w:pPr>
    </w:p>
    <w:p w14:paraId="6AD5B811" w14:textId="49C0A782" w:rsidR="008A7375" w:rsidRPr="008A7375" w:rsidRDefault="008A7375" w:rsidP="008A7375">
      <w:pPr>
        <w:pStyle w:val="SMSubheading"/>
        <w:spacing w:line="276" w:lineRule="auto"/>
        <w:rPr>
          <w:b/>
          <w:bCs/>
          <w:i/>
          <w:iCs/>
          <w:u w:val="none"/>
        </w:rPr>
      </w:pPr>
      <w:r>
        <w:rPr>
          <w:b/>
          <w:bCs/>
          <w:i/>
          <w:iCs/>
          <w:u w:val="none"/>
        </w:rPr>
        <w:lastRenderedPageBreak/>
        <w:t>Representation of import tariffs</w:t>
      </w:r>
    </w:p>
    <w:p w14:paraId="240356AB" w14:textId="77777777" w:rsidR="008A7375" w:rsidRPr="008A7375" w:rsidRDefault="008A7375" w:rsidP="008A7375">
      <w:pPr>
        <w:pStyle w:val="SMSubheading"/>
        <w:spacing w:line="276" w:lineRule="auto"/>
        <w:rPr>
          <w:u w:val="none"/>
        </w:rPr>
      </w:pPr>
    </w:p>
    <w:p w14:paraId="074C5891" w14:textId="7019FE67" w:rsidR="00165C6B" w:rsidRDefault="008A7375" w:rsidP="00165C6B">
      <w:pPr>
        <w:pStyle w:val="SMSubheading"/>
        <w:spacing w:line="276" w:lineRule="auto"/>
        <w:rPr>
          <w:u w:val="none"/>
        </w:rPr>
      </w:pPr>
      <w:r>
        <w:rPr>
          <w:u w:val="none"/>
        </w:rPr>
        <w:t>For</w:t>
      </w:r>
      <w:r w:rsidRPr="008A7375">
        <w:rPr>
          <w:u w:val="none"/>
        </w:rPr>
        <w:t xml:space="preserve"> the </w:t>
      </w:r>
      <w:r w:rsidR="008F3893">
        <w:rPr>
          <w:u w:val="none"/>
          <w:lang w:val="en-GB"/>
        </w:rPr>
        <w:t>“</w:t>
      </w:r>
      <w:r w:rsidRPr="008A7375">
        <w:rPr>
          <w:u w:val="none"/>
        </w:rPr>
        <w:t>Hard Brexit</w:t>
      </w:r>
      <w:r w:rsidR="008F3893">
        <w:rPr>
          <w:u w:val="none"/>
        </w:rPr>
        <w:t>”</w:t>
      </w:r>
      <w:r w:rsidRPr="008A7375">
        <w:rPr>
          <w:u w:val="none"/>
        </w:rPr>
        <w:t xml:space="preserve"> scenario</w:t>
      </w:r>
      <w:r>
        <w:rPr>
          <w:u w:val="none"/>
        </w:rPr>
        <w:t>,</w:t>
      </w:r>
      <w:r w:rsidRPr="008A7375">
        <w:rPr>
          <w:u w:val="none"/>
        </w:rPr>
        <w:t xml:space="preserve"> we </w:t>
      </w:r>
      <w:r>
        <w:rPr>
          <w:u w:val="none"/>
        </w:rPr>
        <w:t>used</w:t>
      </w:r>
      <w:r w:rsidRPr="008A7375">
        <w:rPr>
          <w:u w:val="none"/>
        </w:rPr>
        <w:t xml:space="preserve"> </w:t>
      </w:r>
      <w:r>
        <w:rPr>
          <w:u w:val="none"/>
        </w:rPr>
        <w:t xml:space="preserve">the </w:t>
      </w:r>
      <w:r w:rsidRPr="008A7375">
        <w:rPr>
          <w:u w:val="none"/>
        </w:rPr>
        <w:t xml:space="preserve">most recent information on </w:t>
      </w:r>
      <w:r w:rsidR="008F3893">
        <w:rPr>
          <w:u w:val="none"/>
        </w:rPr>
        <w:t>tariffs to be applied on UK imports</w:t>
      </w:r>
      <w:r w:rsidR="008F3893" w:rsidRPr="008F3893">
        <w:rPr>
          <w:u w:val="none"/>
        </w:rPr>
        <w:t xml:space="preserve"> </w:t>
      </w:r>
      <w:r w:rsidR="008F3893" w:rsidRPr="008A7375">
        <w:rPr>
          <w:u w:val="none"/>
        </w:rPr>
        <w:t xml:space="preserve">provided by </w:t>
      </w:r>
      <w:r w:rsidR="008F3893">
        <w:rPr>
          <w:u w:val="none"/>
        </w:rPr>
        <w:t xml:space="preserve">the </w:t>
      </w:r>
      <w:r w:rsidR="008F3893" w:rsidRPr="008A7375">
        <w:rPr>
          <w:u w:val="none"/>
        </w:rPr>
        <w:t>UK Government</w:t>
      </w:r>
      <w:r w:rsidR="008F3893">
        <w:rPr>
          <w:u w:val="none"/>
        </w:rPr>
        <w:t xml:space="preserve">, denoted as </w:t>
      </w:r>
      <w:r w:rsidRPr="008A7375">
        <w:rPr>
          <w:u w:val="none"/>
        </w:rPr>
        <w:t xml:space="preserve">UK Global Tariffs (UKGT). The UKGT </w:t>
      </w:r>
      <w:r>
        <w:rPr>
          <w:u w:val="none"/>
        </w:rPr>
        <w:t xml:space="preserve">are similar to and </w:t>
      </w:r>
      <w:r w:rsidR="008F3893">
        <w:rPr>
          <w:u w:val="none"/>
        </w:rPr>
        <w:t>replace</w:t>
      </w:r>
      <w:r w:rsidRPr="008A7375">
        <w:rPr>
          <w:u w:val="none"/>
        </w:rPr>
        <w:t xml:space="preserve"> the </w:t>
      </w:r>
      <w:r w:rsidR="0078620D">
        <w:rPr>
          <w:u w:val="none"/>
        </w:rPr>
        <w:t>EU</w:t>
      </w:r>
      <w:r w:rsidRPr="008A7375">
        <w:rPr>
          <w:u w:val="none"/>
        </w:rPr>
        <w:t xml:space="preserve">’s Most </w:t>
      </w:r>
      <w:proofErr w:type="spellStart"/>
      <w:r w:rsidRPr="008A7375">
        <w:rPr>
          <w:u w:val="none"/>
        </w:rPr>
        <w:t>Favoured</w:t>
      </w:r>
      <w:proofErr w:type="spellEnd"/>
      <w:r w:rsidRPr="008A7375">
        <w:rPr>
          <w:u w:val="none"/>
        </w:rPr>
        <w:t xml:space="preserve"> Nations (MFN) tariffs after the</w:t>
      </w:r>
      <w:r w:rsidR="008F3893">
        <w:rPr>
          <w:u w:val="none"/>
        </w:rPr>
        <w:t xml:space="preserve"> Brexit</w:t>
      </w:r>
      <w:r w:rsidRPr="008A7375">
        <w:rPr>
          <w:u w:val="none"/>
        </w:rPr>
        <w:t xml:space="preserve"> transition period</w:t>
      </w:r>
      <w:r>
        <w:rPr>
          <w:u w:val="none"/>
        </w:rPr>
        <w:t xml:space="preserve"> </w:t>
      </w:r>
      <w:r w:rsidR="008F3893">
        <w:rPr>
          <w:u w:val="none"/>
        </w:rPr>
        <w:t xml:space="preserve">has ended </w:t>
      </w:r>
      <w:r>
        <w:rPr>
          <w:u w:val="none"/>
        </w:rPr>
        <w:t>at the end of 2020</w:t>
      </w:r>
      <w:r w:rsidRPr="008A7375">
        <w:rPr>
          <w:u w:val="none"/>
        </w:rPr>
        <w:t xml:space="preserve">. </w:t>
      </w:r>
      <w:r w:rsidR="0078620D">
        <w:rPr>
          <w:u w:val="none"/>
        </w:rPr>
        <w:t>The UKGT apply to all countries the UK has no explicit trade agreement with. The UK has renegotiated EU trade agreements with a range of countries (Table S3) for which UKGT do not apply.</w:t>
      </w:r>
      <w:r w:rsidR="0078620D" w:rsidRPr="00165C6B">
        <w:rPr>
          <w:u w:val="none"/>
        </w:rPr>
        <w:t xml:space="preserve"> </w:t>
      </w:r>
      <w:r w:rsidR="0078620D">
        <w:rPr>
          <w:u w:val="none"/>
        </w:rPr>
        <w:t xml:space="preserve">For EU imports from the UK, we apply the tariffs from the EU’s MFN scheme. </w:t>
      </w:r>
      <w:r w:rsidR="0078620D" w:rsidRPr="0078620D">
        <w:rPr>
          <w:u w:val="none"/>
        </w:rPr>
        <w:t>In addition to</w:t>
      </w:r>
      <w:r w:rsidR="0078620D">
        <w:rPr>
          <w:u w:val="none"/>
        </w:rPr>
        <w:t xml:space="preserve"> </w:t>
      </w:r>
      <w:r w:rsidR="0078620D" w:rsidRPr="0078620D">
        <w:rPr>
          <w:u w:val="none"/>
        </w:rPr>
        <w:t xml:space="preserve">MFN tariffs, non-tariff measured that are associated with border checks and differences in regulation between the EU and the UK are introduced. Here we adopt estimates provided by Dhingra and colleagues </w:t>
      </w:r>
      <w:r w:rsidR="0078620D" w:rsidRPr="0078620D">
        <w:rPr>
          <w:u w:val="none"/>
        </w:rPr>
        <w:fldChar w:fldCharType="begin"/>
      </w:r>
      <w:r w:rsidR="0078620D" w:rsidRPr="0078620D">
        <w:rPr>
          <w:u w:val="none"/>
        </w:rPr>
        <w:instrText xml:space="preserve"> ADDIN ZOTERO_ITEM CSL_CITATION {"citationID":"a4MSjRbF","properties":{"formattedCitation":"\\super 8\\nosupersub{}","plainCitation":"8","noteIndex":0},"citationItems":[{"id":7388,"uris":["http://zotero.org/users/14122/items/87CSF8AK"],"uri":["http://zotero.org/users/14122/items/87CSF8AK"],"itemData":{"id":7388,"type":"article-journal","container-title":"Economic Policy","issue":"92","page":"651-705","title":"The costs and benefits of leaving the EU: trade effects","volume":"32","author":[{"family":"Dhingra","given":"Swati"},{"family":"Huang","given":"Hanwei"},{"family":"Ottaviano","given":"Gianmarco"},{"family":"Pessoa","given":"João Paulo"},{"family":"Sampson","given":"Thomas"},{"family":"Reenen","given":"John Van"}],"issued":{"date-parts":[["2017"]]}}}],"schema":"https://github.com/citation-style-language/schema/raw/master/csl-citation.json"} </w:instrText>
      </w:r>
      <w:r w:rsidR="0078620D" w:rsidRPr="0078620D">
        <w:rPr>
          <w:u w:val="none"/>
        </w:rPr>
        <w:fldChar w:fldCharType="separate"/>
      </w:r>
      <w:r w:rsidR="0078620D" w:rsidRPr="0078620D">
        <w:rPr>
          <w:rFonts w:ascii="Calibri" w:hAnsi="Calibri" w:cs="Calibri"/>
          <w:sz w:val="22"/>
          <w:szCs w:val="24"/>
          <w:u w:val="none"/>
          <w:vertAlign w:val="superscript"/>
        </w:rPr>
        <w:t>8</w:t>
      </w:r>
      <w:r w:rsidR="0078620D" w:rsidRPr="0078620D">
        <w:rPr>
          <w:u w:val="none"/>
        </w:rPr>
        <w:fldChar w:fldCharType="end"/>
      </w:r>
      <w:r w:rsidR="0078620D" w:rsidRPr="0078620D">
        <w:rPr>
          <w:u w:val="none"/>
        </w:rPr>
        <w:t>.</w:t>
      </w:r>
      <w:r w:rsidR="0078620D">
        <w:rPr>
          <w:u w:val="none"/>
        </w:rPr>
        <w:t xml:space="preserve"> </w:t>
      </w:r>
      <w:r w:rsidR="00165C6B">
        <w:rPr>
          <w:u w:val="none"/>
        </w:rPr>
        <w:t>We used</w:t>
      </w:r>
      <w:r w:rsidR="00165C6B" w:rsidRPr="008A7375">
        <w:rPr>
          <w:u w:val="none"/>
        </w:rPr>
        <w:t xml:space="preserve"> the Tariff Analytical and Simulation Tool for Economists (TASTE) provided by the GTAP network</w:t>
      </w:r>
      <w:r w:rsidR="00165C6B">
        <w:rPr>
          <w:u w:val="none"/>
        </w:rPr>
        <w:t xml:space="preserve"> to aggregate the</w:t>
      </w:r>
      <w:r w:rsidR="00165C6B" w:rsidRPr="008A7375">
        <w:rPr>
          <w:u w:val="none"/>
        </w:rPr>
        <w:t xml:space="preserve"> information </w:t>
      </w:r>
      <w:r w:rsidR="00165C6B">
        <w:rPr>
          <w:u w:val="none"/>
        </w:rPr>
        <w:t>for</w:t>
      </w:r>
      <w:r w:rsidR="00165C6B" w:rsidRPr="008A7375">
        <w:rPr>
          <w:u w:val="none"/>
        </w:rPr>
        <w:t xml:space="preserve"> 11,830 HS8 tariff lines to the model</w:t>
      </w:r>
      <w:r w:rsidR="00165C6B">
        <w:rPr>
          <w:u w:val="none"/>
        </w:rPr>
        <w:t>’s sectoral representation</w:t>
      </w:r>
      <w:r w:rsidR="00165C6B" w:rsidRPr="008A7375">
        <w:rPr>
          <w:u w:val="none"/>
        </w:rPr>
        <w:t>.</w:t>
      </w:r>
      <w:r w:rsidR="0078620D">
        <w:rPr>
          <w:u w:val="none"/>
        </w:rPr>
        <w:t xml:space="preserve"> </w:t>
      </w:r>
    </w:p>
    <w:p w14:paraId="6205E1EF" w14:textId="4879084A" w:rsidR="008F3893" w:rsidRDefault="008F3893" w:rsidP="008F3893">
      <w:pPr>
        <w:pStyle w:val="SMHeading"/>
        <w:spacing w:line="276" w:lineRule="auto"/>
      </w:pPr>
      <w:bookmarkStart w:id="5" w:name="_Toc58791049"/>
      <w:r>
        <w:t>Table S3.</w:t>
      </w:r>
      <w:bookmarkEnd w:id="5"/>
    </w:p>
    <w:p w14:paraId="7BB175EC" w14:textId="46A5E143" w:rsidR="008F3893" w:rsidRDefault="008F3893" w:rsidP="008F3893">
      <w:pPr>
        <w:pStyle w:val="SMcaption"/>
        <w:spacing w:line="276" w:lineRule="auto"/>
      </w:pPr>
      <w:r>
        <w:rPr>
          <w:lang w:val="en-GB"/>
        </w:rPr>
        <w:t>Countries for which the UK has renegotiated EU trade agreements</w:t>
      </w:r>
    </w:p>
    <w:p w14:paraId="0FC96EF6" w14:textId="7ED387CA" w:rsidR="008F3893" w:rsidRPr="008A7375" w:rsidRDefault="008F3893" w:rsidP="008A7375">
      <w:pPr>
        <w:pStyle w:val="SMSubheading"/>
        <w:spacing w:line="276" w:lineRule="auto"/>
        <w:rPr>
          <w:u w:val="none"/>
        </w:rPr>
      </w:pPr>
      <w:r w:rsidRPr="008F3893">
        <w:rPr>
          <w:noProof/>
        </w:rPr>
        <w:drawing>
          <wp:inline distT="0" distB="0" distL="0" distR="0" wp14:anchorId="5AC7EF31" wp14:editId="6A7A43D1">
            <wp:extent cx="2283054" cy="47244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8977" cy="4736656"/>
                    </a:xfrm>
                    <a:prstGeom prst="rect">
                      <a:avLst/>
                    </a:prstGeom>
                    <a:noFill/>
                    <a:ln>
                      <a:noFill/>
                    </a:ln>
                  </pic:spPr>
                </pic:pic>
              </a:graphicData>
            </a:graphic>
          </wp:inline>
        </w:drawing>
      </w:r>
    </w:p>
    <w:p w14:paraId="752DACE6" w14:textId="77777777" w:rsidR="00D64C07" w:rsidRDefault="00D64C07" w:rsidP="008A7375">
      <w:pPr>
        <w:pStyle w:val="SMSubheading"/>
        <w:spacing w:line="276" w:lineRule="auto"/>
        <w:rPr>
          <w:b/>
          <w:bCs/>
          <w:i/>
          <w:iCs/>
          <w:u w:val="none"/>
        </w:rPr>
      </w:pPr>
    </w:p>
    <w:p w14:paraId="146005D9" w14:textId="42CD1FC9" w:rsidR="00D64C07" w:rsidRDefault="00D64C07" w:rsidP="008A7375">
      <w:pPr>
        <w:pStyle w:val="SMSubheading"/>
        <w:spacing w:line="276" w:lineRule="auto"/>
        <w:rPr>
          <w:b/>
          <w:bCs/>
          <w:i/>
          <w:iCs/>
          <w:u w:val="none"/>
        </w:rPr>
      </w:pPr>
    </w:p>
    <w:p w14:paraId="52494693" w14:textId="77777777" w:rsidR="00D64C07" w:rsidRDefault="00D64C07" w:rsidP="008A7375">
      <w:pPr>
        <w:pStyle w:val="SMSubheading"/>
        <w:spacing w:line="276" w:lineRule="auto"/>
        <w:rPr>
          <w:b/>
          <w:bCs/>
          <w:i/>
          <w:iCs/>
          <w:u w:val="none"/>
        </w:rPr>
      </w:pPr>
    </w:p>
    <w:p w14:paraId="0FB68328" w14:textId="744EF6D4" w:rsidR="00C4280C" w:rsidRPr="00416662" w:rsidRDefault="00C4280C" w:rsidP="008A7375">
      <w:pPr>
        <w:pStyle w:val="SMSubheading"/>
        <w:spacing w:line="276" w:lineRule="auto"/>
        <w:rPr>
          <w:b/>
          <w:bCs/>
          <w:i/>
          <w:iCs/>
          <w:u w:val="none"/>
        </w:rPr>
      </w:pPr>
      <w:r w:rsidRPr="00416662">
        <w:rPr>
          <w:b/>
          <w:bCs/>
          <w:i/>
          <w:iCs/>
          <w:u w:val="none"/>
        </w:rPr>
        <w:lastRenderedPageBreak/>
        <w:t>Representation of agriculture subsidies</w:t>
      </w:r>
    </w:p>
    <w:p w14:paraId="263BE012" w14:textId="77777777" w:rsidR="00C4280C" w:rsidRPr="00C4280C" w:rsidRDefault="00C4280C" w:rsidP="00416662">
      <w:pPr>
        <w:pStyle w:val="SMText"/>
        <w:spacing w:line="276" w:lineRule="auto"/>
        <w:rPr>
          <w:lang w:val="en-GB"/>
        </w:rPr>
      </w:pPr>
    </w:p>
    <w:p w14:paraId="620FCC15" w14:textId="18F72298" w:rsidR="00C4280C" w:rsidRPr="00C4280C" w:rsidRDefault="00C4280C" w:rsidP="00416662">
      <w:pPr>
        <w:pStyle w:val="SMText"/>
        <w:spacing w:line="276" w:lineRule="auto"/>
        <w:ind w:firstLine="0"/>
        <w:rPr>
          <w:lang w:val="en-GB"/>
        </w:rPr>
      </w:pPr>
      <w:r w:rsidRPr="00C4280C">
        <w:rPr>
          <w:lang w:val="en-GB"/>
        </w:rPr>
        <w:t xml:space="preserve">For the </w:t>
      </w:r>
      <w:r w:rsidR="00165C6B">
        <w:rPr>
          <w:lang w:val="en-GB"/>
        </w:rPr>
        <w:t>scenario on agricultural subsidy reform</w:t>
      </w:r>
      <w:r w:rsidRPr="00C4280C">
        <w:rPr>
          <w:lang w:val="en-GB"/>
        </w:rPr>
        <w:t xml:space="preserve">, we relied on subsidy data provided by the OECD for the year 2017. The data has been standardised and processed for use in CGE-based policy analyses in line with GTAP specifications, including a focus on budgetary transfers and mapping of payment categories. </w:t>
      </w:r>
    </w:p>
    <w:p w14:paraId="13152EA7" w14:textId="77777777" w:rsidR="00C4280C" w:rsidRPr="00C4280C" w:rsidRDefault="00C4280C" w:rsidP="00416662">
      <w:pPr>
        <w:pStyle w:val="SMText"/>
        <w:spacing w:line="276" w:lineRule="auto"/>
        <w:rPr>
          <w:lang w:val="en-GB"/>
        </w:rPr>
      </w:pPr>
    </w:p>
    <w:p w14:paraId="2EAB7B29" w14:textId="77777777" w:rsidR="00C4280C" w:rsidRPr="00C4280C" w:rsidRDefault="00C4280C" w:rsidP="00416662">
      <w:pPr>
        <w:pStyle w:val="SMText"/>
        <w:spacing w:line="276" w:lineRule="auto"/>
        <w:ind w:firstLine="0"/>
        <w:rPr>
          <w:lang w:val="en-GB"/>
        </w:rPr>
      </w:pPr>
      <w:r w:rsidRPr="00C4280C">
        <w:rPr>
          <w:lang w:val="en-GB"/>
        </w:rPr>
        <w:t xml:space="preserve">Subsidies in the GTAP dataset are based on information provided by the OECD in their database on Producer Support Estimates (PSE). The PSE data are composed of estimates of Market Price Support (MPS) and budgetary transfers. The MPS estimates consist of policies that alter the national prices of agricultural products and are mostly comprised of border policies such as tariffs. To avoid double counting with tariffs already included in the database, these measures are not included in the GTAP support dataset. The scenario analysis therefore focuses on changes in budgetary transfers in particular. </w:t>
      </w:r>
    </w:p>
    <w:p w14:paraId="03A09A1B" w14:textId="77777777" w:rsidR="00C4280C" w:rsidRPr="00C4280C" w:rsidRDefault="00C4280C" w:rsidP="00416662">
      <w:pPr>
        <w:pStyle w:val="SMText"/>
        <w:spacing w:line="276" w:lineRule="auto"/>
        <w:rPr>
          <w:lang w:val="en-GB"/>
        </w:rPr>
      </w:pPr>
    </w:p>
    <w:p w14:paraId="4344B8DA" w14:textId="006B0332" w:rsidR="00C4280C" w:rsidRPr="00C4280C" w:rsidRDefault="00C4280C" w:rsidP="00416662">
      <w:pPr>
        <w:pStyle w:val="SMText"/>
        <w:spacing w:line="276" w:lineRule="auto"/>
        <w:ind w:firstLine="0"/>
        <w:rPr>
          <w:lang w:val="en-GB"/>
        </w:rPr>
      </w:pPr>
      <w:r w:rsidRPr="00C4280C">
        <w:rPr>
          <w:lang w:val="en-GB"/>
        </w:rPr>
        <w:t>Budgetary transfers in the PSE dataset are differentiated by different categories. These include (</w:t>
      </w:r>
      <w:proofErr w:type="spellStart"/>
      <w:r w:rsidRPr="00C4280C">
        <w:rPr>
          <w:lang w:val="en-GB"/>
        </w:rPr>
        <w:t>i</w:t>
      </w:r>
      <w:proofErr w:type="spellEnd"/>
      <w:r w:rsidRPr="00C4280C">
        <w:rPr>
          <w:lang w:val="en-GB"/>
        </w:rPr>
        <w:t>) payments based on output; (ii) payments based on inputs; (iii) payments based on current or non-current (</w:t>
      </w:r>
      <w:proofErr w:type="gramStart"/>
      <w:r w:rsidRPr="00C4280C">
        <w:rPr>
          <w:lang w:val="en-GB"/>
        </w:rPr>
        <w:t>e.g.</w:t>
      </w:r>
      <w:proofErr w:type="gramEnd"/>
      <w:r w:rsidRPr="00C4280C">
        <w:rPr>
          <w:lang w:val="en-GB"/>
        </w:rPr>
        <w:t xml:space="preserve"> historical) area/animal number/returns/investments distinguished whether production is required or not; (iv) payments on non-commodity criteria; and (v) miscellaneous payments. To be consistent with the GTAP database, the categories have been converted into the standard GTAP categories </w:t>
      </w:r>
      <w:r w:rsidR="003D2324">
        <w:rPr>
          <w:lang w:val="en-GB"/>
        </w:rPr>
        <w:fldChar w:fldCharType="begin"/>
      </w:r>
      <w:r w:rsidR="00BB7752">
        <w:rPr>
          <w:lang w:val="en-GB"/>
        </w:rPr>
        <w:instrText xml:space="preserve"> ADDIN ZOTERO_ITEM CSL_CITATION {"citationID":"dIjNLwRY","properties":{"formattedCitation":"\\super 6\\nosupersub{}","plainCitation":"6","noteIndex":0},"citationItems":[{"id":"9UZPP0Go/GhCy1Juy","uris":["http://zotero.org/users/14122/items/GXTZU4DG"],"uri":["http://zotero.org/users/14122/items/GXTZU4DG"],"itemData":{"id":5935,"type":"chapter","title":"Agricultural Domestic Support","container-title":"Global Trade, Assistance, and Production: The GTAP 8 Data Base","publisher":"Global Trade Analysis Project (GTAP)","publisher-place":"Department of Agricultural Economics, Purdue University, West Lafayette, IN","event-place":"Department of Agricultural Economics, Purdue University, West Lafayette, IN","abstract":"This chapter documents how domestic support levels are calculated from the OECD Producer Support Estimate (PSE) and incorporated into the GTAP 8 Data Base.","URL":"https://www.gtap.agecon.purdue.edu/resources/res_display.asp?RecordID=4296","editor":[{"family":"G","given":"Badri Narayanan"},{"family":"Aguiar","given":"Angel"},{"family":"McDougall","given":"Robert"}],"author":[{"family":"Huang","given":"Hsin"}],"issued":{"date-parts":[["2013"]]}}}],"schema":"https://github.com/citation-style-language/schema/raw/master/csl-citation.json"} </w:instrText>
      </w:r>
      <w:r w:rsidR="003D2324">
        <w:rPr>
          <w:lang w:val="en-GB"/>
        </w:rPr>
        <w:fldChar w:fldCharType="separate"/>
      </w:r>
      <w:r w:rsidR="00BB7752" w:rsidRPr="00BB7752">
        <w:rPr>
          <w:szCs w:val="24"/>
          <w:vertAlign w:val="superscript"/>
        </w:rPr>
        <w:t>6</w:t>
      </w:r>
      <w:r w:rsidR="003D2324">
        <w:rPr>
          <w:lang w:val="en-GB"/>
        </w:rPr>
        <w:fldChar w:fldCharType="end"/>
      </w:r>
      <w:r w:rsidRPr="00C4280C">
        <w:rPr>
          <w:lang w:val="en-GB"/>
        </w:rPr>
        <w:t xml:space="preserve"> of (</w:t>
      </w:r>
      <w:proofErr w:type="spellStart"/>
      <w:r w:rsidRPr="00C4280C">
        <w:rPr>
          <w:lang w:val="en-GB"/>
        </w:rPr>
        <w:t>i</w:t>
      </w:r>
      <w:proofErr w:type="spellEnd"/>
      <w:r w:rsidRPr="00C4280C">
        <w:rPr>
          <w:lang w:val="en-GB"/>
        </w:rPr>
        <w:t xml:space="preserve">) output payments; (ii) intermediate input payments; (iii) land-based payments; (iv) capital-based payments; and (v) labour-based payments. </w:t>
      </w:r>
    </w:p>
    <w:p w14:paraId="3E746221" w14:textId="77777777" w:rsidR="00C4280C" w:rsidRPr="00C4280C" w:rsidRDefault="00C4280C" w:rsidP="00416662">
      <w:pPr>
        <w:pStyle w:val="SMText"/>
        <w:spacing w:line="276" w:lineRule="auto"/>
        <w:rPr>
          <w:lang w:val="en-GB"/>
        </w:rPr>
      </w:pPr>
    </w:p>
    <w:p w14:paraId="11E56B26" w14:textId="77777777" w:rsidR="00C4280C" w:rsidRPr="00C4280C" w:rsidRDefault="00C4280C" w:rsidP="00416662">
      <w:pPr>
        <w:pStyle w:val="SMText"/>
        <w:spacing w:line="276" w:lineRule="auto"/>
        <w:ind w:firstLine="0"/>
        <w:rPr>
          <w:lang w:val="en-GB"/>
        </w:rPr>
      </w:pPr>
      <w:r w:rsidRPr="00C4280C">
        <w:rPr>
          <w:lang w:val="en-GB"/>
        </w:rPr>
        <w:t>PSE estimates also provide information on the degree of decoupling of payments, which are preserved in the converted dataset. The degree of coupling/decoupling is a measure of how far payments are tied to the production of a specific agricultural good. With respect to coupling, the subsidies in the PSE database are grouped into the several categories, including Single Commodity Transfers (SCT), Group Commodity Transfers (GCT), All Commodity Transfers (ACT), and Other Transfers to Producers (OTP). SCT are tied to a specific commodity, whereas ACT and GCT apply to a broader set of commodities, and OTP are provided without requiring production. In the GTAP database, decoupled payments are introduced by equalizing the payment rates for production factors in all eligible agricultural sectors. Thus, the payments introduce no incentive to switch production factors between the eligible sectors, and the associated change in output is minimal.</w:t>
      </w:r>
    </w:p>
    <w:p w14:paraId="294C5E82" w14:textId="77777777" w:rsidR="00C4280C" w:rsidRPr="00C4280C" w:rsidRDefault="00C4280C" w:rsidP="00416662">
      <w:pPr>
        <w:pStyle w:val="SMText"/>
        <w:spacing w:line="276" w:lineRule="auto"/>
        <w:rPr>
          <w:lang w:val="en-GB"/>
        </w:rPr>
      </w:pPr>
    </w:p>
    <w:p w14:paraId="4D9C9EFD" w14:textId="10FB0C81" w:rsidR="00AE10DF" w:rsidRDefault="00C4280C" w:rsidP="00416662">
      <w:pPr>
        <w:pStyle w:val="SMText"/>
        <w:spacing w:line="276" w:lineRule="auto"/>
        <w:ind w:firstLine="0"/>
        <w:rPr>
          <w:lang w:val="en-GB"/>
        </w:rPr>
      </w:pPr>
      <w:r w:rsidRPr="00C4280C">
        <w:rPr>
          <w:lang w:val="en-GB"/>
        </w:rPr>
        <w:t>In the modelling environment, the general representation of agricultural subsidies (</w:t>
      </w:r>
      <w:r w:rsidRPr="00C4280C">
        <w:rPr>
          <w:i/>
          <w:iCs/>
          <w:lang w:val="en-GB"/>
        </w:rPr>
        <w:t>PAY</w:t>
      </w:r>
      <w:r w:rsidRPr="00C4280C">
        <w:rPr>
          <w:lang w:val="en-GB"/>
        </w:rPr>
        <w:t xml:space="preserve">) is then based on the introduction of tax wedges between agents and market prices: </w:t>
      </w:r>
    </w:p>
    <w:p w14:paraId="0A1B5CED" w14:textId="77777777" w:rsidR="00AE10DF" w:rsidRPr="00C4280C" w:rsidRDefault="00AE10DF" w:rsidP="00416662">
      <w:pPr>
        <w:pStyle w:val="SMText"/>
        <w:spacing w:line="276" w:lineRule="auto"/>
        <w:rPr>
          <w:lang w:val="en-GB"/>
        </w:rPr>
      </w:pPr>
    </w:p>
    <w:p w14:paraId="2F1C1723" w14:textId="7ADAAAEA" w:rsidR="00C4280C" w:rsidRPr="00AE10DF" w:rsidRDefault="00C4280C" w:rsidP="00416662">
      <w:pPr>
        <w:pStyle w:val="SMText"/>
        <w:spacing w:line="276" w:lineRule="auto"/>
        <w:rPr>
          <w:sz w:val="22"/>
          <w:szCs w:val="18"/>
          <w:lang w:val="en-GB"/>
        </w:rPr>
      </w:pPr>
      <m:oMathPara>
        <m:oMath>
          <m:r>
            <w:rPr>
              <w:rFonts w:ascii="Cambria Math" w:hAnsi="Cambria Math"/>
              <w:sz w:val="22"/>
              <w:szCs w:val="18"/>
              <w:lang w:val="en-GB"/>
            </w:rPr>
            <m:t>PAY=PS∙QO-PM∙QO</m:t>
          </m:r>
        </m:oMath>
      </m:oMathPara>
    </w:p>
    <w:p w14:paraId="63B0780C" w14:textId="0F6DADD9" w:rsidR="00C4280C" w:rsidRPr="00AE10DF" w:rsidRDefault="00C4280C" w:rsidP="00416662">
      <w:pPr>
        <w:pStyle w:val="SMText"/>
        <w:spacing w:line="276" w:lineRule="auto"/>
        <w:rPr>
          <w:sz w:val="22"/>
          <w:szCs w:val="18"/>
          <w:lang w:val="en-GB"/>
        </w:rPr>
      </w:pPr>
      <m:oMathPara>
        <m:oMath>
          <m:r>
            <w:rPr>
              <w:rFonts w:ascii="Cambria Math" w:hAnsi="Cambria Math"/>
              <w:sz w:val="22"/>
              <w:szCs w:val="18"/>
              <w:lang w:val="en-GB"/>
            </w:rPr>
            <m:t xml:space="preserve">                           =PM∙(1+</m:t>
          </m:r>
          <m:sSub>
            <m:sSubPr>
              <m:ctrlPr>
                <w:rPr>
                  <w:rFonts w:ascii="Cambria Math" w:hAnsi="Cambria Math"/>
                  <w:i/>
                  <w:sz w:val="22"/>
                  <w:szCs w:val="18"/>
                  <w:lang w:val="en-GB"/>
                </w:rPr>
              </m:ctrlPr>
            </m:sSubPr>
            <m:e>
              <m:r>
                <w:rPr>
                  <w:rFonts w:ascii="Cambria Math" w:hAnsi="Cambria Math"/>
                  <w:sz w:val="22"/>
                  <w:szCs w:val="18"/>
                  <w:lang w:val="en-GB"/>
                </w:rPr>
                <m:t>t</m:t>
              </m:r>
            </m:e>
            <m:sub>
              <m:r>
                <w:rPr>
                  <w:rFonts w:ascii="Cambria Math" w:hAnsi="Cambria Math"/>
                  <w:sz w:val="22"/>
                  <w:szCs w:val="18"/>
                  <w:lang w:val="en-GB"/>
                </w:rPr>
                <m:t>o</m:t>
              </m:r>
            </m:sub>
          </m:sSub>
          <m:r>
            <w:rPr>
              <w:rFonts w:ascii="Cambria Math" w:hAnsi="Cambria Math"/>
              <w:sz w:val="22"/>
              <w:szCs w:val="18"/>
              <w:lang w:val="en-GB"/>
            </w:rPr>
            <m:t>)∙QO-PM∙QO</m:t>
          </m:r>
        </m:oMath>
      </m:oMathPara>
    </w:p>
    <w:p w14:paraId="7BB6D38D" w14:textId="77777777" w:rsidR="00AE10DF" w:rsidRDefault="00AE10DF" w:rsidP="00416662">
      <w:pPr>
        <w:pStyle w:val="SMText"/>
        <w:spacing w:line="276" w:lineRule="auto"/>
        <w:rPr>
          <w:lang w:val="en-GB"/>
        </w:rPr>
      </w:pPr>
    </w:p>
    <w:p w14:paraId="03FA5881" w14:textId="34E9C3C6" w:rsidR="00C4280C" w:rsidRPr="00C4280C" w:rsidRDefault="00C4280C" w:rsidP="00416662">
      <w:pPr>
        <w:pStyle w:val="SMText"/>
        <w:spacing w:line="276" w:lineRule="auto"/>
        <w:ind w:firstLine="0"/>
        <w:rPr>
          <w:lang w:val="en-GB"/>
        </w:rPr>
      </w:pPr>
      <w:r w:rsidRPr="00C4280C">
        <w:rPr>
          <w:lang w:val="en-GB"/>
        </w:rPr>
        <w:t xml:space="preserve">where </w:t>
      </w:r>
      <w:r w:rsidRPr="00C4280C">
        <w:rPr>
          <w:i/>
          <w:lang w:val="en-GB"/>
        </w:rPr>
        <w:t>QO</w:t>
      </w:r>
      <w:r w:rsidRPr="00C4280C">
        <w:rPr>
          <w:lang w:val="en-GB"/>
        </w:rPr>
        <w:t xml:space="preserve"> is output and </w:t>
      </w:r>
      <w:r w:rsidRPr="00C4280C">
        <w:rPr>
          <w:i/>
          <w:lang w:val="en-GB"/>
        </w:rPr>
        <w:t>PS</w:t>
      </w:r>
      <w:r w:rsidRPr="00C4280C">
        <w:rPr>
          <w:lang w:val="en-GB"/>
        </w:rPr>
        <w:t xml:space="preserve"> is the price </w:t>
      </w:r>
      <w:proofErr w:type="spellStart"/>
      <w:r w:rsidRPr="00C4280C">
        <w:rPr>
          <w:lang w:val="en-GB"/>
        </w:rPr>
        <w:t>payed</w:t>
      </w:r>
      <w:proofErr w:type="spellEnd"/>
      <w:r w:rsidRPr="00C4280C">
        <w:rPr>
          <w:lang w:val="en-GB"/>
        </w:rPr>
        <w:t xml:space="preserve"> by the agent (i.e., the farmer) including taxes/subsidies, and </w:t>
      </w:r>
      <w:r w:rsidRPr="00C4280C">
        <w:rPr>
          <w:i/>
          <w:lang w:val="en-GB"/>
        </w:rPr>
        <w:t xml:space="preserve">PM </w:t>
      </w:r>
      <w:r w:rsidRPr="00C4280C">
        <w:rPr>
          <w:lang w:val="en-GB"/>
        </w:rPr>
        <w:t xml:space="preserve">is the associated market price. The tax variable </w:t>
      </w:r>
      <w:r w:rsidRPr="00C4280C">
        <w:rPr>
          <w:i/>
          <w:lang w:val="en-GB"/>
        </w:rPr>
        <w:t>t</w:t>
      </w:r>
      <w:r w:rsidRPr="00C4280C">
        <w:rPr>
          <w:i/>
          <w:vertAlign w:val="subscript"/>
          <w:lang w:val="en-GB"/>
        </w:rPr>
        <w:t>0</w:t>
      </w:r>
      <w:r w:rsidRPr="00C4280C">
        <w:rPr>
          <w:lang w:val="en-GB"/>
        </w:rPr>
        <w:t xml:space="preserve"> is calibrated such </w:t>
      </w:r>
      <w:r w:rsidRPr="00C4280C">
        <w:rPr>
          <w:lang w:val="en-GB"/>
        </w:rPr>
        <w:lastRenderedPageBreak/>
        <w:t>that payments (</w:t>
      </w:r>
      <w:r w:rsidRPr="00C4280C">
        <w:rPr>
          <w:i/>
          <w:lang w:val="en-GB"/>
        </w:rPr>
        <w:t>PAY</w:t>
      </w:r>
      <w:r w:rsidRPr="00C4280C">
        <w:rPr>
          <w:lang w:val="en-GB"/>
        </w:rPr>
        <w:t xml:space="preserve">) based on outputs match the support estimates from the OECD database that are based on output. Similar formulas apply for the case of input and factor-use subsidies. For example, if payments are provided based on crop area as in category (ii), then land-subsidy rates are calibrated accordingly </w:t>
      </w:r>
      <w:r w:rsidR="005B2674">
        <w:rPr>
          <w:lang w:val="en-GB"/>
        </w:rPr>
        <w:fldChar w:fldCharType="begin"/>
      </w:r>
      <w:r w:rsidR="00BB7752">
        <w:rPr>
          <w:lang w:val="en-GB"/>
        </w:rPr>
        <w:instrText xml:space="preserve"> ADDIN ZOTERO_ITEM CSL_CITATION {"citationID":"OOoebyba","properties":{"formattedCitation":"\\super 6\\nosupersub{}","plainCitation":"6","noteIndex":0},"citationItems":[{"id":"9UZPP0Go/GhCy1Juy","uris":["http://zotero.org/users/14122/items/GXTZU4DG"],"uri":["http://zotero.org/users/14122/items/GXTZU4DG"],"itemData":{"id":5935,"type":"chapter","title":"Agricultural Domestic Support","container-title":"Global Trade, Assistance, and Production: The GTAP 8 Data Base","publisher":"Global Trade Analysis Project (GTAP)","publisher-place":"Department of Agricultural Economics, Purdue University, West Lafayette, IN","event-place":"Department of Agricultural Economics, Purdue University, West Lafayette, IN","abstract":"This chapter documents how domestic support levels are calculated from the OECD Producer Support Estimate (PSE) and incorporated into the GTAP 8 Data Base.","URL":"https://www.gtap.agecon.purdue.edu/resources/res_display.asp?RecordID=4296","editor":[{"family":"G","given":"Badri Narayanan"},{"family":"Aguiar","given":"Angel"},{"family":"McDougall","given":"Robert"}],"author":[{"family":"Huang","given":"Hsin"}],"issued":{"date-parts":[["2013"]]}}}],"schema":"https://github.com/citation-style-language/schema/raw/master/csl-citation.json"} </w:instrText>
      </w:r>
      <w:r w:rsidR="005B2674">
        <w:rPr>
          <w:lang w:val="en-GB"/>
        </w:rPr>
        <w:fldChar w:fldCharType="separate"/>
      </w:r>
      <w:r w:rsidR="00BB7752" w:rsidRPr="00BB7752">
        <w:rPr>
          <w:szCs w:val="24"/>
          <w:vertAlign w:val="superscript"/>
        </w:rPr>
        <w:t>6</w:t>
      </w:r>
      <w:r w:rsidR="005B2674">
        <w:rPr>
          <w:lang w:val="en-GB"/>
        </w:rPr>
        <w:fldChar w:fldCharType="end"/>
      </w:r>
      <w:r w:rsidRPr="00C4280C">
        <w:rPr>
          <w:lang w:val="en-GB"/>
        </w:rPr>
        <w:t xml:space="preserve">. </w:t>
      </w:r>
    </w:p>
    <w:p w14:paraId="3621EECF" w14:textId="77777777" w:rsidR="00C4280C" w:rsidRPr="00C4280C" w:rsidRDefault="00C4280C" w:rsidP="00416662">
      <w:pPr>
        <w:pStyle w:val="SMText"/>
        <w:spacing w:line="276" w:lineRule="auto"/>
        <w:rPr>
          <w:lang w:val="en-GB"/>
        </w:rPr>
      </w:pPr>
    </w:p>
    <w:p w14:paraId="4ED3398A" w14:textId="5254E9CF" w:rsidR="00C4280C" w:rsidRDefault="00C4280C" w:rsidP="00416662">
      <w:pPr>
        <w:pStyle w:val="SMText"/>
        <w:spacing w:line="276" w:lineRule="auto"/>
        <w:ind w:firstLine="0"/>
        <w:rPr>
          <w:lang w:val="en-GB"/>
        </w:rPr>
      </w:pPr>
      <w:r w:rsidRPr="00C4280C">
        <w:rPr>
          <w:lang w:val="en-GB"/>
        </w:rPr>
        <w:t xml:space="preserve">When model parameters are shocked in a policy simulation, this causes quantities (e.g., </w:t>
      </w:r>
      <w:r w:rsidRPr="00C4280C">
        <w:rPr>
          <w:i/>
          <w:iCs/>
          <w:lang w:val="en-GB"/>
        </w:rPr>
        <w:t>QO</w:t>
      </w:r>
      <w:r w:rsidRPr="00C4280C">
        <w:rPr>
          <w:lang w:val="en-GB"/>
        </w:rPr>
        <w:t xml:space="preserve">) and/or prices (e.g., </w:t>
      </w:r>
      <w:r w:rsidRPr="00C4280C">
        <w:rPr>
          <w:i/>
          <w:iCs/>
          <w:lang w:val="en-GB"/>
        </w:rPr>
        <w:t>PM</w:t>
      </w:r>
      <w:r w:rsidRPr="00C4280C">
        <w:rPr>
          <w:lang w:val="en-GB"/>
        </w:rPr>
        <w:t xml:space="preserve">) to change endogenously. This would normally also affect the level of agricultural subsidies, but MAGNET allows to </w:t>
      </w:r>
      <w:proofErr w:type="spellStart"/>
      <w:r w:rsidRPr="00C4280C">
        <w:rPr>
          <w:lang w:val="en-GB"/>
        </w:rPr>
        <w:t>exogenize</w:t>
      </w:r>
      <w:proofErr w:type="spellEnd"/>
      <w:r w:rsidRPr="00C4280C">
        <w:rPr>
          <w:lang w:val="en-GB"/>
        </w:rPr>
        <w:t xml:space="preserve"> subsidy payments by endogenously shifting tax rates such that a predetermined subsidy level can be achieved. The procedure follows the following equation:  </w:t>
      </w:r>
    </w:p>
    <w:p w14:paraId="1E9A871D" w14:textId="77777777" w:rsidR="00AE10DF" w:rsidRPr="00C4280C" w:rsidRDefault="00AE10DF" w:rsidP="00416662">
      <w:pPr>
        <w:pStyle w:val="SMText"/>
        <w:spacing w:line="276" w:lineRule="auto"/>
        <w:rPr>
          <w:lang w:val="en-GB"/>
        </w:rPr>
      </w:pPr>
    </w:p>
    <w:p w14:paraId="185341C5" w14:textId="4E439E60" w:rsidR="00C4280C" w:rsidRPr="00AE10DF" w:rsidRDefault="00F5355F" w:rsidP="00416662">
      <w:pPr>
        <w:pStyle w:val="SMText"/>
        <w:spacing w:line="276" w:lineRule="auto"/>
        <w:rPr>
          <w:sz w:val="22"/>
          <w:szCs w:val="18"/>
          <w:lang w:val="en-GB"/>
        </w:rPr>
      </w:pPr>
      <m:oMathPara>
        <m:oMath>
          <m:d>
            <m:dPr>
              <m:ctrlPr>
                <w:rPr>
                  <w:rFonts w:ascii="Cambria Math" w:hAnsi="Cambria Math"/>
                  <w:i/>
                  <w:sz w:val="22"/>
                  <w:szCs w:val="18"/>
                  <w:lang w:val="en-GB"/>
                </w:rPr>
              </m:ctrlPr>
            </m:dPr>
            <m:e>
              <m:r>
                <w:rPr>
                  <w:rFonts w:ascii="Cambria Math" w:hAnsi="Cambria Math"/>
                  <w:sz w:val="22"/>
                  <w:szCs w:val="18"/>
                  <w:lang w:val="en-GB"/>
                </w:rPr>
                <m:t>PM∙QO</m:t>
              </m:r>
            </m:e>
          </m:d>
          <m:r>
            <w:rPr>
              <w:rFonts w:ascii="Cambria Math" w:hAnsi="Cambria Math"/>
              <w:sz w:val="22"/>
              <w:szCs w:val="18"/>
              <w:lang w:val="en-GB"/>
            </w:rPr>
            <m:t>∙t=100∙d_PAY-PAY</m:t>
          </m:r>
          <m:d>
            <m:dPr>
              <m:ctrlPr>
                <w:rPr>
                  <w:rFonts w:ascii="Cambria Math" w:hAnsi="Cambria Math"/>
                  <w:i/>
                  <w:sz w:val="22"/>
                  <w:szCs w:val="18"/>
                  <w:lang w:val="en-GB"/>
                </w:rPr>
              </m:ctrlPr>
            </m:dPr>
            <m:e>
              <m:r>
                <w:rPr>
                  <w:rFonts w:ascii="Cambria Math" w:hAnsi="Cambria Math"/>
                  <w:sz w:val="22"/>
                  <w:szCs w:val="18"/>
                  <w:lang w:val="en-GB"/>
                </w:rPr>
                <m:t>qo+pm</m:t>
              </m:r>
            </m:e>
          </m:d>
          <m:r>
            <w:rPr>
              <w:rFonts w:ascii="Cambria Math" w:hAnsi="Cambria Math"/>
              <w:sz w:val="22"/>
              <w:szCs w:val="18"/>
              <w:lang w:val="en-GB"/>
            </w:rPr>
            <m:t>.</m:t>
          </m:r>
        </m:oMath>
      </m:oMathPara>
    </w:p>
    <w:p w14:paraId="4F5E903E" w14:textId="77777777" w:rsidR="00AE10DF" w:rsidRDefault="00AE10DF" w:rsidP="00416662">
      <w:pPr>
        <w:pStyle w:val="SMText"/>
        <w:spacing w:line="276" w:lineRule="auto"/>
        <w:rPr>
          <w:lang w:val="en-GB"/>
        </w:rPr>
      </w:pPr>
    </w:p>
    <w:p w14:paraId="4D0EE5DA" w14:textId="716F7AF5" w:rsidR="00C4280C" w:rsidRPr="00C4280C" w:rsidRDefault="00C4280C" w:rsidP="00416662">
      <w:pPr>
        <w:pStyle w:val="SMText"/>
        <w:spacing w:line="276" w:lineRule="auto"/>
        <w:ind w:firstLine="0"/>
        <w:rPr>
          <w:lang w:val="en-GB"/>
        </w:rPr>
      </w:pPr>
      <w:r w:rsidRPr="00C4280C">
        <w:rPr>
          <w:lang w:val="en-GB"/>
        </w:rPr>
        <w:t xml:space="preserve">where lower (upper) case variables indicate percentage changes (level) variables. The ‘tax-shifter’ </w:t>
      </w:r>
      <w:r w:rsidRPr="00C4280C">
        <w:rPr>
          <w:i/>
          <w:lang w:val="en-GB"/>
        </w:rPr>
        <w:t xml:space="preserve">t </w:t>
      </w:r>
      <w:r w:rsidRPr="00C4280C">
        <w:rPr>
          <w:lang w:val="en-GB"/>
        </w:rPr>
        <w:t>is endogenously determined allowing that exogenously specified changes in the support budget (</w:t>
      </w:r>
      <w:proofErr w:type="spellStart"/>
      <w:r w:rsidRPr="00C4280C">
        <w:rPr>
          <w:i/>
          <w:iCs/>
          <w:lang w:val="en-GB"/>
        </w:rPr>
        <w:t>d_PAY</w:t>
      </w:r>
      <w:proofErr w:type="spellEnd"/>
      <w:r w:rsidRPr="00C4280C">
        <w:rPr>
          <w:lang w:val="en-GB"/>
        </w:rPr>
        <w:t>) are reached while correcting for endogenous changes in quantities and market prices (as indicated in the second term on the right</w:t>
      </w:r>
      <w:r w:rsidR="005B2674">
        <w:rPr>
          <w:lang w:val="en-GB"/>
        </w:rPr>
        <w:t>-</w:t>
      </w:r>
      <w:r w:rsidRPr="00C4280C">
        <w:rPr>
          <w:lang w:val="en-GB"/>
        </w:rPr>
        <w:t xml:space="preserve">hand side of the equation). Similar equations apply to subsidies on inputs and production factors </w:t>
      </w:r>
      <w:r w:rsidR="005B2674">
        <w:rPr>
          <w:lang w:val="en-GB"/>
        </w:rPr>
        <w:fldChar w:fldCharType="begin"/>
      </w:r>
      <w:r w:rsidR="00BB7752">
        <w:rPr>
          <w:lang w:val="en-GB"/>
        </w:rPr>
        <w:instrText xml:space="preserve"> ADDIN ZOTERO_ITEM CSL_CITATION {"citationID":"E38HdKFI","properties":{"formattedCitation":"\\super 1\\nosupersub{}","plainCitation":"1","noteIndex":0},"citationItems":[{"id":"9UZPP0Go/iLNv1GUB","uris":["http://www.mendeley.com/documents/?uuid=de694494-a89b-466e-ac37-81bd0eddb821","http://www.mendeley.com/documents/?uuid=21e728e3-3613-45dd-a599-1e8abfd61c29"],"uri":["http://www.mendeley.com/documents/?uuid=de694494-a89b-466e-ac37-81bd0eddb821","http://www.mendeley.com/documents/?uuid=21e728e3-3613-45dd-a599-1e8abfd61c29"],"itemData":{"author":[{"dropping-particle":"","family":"Woltjer","given":"Gerard Bastiaan","non-dropping-particle":"","parse-names":false,"suffix":""},{"dropping-particle":"","family":"Kuiper","given":"Marijke","non-dropping-particle":"","parse-names":false,"suffix":""},{"dropping-particle":"","family":"Kavallari","given":"Aikaterini","non-dropping-particle":"","parse-names":false,"suffix":""},{"dropping-particle":"","family":"Meijl","given":"Hans","non-dropping-particle":"van","parse-names":false,"suffix":""},{"dropping-particle":"","family":"Powell","given":"J P","non-dropping-particle":"","parse-names":false,"suffix":""},{"dropping-particle":"","family":"Rutten","given":"M M","non-dropping-particle":"","parse-names":false,"suffix":""},{"dropping-particle":"","family":"Shutes","given":"L J","non-dropping-particle":"","parse-names":false,"suffix":""},{"dropping-particle":"","family":"Tabeau","given":"A A","non-dropping-particle":"","parse-names":false,"suffix":""}],"id":"rdBwS4Uu/AEwPz3KD","issued":{"date-parts":[["2014"]]},"publisher":"LEI Wageningen UR","title":"The MAGNET model: Module description","type":"report"}}],"schema":"https://github.com/citation-style-language/schema/raw/master/csl-citation.json"} </w:instrText>
      </w:r>
      <w:r w:rsidR="005B2674">
        <w:rPr>
          <w:lang w:val="en-GB"/>
        </w:rPr>
        <w:fldChar w:fldCharType="separate"/>
      </w:r>
      <w:r w:rsidR="00BB7752" w:rsidRPr="00BB7752">
        <w:rPr>
          <w:szCs w:val="24"/>
          <w:vertAlign w:val="superscript"/>
        </w:rPr>
        <w:t>1</w:t>
      </w:r>
      <w:r w:rsidR="005B2674">
        <w:rPr>
          <w:lang w:val="en-GB"/>
        </w:rPr>
        <w:fldChar w:fldCharType="end"/>
      </w:r>
      <w:r w:rsidRPr="00C4280C">
        <w:rPr>
          <w:lang w:val="en-GB"/>
        </w:rPr>
        <w:t>.</w:t>
      </w:r>
    </w:p>
    <w:p w14:paraId="4F94BA61" w14:textId="77777777" w:rsidR="00C4280C" w:rsidRPr="00C4280C" w:rsidRDefault="00C4280C" w:rsidP="00416662">
      <w:pPr>
        <w:pStyle w:val="SMText"/>
        <w:spacing w:line="276" w:lineRule="auto"/>
        <w:rPr>
          <w:lang w:val="en-GB"/>
        </w:rPr>
      </w:pPr>
    </w:p>
    <w:p w14:paraId="17BF0171" w14:textId="77777777" w:rsidR="00C4280C" w:rsidRPr="00C4280C" w:rsidRDefault="00C4280C" w:rsidP="00416662">
      <w:pPr>
        <w:pStyle w:val="SMText"/>
        <w:spacing w:line="276" w:lineRule="auto"/>
        <w:ind w:firstLine="0"/>
        <w:rPr>
          <w:lang w:val="en-GB"/>
        </w:rPr>
      </w:pPr>
      <w:r w:rsidRPr="00C4280C">
        <w:rPr>
          <w:lang w:val="en-GB"/>
        </w:rPr>
        <w:t>In our policy simulations, we changed overall support payments (</w:t>
      </w:r>
      <w:r w:rsidRPr="00C4280C">
        <w:rPr>
          <w:i/>
          <w:lang w:val="en-GB"/>
        </w:rPr>
        <w:t>PAY</w:t>
      </w:r>
      <w:r w:rsidRPr="00C4280C">
        <w:rPr>
          <w:lang w:val="en-GB"/>
        </w:rPr>
        <w:t xml:space="preserve">) proportionally and used the remaining subsides for supporting healthier and more environmentally friendly agricultural products. For that purpose, payments were directed to the production of low-emitting and nutrition-sensitive horticultural products, including fruits, vegetables, legumes, and nuts. Technically, this was achieved by increasing output subsidies for that group. </w:t>
      </w:r>
    </w:p>
    <w:p w14:paraId="15A71C9A" w14:textId="69CABDC8" w:rsidR="00C4280C" w:rsidRDefault="00C4280C" w:rsidP="00416662">
      <w:pPr>
        <w:pStyle w:val="SMText"/>
        <w:spacing w:line="276" w:lineRule="auto"/>
        <w:rPr>
          <w:lang w:val="en-GB"/>
        </w:rPr>
      </w:pPr>
    </w:p>
    <w:p w14:paraId="21DF86BD" w14:textId="53C7E690" w:rsidR="00C4280C" w:rsidRDefault="00C4280C" w:rsidP="00416662">
      <w:pPr>
        <w:pStyle w:val="SMText"/>
        <w:spacing w:line="276" w:lineRule="auto"/>
        <w:rPr>
          <w:lang w:val="en-GB"/>
        </w:rPr>
      </w:pPr>
    </w:p>
    <w:p w14:paraId="36E4F329" w14:textId="0851455D" w:rsidR="00416662" w:rsidRDefault="00416662" w:rsidP="00416662">
      <w:pPr>
        <w:pStyle w:val="SMText"/>
        <w:spacing w:line="276" w:lineRule="auto"/>
        <w:rPr>
          <w:lang w:val="en-GB"/>
        </w:rPr>
      </w:pPr>
    </w:p>
    <w:p w14:paraId="30DEAF9E" w14:textId="6A040807" w:rsidR="00416662" w:rsidRDefault="00416662" w:rsidP="00416662">
      <w:pPr>
        <w:pStyle w:val="SMText"/>
        <w:spacing w:line="276" w:lineRule="auto"/>
        <w:rPr>
          <w:lang w:val="en-GB"/>
        </w:rPr>
      </w:pPr>
    </w:p>
    <w:p w14:paraId="37B4E742" w14:textId="3218AC57" w:rsidR="00416662" w:rsidRDefault="00416662" w:rsidP="00416662">
      <w:pPr>
        <w:pStyle w:val="SMText"/>
        <w:spacing w:line="276" w:lineRule="auto"/>
        <w:rPr>
          <w:lang w:val="en-GB"/>
        </w:rPr>
      </w:pPr>
    </w:p>
    <w:p w14:paraId="77984584" w14:textId="27AFD6D6" w:rsidR="00416662" w:rsidRDefault="00416662" w:rsidP="00416662">
      <w:pPr>
        <w:pStyle w:val="SMText"/>
        <w:spacing w:line="276" w:lineRule="auto"/>
        <w:rPr>
          <w:lang w:val="en-GB"/>
        </w:rPr>
      </w:pPr>
    </w:p>
    <w:p w14:paraId="1FD18937" w14:textId="2CA54196" w:rsidR="00416662" w:rsidRDefault="00416662" w:rsidP="00416662">
      <w:pPr>
        <w:pStyle w:val="SMText"/>
        <w:spacing w:line="276" w:lineRule="auto"/>
        <w:rPr>
          <w:lang w:val="en-GB"/>
        </w:rPr>
      </w:pPr>
    </w:p>
    <w:p w14:paraId="5AD1D5FB" w14:textId="3F0AEAC1" w:rsidR="00E97167" w:rsidRDefault="00E97167" w:rsidP="00416662">
      <w:pPr>
        <w:pStyle w:val="SMText"/>
        <w:spacing w:line="276" w:lineRule="auto"/>
        <w:rPr>
          <w:lang w:val="en-GB"/>
        </w:rPr>
      </w:pPr>
    </w:p>
    <w:p w14:paraId="20DCCF86" w14:textId="52120040" w:rsidR="00E97167" w:rsidRDefault="00E97167" w:rsidP="00416662">
      <w:pPr>
        <w:pStyle w:val="SMText"/>
        <w:spacing w:line="276" w:lineRule="auto"/>
        <w:rPr>
          <w:lang w:val="en-GB"/>
        </w:rPr>
      </w:pPr>
    </w:p>
    <w:p w14:paraId="17A07669" w14:textId="01EB67D9" w:rsidR="00E97167" w:rsidRDefault="00E97167" w:rsidP="00416662">
      <w:pPr>
        <w:pStyle w:val="SMText"/>
        <w:spacing w:line="276" w:lineRule="auto"/>
        <w:rPr>
          <w:lang w:val="en-GB"/>
        </w:rPr>
      </w:pPr>
    </w:p>
    <w:p w14:paraId="3EFBB12B" w14:textId="58C8A772" w:rsidR="00E97167" w:rsidRDefault="00E97167" w:rsidP="00416662">
      <w:pPr>
        <w:pStyle w:val="SMText"/>
        <w:spacing w:line="276" w:lineRule="auto"/>
        <w:rPr>
          <w:lang w:val="en-GB"/>
        </w:rPr>
      </w:pPr>
    </w:p>
    <w:p w14:paraId="24CCB5AE" w14:textId="5C6291F3" w:rsidR="00E97167" w:rsidRDefault="00E97167" w:rsidP="00416662">
      <w:pPr>
        <w:pStyle w:val="SMText"/>
        <w:spacing w:line="276" w:lineRule="auto"/>
        <w:rPr>
          <w:lang w:val="en-GB"/>
        </w:rPr>
      </w:pPr>
    </w:p>
    <w:p w14:paraId="4C860AE4" w14:textId="4D5CB115" w:rsidR="00E97167" w:rsidRDefault="00E97167" w:rsidP="00416662">
      <w:pPr>
        <w:pStyle w:val="SMText"/>
        <w:spacing w:line="276" w:lineRule="auto"/>
        <w:rPr>
          <w:lang w:val="en-GB"/>
        </w:rPr>
      </w:pPr>
    </w:p>
    <w:p w14:paraId="78024DD0" w14:textId="77777777" w:rsidR="00E97167" w:rsidRDefault="00E97167" w:rsidP="00416662">
      <w:pPr>
        <w:pStyle w:val="SMText"/>
        <w:spacing w:line="276" w:lineRule="auto"/>
        <w:rPr>
          <w:lang w:val="en-GB"/>
        </w:rPr>
      </w:pPr>
    </w:p>
    <w:p w14:paraId="73FE0318" w14:textId="72C99BEA" w:rsidR="00416662" w:rsidRDefault="00416662" w:rsidP="00416662">
      <w:pPr>
        <w:pStyle w:val="SMText"/>
        <w:spacing w:line="276" w:lineRule="auto"/>
        <w:rPr>
          <w:lang w:val="en-GB"/>
        </w:rPr>
      </w:pPr>
    </w:p>
    <w:p w14:paraId="3B6F44F0" w14:textId="36B47871" w:rsidR="00416662" w:rsidRDefault="00416662" w:rsidP="00416662">
      <w:pPr>
        <w:pStyle w:val="SMText"/>
        <w:spacing w:line="276" w:lineRule="auto"/>
        <w:rPr>
          <w:lang w:val="en-GB"/>
        </w:rPr>
      </w:pPr>
    </w:p>
    <w:p w14:paraId="447D44F1" w14:textId="14CAACBE" w:rsidR="00416662" w:rsidRDefault="00416662" w:rsidP="00416662">
      <w:pPr>
        <w:pStyle w:val="SMText"/>
        <w:spacing w:line="276" w:lineRule="auto"/>
        <w:rPr>
          <w:lang w:val="en-GB"/>
        </w:rPr>
      </w:pPr>
    </w:p>
    <w:p w14:paraId="3E51AAAC" w14:textId="5E0D646B" w:rsidR="00416662" w:rsidRDefault="00416662" w:rsidP="00416662">
      <w:pPr>
        <w:pStyle w:val="SMText"/>
        <w:spacing w:line="276" w:lineRule="auto"/>
        <w:rPr>
          <w:lang w:val="en-GB"/>
        </w:rPr>
      </w:pPr>
    </w:p>
    <w:p w14:paraId="42D25834" w14:textId="1A8E9BFC" w:rsidR="00416662" w:rsidRDefault="00416662" w:rsidP="00416662">
      <w:pPr>
        <w:pStyle w:val="SMText"/>
        <w:spacing w:line="276" w:lineRule="auto"/>
        <w:rPr>
          <w:lang w:val="en-GB"/>
        </w:rPr>
      </w:pPr>
    </w:p>
    <w:p w14:paraId="6C02C4E5" w14:textId="414887CB" w:rsidR="00416662" w:rsidRDefault="00416662" w:rsidP="00416662">
      <w:pPr>
        <w:pStyle w:val="SMText"/>
        <w:spacing w:line="276" w:lineRule="auto"/>
        <w:rPr>
          <w:lang w:val="en-GB"/>
        </w:rPr>
      </w:pPr>
    </w:p>
    <w:p w14:paraId="2CDC4AFC" w14:textId="22345759" w:rsidR="00C4280C" w:rsidRPr="00416662" w:rsidRDefault="00C4280C" w:rsidP="00416662">
      <w:pPr>
        <w:pStyle w:val="SMSubheading"/>
        <w:spacing w:line="276" w:lineRule="auto"/>
        <w:rPr>
          <w:b/>
          <w:bCs/>
          <w:i/>
          <w:iCs/>
          <w:u w:val="none"/>
          <w:lang w:val="en-GB"/>
        </w:rPr>
      </w:pPr>
      <w:r w:rsidRPr="00416662">
        <w:rPr>
          <w:b/>
          <w:bCs/>
          <w:i/>
          <w:iCs/>
          <w:u w:val="none"/>
        </w:rPr>
        <w:lastRenderedPageBreak/>
        <w:t>Linkage to production and consumption-based assessments</w:t>
      </w:r>
    </w:p>
    <w:p w14:paraId="1133ECD7" w14:textId="77777777" w:rsidR="00C4280C" w:rsidRPr="00C4280C" w:rsidRDefault="00C4280C" w:rsidP="00416662">
      <w:pPr>
        <w:pStyle w:val="SMText"/>
        <w:spacing w:line="276" w:lineRule="auto"/>
        <w:rPr>
          <w:lang w:val="en-GB"/>
        </w:rPr>
      </w:pPr>
    </w:p>
    <w:p w14:paraId="3C5D10AF" w14:textId="7489CFE8" w:rsidR="00C4280C" w:rsidRPr="00C4280C" w:rsidRDefault="00C4280C" w:rsidP="00416662">
      <w:pPr>
        <w:pStyle w:val="SMText"/>
        <w:spacing w:line="276" w:lineRule="auto"/>
        <w:ind w:firstLine="0"/>
        <w:rPr>
          <w:lang w:val="en-GB"/>
        </w:rPr>
      </w:pPr>
      <w:r w:rsidRPr="00C4280C">
        <w:rPr>
          <w:lang w:val="en-GB"/>
        </w:rPr>
        <w:t xml:space="preserve">We linked MAGNET with </w:t>
      </w:r>
      <w:r w:rsidR="00165C6B">
        <w:rPr>
          <w:lang w:val="en-GB"/>
        </w:rPr>
        <w:t xml:space="preserve">a </w:t>
      </w:r>
      <w:r w:rsidRPr="00C4280C">
        <w:rPr>
          <w:lang w:val="en-GB"/>
        </w:rPr>
        <w:t xml:space="preserve">health assessment to analyse the consequences of </w:t>
      </w:r>
      <w:r w:rsidR="00165C6B">
        <w:rPr>
          <w:lang w:val="en-GB"/>
        </w:rPr>
        <w:t>Brexit-related policies for public health in the UK</w:t>
      </w:r>
      <w:r w:rsidRPr="00C4280C">
        <w:rPr>
          <w:lang w:val="en-GB"/>
        </w:rPr>
        <w:t xml:space="preserve">. For </w:t>
      </w:r>
      <w:r w:rsidR="00165C6B">
        <w:rPr>
          <w:lang w:val="en-GB"/>
        </w:rPr>
        <w:t>that purpose</w:t>
      </w:r>
      <w:r w:rsidRPr="00C4280C">
        <w:rPr>
          <w:lang w:val="en-GB"/>
        </w:rPr>
        <w:t xml:space="preserve">, we used MAGNET’s estimates of </w:t>
      </w:r>
      <w:r w:rsidR="008B0F73">
        <w:rPr>
          <w:lang w:val="en-GB"/>
        </w:rPr>
        <w:t xml:space="preserve">percentage </w:t>
      </w:r>
      <w:r w:rsidRPr="00C4280C">
        <w:rPr>
          <w:lang w:val="en-GB"/>
        </w:rPr>
        <w:t>changes in consumption</w:t>
      </w:r>
      <w:r w:rsidR="008B0F73">
        <w:rPr>
          <w:lang w:val="en-GB"/>
        </w:rPr>
        <w:t xml:space="preserve">, </w:t>
      </w:r>
      <w:r w:rsidRPr="00C4280C">
        <w:rPr>
          <w:lang w:val="en-GB"/>
        </w:rPr>
        <w:t xml:space="preserve">applied those to baseline consumption data, and used those in a comparative risk assessment of dietary and weight-related risk factors to estimate changes in mortality. </w:t>
      </w:r>
      <w:r w:rsidR="008B0F73">
        <w:rPr>
          <w:lang w:val="en-GB"/>
        </w:rPr>
        <w:t>W</w:t>
      </w:r>
      <w:r w:rsidRPr="00C4280C">
        <w:rPr>
          <w:lang w:val="en-GB"/>
        </w:rPr>
        <w:t>e estimated baseline food consumption by adopting estimates of food availability from the FAO’s food balance sheets, and adjusting those for the amount of food wasted at the point of consumption</w:t>
      </w:r>
      <w:r w:rsidR="005B09A0">
        <w:rPr>
          <w:lang w:val="en-GB"/>
        </w:rPr>
        <w:t xml:space="preserve"> </w:t>
      </w:r>
      <w:r w:rsidRPr="00C4280C">
        <w:rPr>
          <w:lang w:val="en-GB"/>
        </w:rPr>
        <w:fldChar w:fldCharType="begin" w:fldLock="1"/>
      </w:r>
      <w:r w:rsidR="00BB7752">
        <w:rPr>
          <w:lang w:val="en-GB"/>
        </w:rPr>
        <w:instrText xml:space="preserve"> ADDIN ZOTERO_ITEM CSL_CITATION {"citationID":"PMpHDSDB","properties":{"formattedCitation":"\\super 9,10\\nosupersub{}","plainCitation":"9,10","noteIndex":0},"citationItems":[{"id":"9UZPP0Go/r18gfsJs","uris":["http://www.mendeley.com/documents/?uuid=8515c647-c797-44c5-8040-8cb9e68e67ed"],"uri":["http://www.mendeley.com/documents/?uuid=8515c647-c797-44c5-8040-8cb9e68e67ed"],"itemData":{"author":[{"dropping-particle":"","family":"Gustavsson","given":"Jenny","non-dropping-particle":"","parse-names":false,"suffix":""},{"dropping-particle":"","family":"Cederberg","given":"Christel","non-dropping-particle":"","parse-names":false,"suffix":""},{"dropping-particle":"","family":"Sonesson","given":"Ulf","non-dropping-particle":"","parse-names":false,"suffix":""},{"dropping-particle":"","family":"Otterdijk","given":"Robert","non-dropping-particle":"Van","parse-names":false,"suffix":""},{"dropping-particle":"","family":"Meybeck","given":"Alexandre","non-dropping-particle":"","parse-names":false,"suffix":""}],"id":"ITEM-1","issued":{"date-parts":[["2011"]]},"publisher":"FAO Rome","title":"Global food losses and food waste: extent, causes and prevention","type":"report"}},{"id":"9UZPP0Go/sfgMfZAE","uris":["http://www.mendeley.com/documents/?uuid=24b7eb40-6436-416a-856d-3c2a8173748d"],"uri":["http://www.mendeley.com/documents/?uuid=24b7eb40-6436-416a-856d-3c2a8173748d"],"itemData":{"author":[{"dropping-particle":"","family":"Food and Agriculture Organization of the United Nations","given":"","non-dropping-particle":"","parse-names":false,"suffix":""}],"id":"ITEM-2","issued":{"date-parts":[["2001"]]},"publisher-place":"Rome","title":"Food balance sheets: a handbook","type":"book"}}],"schema":"https://github.com/citation-style-language/schema/raw/master/csl-citation.json"} </w:instrText>
      </w:r>
      <w:r w:rsidRPr="00C4280C">
        <w:rPr>
          <w:lang w:val="en-GB"/>
        </w:rPr>
        <w:fldChar w:fldCharType="separate"/>
      </w:r>
      <w:r w:rsidR="00BB7752" w:rsidRPr="00BB7752">
        <w:rPr>
          <w:szCs w:val="24"/>
          <w:vertAlign w:val="superscript"/>
        </w:rPr>
        <w:t>9,10</w:t>
      </w:r>
      <w:r w:rsidRPr="00C4280C">
        <w:fldChar w:fldCharType="end"/>
      </w:r>
      <w:r w:rsidR="005B09A0">
        <w:t>.</w:t>
      </w:r>
      <w:r w:rsidRPr="00C4280C">
        <w:rPr>
          <w:lang w:val="en-GB"/>
        </w:rPr>
        <w:t xml:space="preserve"> </w:t>
      </w:r>
    </w:p>
    <w:p w14:paraId="5955E85B" w14:textId="77777777" w:rsidR="00C4280C" w:rsidRPr="00C4280C" w:rsidRDefault="00C4280C" w:rsidP="00416662">
      <w:pPr>
        <w:pStyle w:val="SMText"/>
        <w:spacing w:line="276" w:lineRule="auto"/>
        <w:rPr>
          <w:lang w:val="en-GB"/>
        </w:rPr>
      </w:pPr>
    </w:p>
    <w:p w14:paraId="4FBFE2A5" w14:textId="122BBE05" w:rsidR="00C4280C" w:rsidRPr="00C4280C" w:rsidRDefault="00C4280C" w:rsidP="00416662">
      <w:pPr>
        <w:pStyle w:val="SMText"/>
        <w:spacing w:line="276" w:lineRule="auto"/>
        <w:ind w:firstLine="0"/>
        <w:rPr>
          <w:lang w:val="en-GB"/>
        </w:rPr>
      </w:pPr>
      <w:r w:rsidRPr="00C4280C">
        <w:rPr>
          <w:lang w:val="en-GB"/>
        </w:rPr>
        <w:t>Food balance sheets report on the amount of food that is available for human consumption</w:t>
      </w:r>
      <w:r w:rsidR="005B09A0">
        <w:rPr>
          <w:lang w:val="en-GB"/>
        </w:rPr>
        <w:t xml:space="preserve"> </w:t>
      </w:r>
      <w:r w:rsidRPr="00C4280C">
        <w:rPr>
          <w:lang w:val="en-GB"/>
        </w:rPr>
        <w:fldChar w:fldCharType="begin" w:fldLock="1"/>
      </w:r>
      <w:r w:rsidR="00BB7752">
        <w:rPr>
          <w:lang w:val="en-GB"/>
        </w:rPr>
        <w:instrText xml:space="preserve"> ADDIN ZOTERO_ITEM CSL_CITATION {"citationID":"Eg2YtNvx","properties":{"formattedCitation":"\\super 10\\nosupersub{}","plainCitation":"10","noteIndex":0},"citationItems":[{"id":"9UZPP0Go/sfgMfZAE","uris":["http://www.mendeley.com/documents/?uuid=24b7eb40-6436-416a-856d-3c2a8173748d"],"uri":["http://www.mendeley.com/documents/?uuid=24b7eb40-6436-416a-856d-3c2a8173748d"],"itemData":{"author":[{"dropping-particle":"","family":"Food and Agriculture Organization of the United Nations","given":"","non-dropping-particle":"","parse-names":false,"suffix":""}],"id":"ITEM-1","issued":{"date-parts":[["2001"]]},"publisher-place":"Rome","title":"Food balance sheets: a handbook","type":"book"}}],"schema":"https://github.com/citation-style-language/schema/raw/master/csl-citation.json"} </w:instrText>
      </w:r>
      <w:r w:rsidRPr="00C4280C">
        <w:rPr>
          <w:lang w:val="en-GB"/>
        </w:rPr>
        <w:fldChar w:fldCharType="separate"/>
      </w:r>
      <w:r w:rsidR="00BB7752" w:rsidRPr="00BB7752">
        <w:rPr>
          <w:szCs w:val="24"/>
          <w:vertAlign w:val="superscript"/>
        </w:rPr>
        <w:t>10</w:t>
      </w:r>
      <w:r w:rsidRPr="00C4280C">
        <w:fldChar w:fldCharType="end"/>
      </w:r>
      <w:r w:rsidR="005B09A0">
        <w:t>.</w:t>
      </w:r>
      <w:r w:rsidRPr="00C4280C">
        <w:rPr>
          <w:lang w:val="en-GB"/>
        </w:rPr>
        <w:t xml:space="preserve"> They reflect the quantities reaching the consumer, but do not include waste from both edible and inedible parts of the food commodity occurring in the household. As such, the amount of food actually consumed may be lower than the quantity shown in the food balance sheet depending on the degree of losses of edible food in the household, </w:t>
      </w:r>
      <w:proofErr w:type="gramStart"/>
      <w:r w:rsidRPr="00C4280C">
        <w:rPr>
          <w:lang w:val="en-GB"/>
        </w:rPr>
        <w:t>e.g.</w:t>
      </w:r>
      <w:proofErr w:type="gramEnd"/>
      <w:r w:rsidRPr="00C4280C">
        <w:rPr>
          <w:lang w:val="en-GB"/>
        </w:rPr>
        <w:t xml:space="preserve"> during storage, in preparation and cooking, as plate-waste, or quantities fed to domestic animals and pets, or thrown away. </w:t>
      </w:r>
    </w:p>
    <w:p w14:paraId="0F66A9E3" w14:textId="77777777" w:rsidR="00C4280C" w:rsidRPr="00C4280C" w:rsidRDefault="00C4280C" w:rsidP="00416662">
      <w:pPr>
        <w:pStyle w:val="SMText"/>
        <w:spacing w:line="276" w:lineRule="auto"/>
        <w:rPr>
          <w:lang w:val="en-GB"/>
        </w:rPr>
      </w:pPr>
    </w:p>
    <w:p w14:paraId="70902A0D" w14:textId="1E9399A2" w:rsidR="00C4280C" w:rsidRPr="00C4280C" w:rsidRDefault="00C4280C" w:rsidP="00416662">
      <w:pPr>
        <w:pStyle w:val="SMText"/>
        <w:spacing w:line="276" w:lineRule="auto"/>
        <w:ind w:firstLine="0"/>
        <w:rPr>
          <w:lang w:val="en-GB"/>
        </w:rPr>
      </w:pPr>
      <w:r w:rsidRPr="00C4280C">
        <w:rPr>
          <w:lang w:val="en-GB"/>
        </w:rPr>
        <w:t>We followed the waste-accounting methodology developed by the FAO to account for the amount of food wasted at the household level that was not accounted for in food availability estimates</w:t>
      </w:r>
      <w:r w:rsidR="005B09A0">
        <w:rPr>
          <w:lang w:val="en-GB"/>
        </w:rPr>
        <w:t xml:space="preserve"> </w:t>
      </w:r>
      <w:r w:rsidRPr="00C4280C">
        <w:rPr>
          <w:lang w:val="en-GB"/>
        </w:rPr>
        <w:fldChar w:fldCharType="begin" w:fldLock="1"/>
      </w:r>
      <w:r w:rsidR="00BB7752">
        <w:rPr>
          <w:lang w:val="en-GB"/>
        </w:rPr>
        <w:instrText xml:space="preserve"> ADDIN ZOTERO_ITEM CSL_CITATION {"citationID":"0pNqT3oz","properties":{"formattedCitation":"\\super 9\\nosupersub{}","plainCitation":"9","noteIndex":0},"citationItems":[{"id":"9UZPP0Go/r18gfsJs","uris":["http://www.mendeley.com/documents/?uuid=8515c647-c797-44c5-8040-8cb9e68e67ed"],"uri":["http://www.mendeley.com/documents/?uuid=8515c647-c797-44c5-8040-8cb9e68e67ed"],"itemData":{"author":[{"dropping-particle":"","family":"Gustavsson","given":"Jenny","non-dropping-particle":"","parse-names":false,"suffix":""},{"dropping-particle":"","family":"Cederberg","given":"Christel","non-dropping-particle":"","parse-names":false,"suffix":""},{"dropping-particle":"","family":"Sonesson","given":"Ulf","non-dropping-particle":"","parse-names":false,"suffix":""},{"dropping-particle":"","family":"Otterdijk","given":"Robert","non-dropping-particle":"Van","parse-names":false,"suffix":""},{"dropping-particle":"","family":"Meybeck","given":"Alexandre","non-dropping-particle":"","parse-names":false,"suffix":""}],"id":"ITEM-1","issued":{"date-parts":[["2011"]]},"publisher":"FAO Rome","title":"Global food losses and food waste: extent, causes and prevention","type":"report"}}],"schema":"https://github.com/citation-style-language/schema/raw/master/csl-citation.json"} </w:instrText>
      </w:r>
      <w:r w:rsidRPr="00C4280C">
        <w:rPr>
          <w:lang w:val="en-GB"/>
        </w:rPr>
        <w:fldChar w:fldCharType="separate"/>
      </w:r>
      <w:r w:rsidR="00BB7752" w:rsidRPr="00BB7752">
        <w:rPr>
          <w:szCs w:val="24"/>
          <w:vertAlign w:val="superscript"/>
        </w:rPr>
        <w:t>9</w:t>
      </w:r>
      <w:r w:rsidRPr="00C4280C">
        <w:fldChar w:fldCharType="end"/>
      </w:r>
      <w:r w:rsidR="005B09A0">
        <w:t>.</w:t>
      </w:r>
      <w:r w:rsidRPr="00C4280C">
        <w:rPr>
          <w:lang w:val="en-GB"/>
        </w:rPr>
        <w:t xml:space="preserve"> Table </w:t>
      </w:r>
      <w:r w:rsidR="004B5495">
        <w:rPr>
          <w:lang w:val="en-GB"/>
        </w:rPr>
        <w:t>S</w:t>
      </w:r>
      <w:r w:rsidR="008B0F73">
        <w:rPr>
          <w:lang w:val="en-GB"/>
        </w:rPr>
        <w:t>4</w:t>
      </w:r>
      <w:r w:rsidRPr="00C4280C">
        <w:rPr>
          <w:lang w:val="en-GB"/>
        </w:rPr>
        <w:t xml:space="preserve"> provides and overview of the parameters used in the calculation. </w:t>
      </w:r>
      <w:bookmarkStart w:id="6" w:name="_Hlk35705190"/>
    </w:p>
    <w:bookmarkEnd w:id="6"/>
    <w:p w14:paraId="65AA2497" w14:textId="77777777" w:rsidR="00C4280C" w:rsidRPr="00C4280C" w:rsidRDefault="00C4280C" w:rsidP="00416662">
      <w:pPr>
        <w:pStyle w:val="SMText"/>
        <w:spacing w:line="276" w:lineRule="auto"/>
        <w:rPr>
          <w:lang w:val="en-GB"/>
        </w:rPr>
      </w:pPr>
    </w:p>
    <w:p w14:paraId="076AC7AA" w14:textId="3065946A" w:rsidR="00C4280C" w:rsidRPr="00AE10DF" w:rsidRDefault="00C4280C" w:rsidP="00E97167">
      <w:pPr>
        <w:pStyle w:val="SMText"/>
        <w:spacing w:line="276" w:lineRule="auto"/>
        <w:ind w:firstLine="0"/>
        <w:rPr>
          <w:rFonts w:ascii="Arial" w:hAnsi="Arial" w:cs="Arial"/>
          <w:sz w:val="22"/>
          <w:szCs w:val="18"/>
          <w:lang w:val="en-GB"/>
        </w:rPr>
      </w:pPr>
      <w:r w:rsidRPr="00C4280C">
        <w:rPr>
          <w:lang w:val="en-GB"/>
        </w:rPr>
        <w:t>For each commodity and region, we estimated food consumption by multiplying food availability data with conversion factors (</w:t>
      </w:r>
      <w:proofErr w:type="spellStart"/>
      <w:r w:rsidRPr="00C4280C">
        <w:rPr>
          <w:i/>
          <w:iCs/>
          <w:lang w:val="en-GB"/>
        </w:rPr>
        <w:t>cf</w:t>
      </w:r>
      <w:proofErr w:type="spellEnd"/>
      <w:r w:rsidRPr="00C4280C">
        <w:rPr>
          <w:lang w:val="en-GB"/>
        </w:rPr>
        <w:t>) that represent the amount of edible food (</w:t>
      </w:r>
      <w:proofErr w:type="gramStart"/>
      <w:r w:rsidRPr="00C4280C">
        <w:rPr>
          <w:lang w:val="en-GB"/>
        </w:rPr>
        <w:t>e.g.</w:t>
      </w:r>
      <w:proofErr w:type="gramEnd"/>
      <w:r w:rsidRPr="00C4280C">
        <w:rPr>
          <w:lang w:val="en-GB"/>
        </w:rPr>
        <w:t xml:space="preserve"> after peeling) and with the percentage of food wasted during consumption (</w:t>
      </w:r>
      <w:r w:rsidRPr="00C4280C">
        <w:rPr>
          <w:i/>
          <w:iCs/>
          <w:lang w:val="en-GB"/>
        </w:rPr>
        <w:t>1-wp(</w:t>
      </w:r>
      <w:proofErr w:type="spellStart"/>
      <w:r w:rsidRPr="00C4280C">
        <w:rPr>
          <w:i/>
          <w:iCs/>
          <w:lang w:val="en-GB"/>
        </w:rPr>
        <w:t>cns</w:t>
      </w:r>
      <w:proofErr w:type="spellEnd"/>
      <w:r w:rsidRPr="00C4280C">
        <w:rPr>
          <w:i/>
          <w:iCs/>
          <w:lang w:val="en-GB"/>
        </w:rPr>
        <w:t>)</w:t>
      </w:r>
      <w:r w:rsidRPr="00C4280C">
        <w:rPr>
          <w:lang w:val="en-GB"/>
        </w:rPr>
        <w:t>). For roots and tubers, fruits and vegetables, and fish and seafood, we also accounted for the differences in wastage between the proportion that is utilised fresh (</w:t>
      </w:r>
      <w:proofErr w:type="spellStart"/>
      <w:r w:rsidRPr="00C4280C">
        <w:rPr>
          <w:i/>
          <w:iCs/>
          <w:lang w:val="en-GB"/>
        </w:rPr>
        <w:t>pct</w:t>
      </w:r>
      <w:r w:rsidRPr="00C4280C">
        <w:rPr>
          <w:i/>
          <w:iCs/>
          <w:vertAlign w:val="subscript"/>
          <w:lang w:val="en-GB"/>
        </w:rPr>
        <w:t>frsh</w:t>
      </w:r>
      <w:proofErr w:type="spellEnd"/>
      <w:r w:rsidRPr="00C4280C">
        <w:rPr>
          <w:lang w:val="en-GB"/>
        </w:rPr>
        <w:t>) and the proportion that utilised in processed form (</w:t>
      </w:r>
      <w:proofErr w:type="spellStart"/>
      <w:r w:rsidRPr="00C4280C">
        <w:rPr>
          <w:i/>
          <w:iCs/>
          <w:lang w:val="en-GB"/>
        </w:rPr>
        <w:t>pct</w:t>
      </w:r>
      <w:r w:rsidRPr="00C4280C">
        <w:rPr>
          <w:i/>
          <w:iCs/>
          <w:vertAlign w:val="subscript"/>
          <w:lang w:val="en-GB"/>
        </w:rPr>
        <w:t>prcd</w:t>
      </w:r>
      <w:proofErr w:type="spellEnd"/>
      <w:r w:rsidRPr="00C4280C">
        <w:rPr>
          <w:lang w:val="en-GB"/>
        </w:rPr>
        <w:t>). The equation used for each food commodity and region was:</w:t>
      </w:r>
      <w:r w:rsidR="00E97167">
        <w:rPr>
          <w:lang w:val="en-GB"/>
        </w:rPr>
        <w:tab/>
      </w:r>
      <m:oMath>
        <m:r>
          <w:rPr>
            <w:rFonts w:ascii="Cambria Math" w:hAnsi="Cambria Math" w:cs="Arial"/>
            <w:sz w:val="22"/>
            <w:szCs w:val="18"/>
            <w:lang w:val="en-GB"/>
          </w:rPr>
          <m:t>Consumption=Availability∙</m:t>
        </m:r>
        <m:f>
          <m:fPr>
            <m:ctrlPr>
              <w:rPr>
                <w:rFonts w:ascii="Cambria Math" w:hAnsi="Cambria Math" w:cs="Arial"/>
                <w:i/>
                <w:sz w:val="22"/>
                <w:szCs w:val="18"/>
                <w:lang w:val="en-GB"/>
              </w:rPr>
            </m:ctrlPr>
          </m:fPr>
          <m:num>
            <m:r>
              <w:rPr>
                <w:rFonts w:ascii="Cambria Math" w:hAnsi="Cambria Math" w:cs="Arial"/>
                <w:sz w:val="22"/>
                <w:szCs w:val="18"/>
                <w:lang w:val="en-GB"/>
              </w:rPr>
              <m:t>pc</m:t>
            </m:r>
            <m:sSub>
              <m:sSubPr>
                <m:ctrlPr>
                  <w:rPr>
                    <w:rFonts w:ascii="Cambria Math" w:hAnsi="Cambria Math" w:cs="Arial"/>
                    <w:i/>
                    <w:sz w:val="22"/>
                    <w:szCs w:val="18"/>
                    <w:lang w:val="en-GB"/>
                  </w:rPr>
                </m:ctrlPr>
              </m:sSubPr>
              <m:e>
                <m:r>
                  <w:rPr>
                    <w:rFonts w:ascii="Cambria Math" w:hAnsi="Cambria Math" w:cs="Arial"/>
                    <w:sz w:val="22"/>
                    <w:szCs w:val="18"/>
                    <w:lang w:val="en-GB"/>
                  </w:rPr>
                  <m:t>t</m:t>
                </m:r>
              </m:e>
              <m:sub>
                <m:r>
                  <w:rPr>
                    <w:rFonts w:ascii="Cambria Math" w:hAnsi="Cambria Math" w:cs="Arial"/>
                    <w:sz w:val="22"/>
                    <w:szCs w:val="18"/>
                    <w:lang w:val="en-GB"/>
                  </w:rPr>
                  <m:t>frsh</m:t>
                </m:r>
              </m:sub>
            </m:sSub>
          </m:num>
          <m:den>
            <m:r>
              <w:rPr>
                <w:rFonts w:ascii="Cambria Math" w:hAnsi="Cambria Math" w:cs="Arial"/>
                <w:sz w:val="22"/>
                <w:szCs w:val="18"/>
                <w:lang w:val="en-GB"/>
              </w:rPr>
              <m:t>100</m:t>
            </m:r>
          </m:den>
        </m:f>
        <m:r>
          <w:rPr>
            <w:rFonts w:ascii="Cambria Math" w:hAnsi="Cambria Math" w:cs="Arial"/>
            <w:sz w:val="22"/>
            <w:szCs w:val="18"/>
            <w:lang w:val="en-GB"/>
          </w:rPr>
          <m:t>∙c</m:t>
        </m:r>
        <m:sSub>
          <m:sSubPr>
            <m:ctrlPr>
              <w:rPr>
                <w:rFonts w:ascii="Cambria Math" w:hAnsi="Cambria Math" w:cs="Arial"/>
                <w:i/>
                <w:sz w:val="22"/>
                <w:szCs w:val="18"/>
                <w:lang w:val="en-GB"/>
              </w:rPr>
            </m:ctrlPr>
          </m:sSubPr>
          <m:e>
            <m:r>
              <w:rPr>
                <w:rFonts w:ascii="Cambria Math" w:hAnsi="Cambria Math" w:cs="Arial"/>
                <w:sz w:val="22"/>
                <w:szCs w:val="18"/>
                <w:lang w:val="en-GB"/>
              </w:rPr>
              <m:t>f</m:t>
            </m:r>
          </m:e>
          <m:sub>
            <m:r>
              <w:rPr>
                <w:rFonts w:ascii="Cambria Math" w:hAnsi="Cambria Math" w:cs="Arial"/>
                <w:sz w:val="22"/>
                <w:szCs w:val="18"/>
                <w:lang w:val="en-GB"/>
              </w:rPr>
              <m:t>frsh</m:t>
            </m:r>
          </m:sub>
        </m:sSub>
        <m:r>
          <w:rPr>
            <w:rFonts w:ascii="Cambria Math" w:hAnsi="Cambria Math" w:cs="Arial"/>
            <w:sz w:val="22"/>
            <w:szCs w:val="18"/>
            <w:lang w:val="en-GB"/>
          </w:rPr>
          <m:t xml:space="preserve"> ∙</m:t>
        </m:r>
        <m:d>
          <m:dPr>
            <m:ctrlPr>
              <w:rPr>
                <w:rFonts w:ascii="Cambria Math" w:hAnsi="Cambria Math" w:cs="Arial"/>
                <w:i/>
                <w:sz w:val="22"/>
                <w:szCs w:val="18"/>
                <w:lang w:val="en-GB"/>
              </w:rPr>
            </m:ctrlPr>
          </m:dPr>
          <m:e>
            <m:r>
              <w:rPr>
                <w:rFonts w:ascii="Cambria Math" w:hAnsi="Cambria Math" w:cs="Arial"/>
                <w:sz w:val="22"/>
                <w:szCs w:val="18"/>
                <w:lang w:val="en-GB"/>
              </w:rPr>
              <m:t>1-</m:t>
            </m:r>
            <m:f>
              <m:fPr>
                <m:ctrlPr>
                  <w:rPr>
                    <w:rFonts w:ascii="Cambria Math" w:hAnsi="Cambria Math" w:cs="Arial"/>
                    <w:i/>
                    <w:sz w:val="22"/>
                    <w:szCs w:val="18"/>
                    <w:lang w:val="en-GB"/>
                  </w:rPr>
                </m:ctrlPr>
              </m:fPr>
              <m:num>
                <m:r>
                  <w:rPr>
                    <w:rFonts w:ascii="Cambria Math" w:hAnsi="Cambria Math" w:cs="Arial"/>
                    <w:sz w:val="22"/>
                    <w:szCs w:val="18"/>
                    <w:lang w:val="en-GB"/>
                  </w:rPr>
                  <m:t>wp</m:t>
                </m:r>
                <m:d>
                  <m:dPr>
                    <m:ctrlPr>
                      <w:rPr>
                        <w:rFonts w:ascii="Cambria Math" w:hAnsi="Cambria Math" w:cs="Arial"/>
                        <w:i/>
                        <w:sz w:val="22"/>
                        <w:szCs w:val="18"/>
                        <w:lang w:val="en-GB"/>
                      </w:rPr>
                    </m:ctrlPr>
                  </m:dPr>
                  <m:e>
                    <m:r>
                      <w:rPr>
                        <w:rFonts w:ascii="Cambria Math" w:hAnsi="Cambria Math" w:cs="Arial"/>
                        <w:sz w:val="22"/>
                        <w:szCs w:val="18"/>
                        <w:lang w:val="en-GB"/>
                      </w:rPr>
                      <m:t>cn</m:t>
                    </m:r>
                    <m:sSub>
                      <m:sSubPr>
                        <m:ctrlPr>
                          <w:rPr>
                            <w:rFonts w:ascii="Cambria Math" w:hAnsi="Cambria Math" w:cs="Arial"/>
                            <w:i/>
                            <w:sz w:val="22"/>
                            <w:szCs w:val="18"/>
                            <w:lang w:val="en-GB"/>
                          </w:rPr>
                        </m:ctrlPr>
                      </m:sSubPr>
                      <m:e>
                        <m:r>
                          <w:rPr>
                            <w:rFonts w:ascii="Cambria Math" w:hAnsi="Cambria Math" w:cs="Arial"/>
                            <w:sz w:val="22"/>
                            <w:szCs w:val="18"/>
                            <w:lang w:val="en-GB"/>
                          </w:rPr>
                          <m:t>s</m:t>
                        </m:r>
                      </m:e>
                      <m:sub>
                        <m:r>
                          <w:rPr>
                            <w:rFonts w:ascii="Cambria Math" w:hAnsi="Cambria Math" w:cs="Arial"/>
                            <w:sz w:val="22"/>
                            <w:szCs w:val="18"/>
                            <w:lang w:val="en-GB"/>
                          </w:rPr>
                          <m:t>frsh</m:t>
                        </m:r>
                      </m:sub>
                    </m:sSub>
                  </m:e>
                </m:d>
              </m:num>
              <m:den>
                <m:r>
                  <w:rPr>
                    <w:rFonts w:ascii="Cambria Math" w:hAnsi="Cambria Math" w:cs="Arial"/>
                    <w:sz w:val="22"/>
                    <w:szCs w:val="18"/>
                    <w:lang w:val="en-GB"/>
                  </w:rPr>
                  <m:t>100</m:t>
                </m:r>
              </m:den>
            </m:f>
          </m:e>
        </m:d>
      </m:oMath>
    </w:p>
    <w:p w14:paraId="267A89EB" w14:textId="78F93315" w:rsidR="00C4280C" w:rsidRPr="00C4280C" w:rsidRDefault="00C4280C" w:rsidP="00416662">
      <w:pPr>
        <w:pStyle w:val="SMText"/>
        <w:spacing w:line="276" w:lineRule="auto"/>
        <w:rPr>
          <w:lang w:val="en-GB"/>
        </w:rPr>
      </w:pPr>
      <m:oMathPara>
        <m:oMath>
          <m:r>
            <w:rPr>
              <w:rFonts w:ascii="Cambria Math" w:hAnsi="Cambria Math" w:cs="Arial"/>
              <w:sz w:val="22"/>
              <w:szCs w:val="18"/>
              <w:lang w:val="en-GB"/>
            </w:rPr>
            <m:t>+ Availability∙</m:t>
          </m:r>
          <m:f>
            <m:fPr>
              <m:ctrlPr>
                <w:rPr>
                  <w:rFonts w:ascii="Cambria Math" w:hAnsi="Cambria Math" w:cs="Arial"/>
                  <w:i/>
                  <w:sz w:val="22"/>
                  <w:szCs w:val="18"/>
                  <w:lang w:val="en-GB"/>
                </w:rPr>
              </m:ctrlPr>
            </m:fPr>
            <m:num>
              <m:r>
                <w:rPr>
                  <w:rFonts w:ascii="Cambria Math" w:hAnsi="Cambria Math" w:cs="Arial"/>
                  <w:sz w:val="22"/>
                  <w:szCs w:val="18"/>
                  <w:lang w:val="en-GB"/>
                </w:rPr>
                <m:t>pc</m:t>
              </m:r>
              <m:sSub>
                <m:sSubPr>
                  <m:ctrlPr>
                    <w:rPr>
                      <w:rFonts w:ascii="Cambria Math" w:hAnsi="Cambria Math" w:cs="Arial"/>
                      <w:i/>
                      <w:sz w:val="22"/>
                      <w:szCs w:val="18"/>
                      <w:lang w:val="en-GB"/>
                    </w:rPr>
                  </m:ctrlPr>
                </m:sSubPr>
                <m:e>
                  <m:r>
                    <w:rPr>
                      <w:rFonts w:ascii="Cambria Math" w:hAnsi="Cambria Math" w:cs="Arial"/>
                      <w:sz w:val="22"/>
                      <w:szCs w:val="18"/>
                      <w:lang w:val="en-GB"/>
                    </w:rPr>
                    <m:t>t</m:t>
                  </m:r>
                </m:e>
                <m:sub>
                  <m:r>
                    <w:rPr>
                      <w:rFonts w:ascii="Cambria Math" w:hAnsi="Cambria Math" w:cs="Arial"/>
                      <w:sz w:val="22"/>
                      <w:szCs w:val="18"/>
                      <w:lang w:val="en-GB"/>
                    </w:rPr>
                    <m:t>prcd</m:t>
                  </m:r>
                </m:sub>
              </m:sSub>
            </m:num>
            <m:den>
              <m:r>
                <w:rPr>
                  <w:rFonts w:ascii="Cambria Math" w:hAnsi="Cambria Math" w:cs="Arial"/>
                  <w:sz w:val="22"/>
                  <w:szCs w:val="18"/>
                  <w:lang w:val="en-GB"/>
                </w:rPr>
                <m:t>100</m:t>
              </m:r>
            </m:den>
          </m:f>
          <m:r>
            <w:rPr>
              <w:rFonts w:ascii="Cambria Math" w:hAnsi="Cambria Math" w:cs="Arial"/>
              <w:sz w:val="22"/>
              <w:szCs w:val="18"/>
              <w:lang w:val="en-GB"/>
            </w:rPr>
            <m:t>∙c</m:t>
          </m:r>
          <m:sSub>
            <m:sSubPr>
              <m:ctrlPr>
                <w:rPr>
                  <w:rFonts w:ascii="Cambria Math" w:hAnsi="Cambria Math" w:cs="Arial"/>
                  <w:i/>
                  <w:sz w:val="22"/>
                  <w:szCs w:val="18"/>
                  <w:lang w:val="en-GB"/>
                </w:rPr>
              </m:ctrlPr>
            </m:sSubPr>
            <m:e>
              <m:r>
                <w:rPr>
                  <w:rFonts w:ascii="Cambria Math" w:hAnsi="Cambria Math" w:cs="Arial"/>
                  <w:sz w:val="22"/>
                  <w:szCs w:val="18"/>
                  <w:lang w:val="en-GB"/>
                </w:rPr>
                <m:t>f</m:t>
              </m:r>
            </m:e>
            <m:sub>
              <m:r>
                <w:rPr>
                  <w:rFonts w:ascii="Cambria Math" w:hAnsi="Cambria Math" w:cs="Arial"/>
                  <w:sz w:val="22"/>
                  <w:szCs w:val="18"/>
                  <w:lang w:val="en-GB"/>
                </w:rPr>
                <m:t>prcd</m:t>
              </m:r>
            </m:sub>
          </m:sSub>
          <m:r>
            <w:rPr>
              <w:rFonts w:ascii="Cambria Math" w:hAnsi="Cambria Math" w:cs="Arial"/>
              <w:sz w:val="22"/>
              <w:szCs w:val="18"/>
              <w:lang w:val="en-GB"/>
            </w:rPr>
            <m:t>∙</m:t>
          </m:r>
          <m:d>
            <m:dPr>
              <m:ctrlPr>
                <w:rPr>
                  <w:rFonts w:ascii="Cambria Math" w:hAnsi="Cambria Math" w:cs="Arial"/>
                  <w:i/>
                  <w:sz w:val="22"/>
                  <w:szCs w:val="18"/>
                  <w:lang w:val="en-GB"/>
                </w:rPr>
              </m:ctrlPr>
            </m:dPr>
            <m:e>
              <m:r>
                <w:rPr>
                  <w:rFonts w:ascii="Cambria Math" w:hAnsi="Cambria Math" w:cs="Arial"/>
                  <w:sz w:val="22"/>
                  <w:szCs w:val="18"/>
                  <w:lang w:val="en-GB"/>
                </w:rPr>
                <m:t>1-</m:t>
              </m:r>
              <m:f>
                <m:fPr>
                  <m:ctrlPr>
                    <w:rPr>
                      <w:rFonts w:ascii="Cambria Math" w:hAnsi="Cambria Math" w:cs="Arial"/>
                      <w:i/>
                      <w:sz w:val="22"/>
                      <w:szCs w:val="18"/>
                      <w:lang w:val="en-GB"/>
                    </w:rPr>
                  </m:ctrlPr>
                </m:fPr>
                <m:num>
                  <m:r>
                    <w:rPr>
                      <w:rFonts w:ascii="Cambria Math" w:hAnsi="Cambria Math" w:cs="Arial"/>
                      <w:sz w:val="22"/>
                      <w:szCs w:val="18"/>
                      <w:lang w:val="en-GB"/>
                    </w:rPr>
                    <m:t>wp</m:t>
                  </m:r>
                  <m:d>
                    <m:dPr>
                      <m:ctrlPr>
                        <w:rPr>
                          <w:rFonts w:ascii="Cambria Math" w:hAnsi="Cambria Math" w:cs="Arial"/>
                          <w:i/>
                          <w:sz w:val="22"/>
                          <w:szCs w:val="18"/>
                          <w:lang w:val="en-GB"/>
                        </w:rPr>
                      </m:ctrlPr>
                    </m:dPr>
                    <m:e>
                      <m:r>
                        <w:rPr>
                          <w:rFonts w:ascii="Cambria Math" w:hAnsi="Cambria Math" w:cs="Arial"/>
                          <w:sz w:val="22"/>
                          <w:szCs w:val="18"/>
                          <w:lang w:val="en-GB"/>
                        </w:rPr>
                        <m:t>cn</m:t>
                      </m:r>
                      <m:sSub>
                        <m:sSubPr>
                          <m:ctrlPr>
                            <w:rPr>
                              <w:rFonts w:ascii="Cambria Math" w:hAnsi="Cambria Math" w:cs="Arial"/>
                              <w:i/>
                              <w:sz w:val="22"/>
                              <w:szCs w:val="18"/>
                              <w:lang w:val="en-GB"/>
                            </w:rPr>
                          </m:ctrlPr>
                        </m:sSubPr>
                        <m:e>
                          <m:r>
                            <w:rPr>
                              <w:rFonts w:ascii="Cambria Math" w:hAnsi="Cambria Math" w:cs="Arial"/>
                              <w:sz w:val="22"/>
                              <w:szCs w:val="18"/>
                              <w:lang w:val="en-GB"/>
                            </w:rPr>
                            <m:t>s</m:t>
                          </m:r>
                        </m:e>
                        <m:sub>
                          <m:r>
                            <w:rPr>
                              <w:rFonts w:ascii="Cambria Math" w:hAnsi="Cambria Math" w:cs="Arial"/>
                              <w:sz w:val="22"/>
                              <w:szCs w:val="18"/>
                              <w:lang w:val="en-GB"/>
                            </w:rPr>
                            <m:t>prcd</m:t>
                          </m:r>
                        </m:sub>
                      </m:sSub>
                    </m:e>
                  </m:d>
                </m:num>
                <m:den>
                  <m:r>
                    <w:rPr>
                      <w:rFonts w:ascii="Cambria Math" w:hAnsi="Cambria Math" w:cs="Arial"/>
                      <w:sz w:val="22"/>
                      <w:szCs w:val="18"/>
                      <w:lang w:val="en-GB"/>
                    </w:rPr>
                    <m:t>100</m:t>
                  </m:r>
                </m:den>
              </m:f>
            </m:e>
          </m:d>
          <m:r>
            <w:rPr>
              <w:rFonts w:ascii="Cambria Math" w:hAnsi="Cambria Math" w:cs="Arial"/>
              <w:sz w:val="22"/>
              <w:szCs w:val="18"/>
              <w:lang w:val="en-GB"/>
            </w:rPr>
            <m:t xml:space="preserve">  </m:t>
          </m:r>
        </m:oMath>
      </m:oMathPara>
    </w:p>
    <w:p w14:paraId="4609C8F3" w14:textId="290BBCBC" w:rsidR="00C4280C" w:rsidRDefault="00C4280C" w:rsidP="008B0F73">
      <w:pPr>
        <w:pStyle w:val="SMText"/>
        <w:spacing w:line="276" w:lineRule="auto"/>
        <w:ind w:firstLine="0"/>
        <w:rPr>
          <w:lang w:val="en-GB"/>
        </w:rPr>
      </w:pPr>
    </w:p>
    <w:p w14:paraId="42543151" w14:textId="3445F579" w:rsidR="008B0F73" w:rsidRDefault="008B0F73" w:rsidP="008B0F73">
      <w:pPr>
        <w:pStyle w:val="SMText"/>
        <w:spacing w:line="276" w:lineRule="auto"/>
        <w:ind w:firstLine="0"/>
        <w:rPr>
          <w:lang w:val="en-GB"/>
        </w:rPr>
      </w:pPr>
    </w:p>
    <w:p w14:paraId="7AE6F6CC" w14:textId="16803B1B" w:rsidR="008B0F73" w:rsidRDefault="008B0F73" w:rsidP="008B0F73">
      <w:pPr>
        <w:pStyle w:val="SMText"/>
        <w:spacing w:line="276" w:lineRule="auto"/>
        <w:ind w:firstLine="0"/>
        <w:rPr>
          <w:lang w:val="en-GB"/>
        </w:rPr>
      </w:pPr>
    </w:p>
    <w:p w14:paraId="50684B82" w14:textId="666C84B5" w:rsidR="008B0F73" w:rsidRDefault="008B0F73" w:rsidP="008B0F73">
      <w:pPr>
        <w:pStyle w:val="SMText"/>
        <w:spacing w:line="276" w:lineRule="auto"/>
        <w:ind w:firstLine="0"/>
        <w:rPr>
          <w:lang w:val="en-GB"/>
        </w:rPr>
      </w:pPr>
    </w:p>
    <w:p w14:paraId="6C2C0FAF" w14:textId="15950BC7" w:rsidR="008B0F73" w:rsidRDefault="008B0F73" w:rsidP="008B0F73">
      <w:pPr>
        <w:pStyle w:val="SMText"/>
        <w:spacing w:line="276" w:lineRule="auto"/>
        <w:ind w:firstLine="0"/>
        <w:rPr>
          <w:lang w:val="en-GB"/>
        </w:rPr>
      </w:pPr>
    </w:p>
    <w:p w14:paraId="11F18286" w14:textId="270C5571" w:rsidR="008B0F73" w:rsidRDefault="008B0F73" w:rsidP="008B0F73">
      <w:pPr>
        <w:pStyle w:val="SMText"/>
        <w:spacing w:line="276" w:lineRule="auto"/>
        <w:ind w:firstLine="0"/>
        <w:rPr>
          <w:lang w:val="en-GB"/>
        </w:rPr>
      </w:pPr>
    </w:p>
    <w:p w14:paraId="1F369955" w14:textId="0503703F" w:rsidR="008B0F73" w:rsidRDefault="008B0F73" w:rsidP="008B0F73">
      <w:pPr>
        <w:pStyle w:val="SMText"/>
        <w:spacing w:line="276" w:lineRule="auto"/>
        <w:ind w:firstLine="0"/>
        <w:rPr>
          <w:lang w:val="en-GB"/>
        </w:rPr>
      </w:pPr>
    </w:p>
    <w:p w14:paraId="6FF5D14A" w14:textId="715410F9" w:rsidR="008B0F73" w:rsidRDefault="008B0F73" w:rsidP="008B0F73">
      <w:pPr>
        <w:pStyle w:val="SMText"/>
        <w:spacing w:line="276" w:lineRule="auto"/>
        <w:ind w:firstLine="0"/>
        <w:rPr>
          <w:lang w:val="en-GB"/>
        </w:rPr>
      </w:pPr>
    </w:p>
    <w:p w14:paraId="411C0563" w14:textId="2A4D4723" w:rsidR="008B0F73" w:rsidRDefault="008B0F73" w:rsidP="008B0F73">
      <w:pPr>
        <w:pStyle w:val="SMText"/>
        <w:spacing w:line="276" w:lineRule="auto"/>
        <w:ind w:firstLine="0"/>
        <w:rPr>
          <w:lang w:val="en-GB"/>
        </w:rPr>
      </w:pPr>
    </w:p>
    <w:p w14:paraId="71AECD4C" w14:textId="77777777" w:rsidR="008B0F73" w:rsidRPr="00C4280C" w:rsidRDefault="008B0F73" w:rsidP="008B0F73">
      <w:pPr>
        <w:pStyle w:val="SMText"/>
        <w:spacing w:line="276" w:lineRule="auto"/>
        <w:ind w:firstLine="0"/>
        <w:rPr>
          <w:lang w:val="en-GB"/>
        </w:rPr>
      </w:pPr>
    </w:p>
    <w:p w14:paraId="0AFFBA7A" w14:textId="3E215322" w:rsidR="00F05584" w:rsidRDefault="00F05584" w:rsidP="00416662">
      <w:pPr>
        <w:pStyle w:val="SMHeading"/>
        <w:spacing w:line="276" w:lineRule="auto"/>
      </w:pPr>
      <w:bookmarkStart w:id="7" w:name="_Toc58791050"/>
      <w:r>
        <w:lastRenderedPageBreak/>
        <w:t>Table S</w:t>
      </w:r>
      <w:r w:rsidR="008B0F73">
        <w:t>4</w:t>
      </w:r>
      <w:r>
        <w:t>.</w:t>
      </w:r>
      <w:bookmarkEnd w:id="7"/>
    </w:p>
    <w:p w14:paraId="651C86B3" w14:textId="19EEF766" w:rsidR="00F05584" w:rsidRPr="00F05584" w:rsidRDefault="00F05584" w:rsidP="00416662">
      <w:pPr>
        <w:pStyle w:val="SMcaption"/>
        <w:spacing w:line="276" w:lineRule="auto"/>
        <w:rPr>
          <w:lang w:val="en-GB"/>
        </w:rPr>
      </w:pPr>
      <w:r w:rsidRPr="00F05584">
        <w:rPr>
          <w:lang w:val="en-GB"/>
        </w:rPr>
        <w:t>Percentage of food wasted during consumption (</w:t>
      </w:r>
      <w:proofErr w:type="spellStart"/>
      <w:r w:rsidRPr="00F05584">
        <w:rPr>
          <w:lang w:val="en-GB"/>
        </w:rPr>
        <w:t>cns</w:t>
      </w:r>
      <w:proofErr w:type="spellEnd"/>
      <w:r w:rsidRPr="00F05584">
        <w:rPr>
          <w:lang w:val="en-GB"/>
        </w:rPr>
        <w:t xml:space="preserve">), and percentage of </w:t>
      </w:r>
    </w:p>
    <w:p w14:paraId="12685AB8" w14:textId="77777777" w:rsidR="00F05584" w:rsidRPr="00F05584" w:rsidRDefault="00F05584" w:rsidP="00416662">
      <w:pPr>
        <w:pStyle w:val="SMcaption"/>
        <w:spacing w:line="276" w:lineRule="auto"/>
        <w:rPr>
          <w:lang w:val="en-GB"/>
        </w:rPr>
      </w:pPr>
      <w:r w:rsidRPr="00F05584">
        <w:rPr>
          <w:lang w:val="en-GB"/>
        </w:rPr>
        <w:t>processed utilisation (</w:t>
      </w:r>
      <w:proofErr w:type="spellStart"/>
      <w:r w:rsidRPr="00F05584">
        <w:rPr>
          <w:lang w:val="en-GB"/>
        </w:rPr>
        <w:t>pctprcd</w:t>
      </w:r>
      <w:proofErr w:type="spellEnd"/>
      <w:r w:rsidRPr="00F05584">
        <w:rPr>
          <w:lang w:val="en-GB"/>
        </w:rPr>
        <w:t xml:space="preserve">). The percentage of fresh utilisation is calculated as 1-pctprcd. </w:t>
      </w:r>
    </w:p>
    <w:p w14:paraId="11E55BCC" w14:textId="26FF666B" w:rsidR="00F05584" w:rsidRDefault="00F05584" w:rsidP="00416662">
      <w:pPr>
        <w:pStyle w:val="SMcaption"/>
        <w:spacing w:line="276" w:lineRule="auto"/>
        <w:rPr>
          <w:lang w:val="en-GB"/>
        </w:rPr>
      </w:pPr>
      <w:r w:rsidRPr="00F05584">
        <w:rPr>
          <w:lang w:val="en-GB"/>
        </w:rPr>
        <w:t>Conversion factors to edible portions of foods are provided below the table</w:t>
      </w:r>
      <w:r>
        <w:rPr>
          <w:lang w:val="en-GB"/>
        </w:rPr>
        <w:t>.</w:t>
      </w:r>
    </w:p>
    <w:p w14:paraId="2F7E76C5" w14:textId="22B19672" w:rsidR="00C4280C" w:rsidRPr="00C4280C" w:rsidRDefault="00C4280C" w:rsidP="00416662">
      <w:pPr>
        <w:pStyle w:val="SMcaption"/>
        <w:spacing w:line="276" w:lineRule="auto"/>
        <w:rPr>
          <w:lang w:val="en-GB"/>
        </w:rPr>
      </w:pPr>
      <w:r w:rsidRPr="00C4280C">
        <w:rPr>
          <w:noProof/>
          <w:lang w:val="en-GB"/>
        </w:rPr>
        <w:drawing>
          <wp:inline distT="0" distB="0" distL="0" distR="0" wp14:anchorId="38DC5EEA" wp14:editId="79320E4C">
            <wp:extent cx="5869793" cy="3611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1105" cy="3612687"/>
                    </a:xfrm>
                    <a:prstGeom prst="rect">
                      <a:avLst/>
                    </a:prstGeom>
                    <a:noFill/>
                    <a:ln>
                      <a:noFill/>
                    </a:ln>
                  </pic:spPr>
                </pic:pic>
              </a:graphicData>
            </a:graphic>
          </wp:inline>
        </w:drawing>
      </w:r>
    </w:p>
    <w:p w14:paraId="2C166BBB" w14:textId="0B83A662" w:rsidR="00C4280C" w:rsidRDefault="00C4280C" w:rsidP="00416662">
      <w:pPr>
        <w:pStyle w:val="SMText"/>
        <w:spacing w:line="276" w:lineRule="auto"/>
        <w:rPr>
          <w:b/>
          <w:bCs/>
          <w:lang w:val="en-GB"/>
        </w:rPr>
      </w:pPr>
    </w:p>
    <w:p w14:paraId="5492C59B" w14:textId="1DB3BA81" w:rsidR="004B5495" w:rsidRDefault="004B5495" w:rsidP="00416662">
      <w:pPr>
        <w:pStyle w:val="SMText"/>
        <w:spacing w:line="276" w:lineRule="auto"/>
        <w:rPr>
          <w:b/>
          <w:bCs/>
          <w:lang w:val="en-GB"/>
        </w:rPr>
      </w:pPr>
    </w:p>
    <w:p w14:paraId="1306AF9F" w14:textId="028C288E" w:rsidR="004B5495" w:rsidRDefault="004B5495" w:rsidP="00416662">
      <w:pPr>
        <w:pStyle w:val="SMText"/>
        <w:spacing w:line="276" w:lineRule="auto"/>
        <w:rPr>
          <w:b/>
          <w:bCs/>
          <w:lang w:val="en-GB"/>
        </w:rPr>
      </w:pPr>
    </w:p>
    <w:p w14:paraId="55FC6F21" w14:textId="243DFA0A" w:rsidR="004B5495" w:rsidRDefault="004B5495" w:rsidP="00416662">
      <w:pPr>
        <w:pStyle w:val="SMText"/>
        <w:spacing w:line="276" w:lineRule="auto"/>
        <w:rPr>
          <w:b/>
          <w:bCs/>
          <w:lang w:val="en-GB"/>
        </w:rPr>
      </w:pPr>
    </w:p>
    <w:p w14:paraId="78AE0747" w14:textId="475A3118" w:rsidR="00416662" w:rsidRDefault="00416662" w:rsidP="00416662">
      <w:pPr>
        <w:pStyle w:val="SMText"/>
        <w:spacing w:line="276" w:lineRule="auto"/>
        <w:rPr>
          <w:b/>
          <w:bCs/>
          <w:lang w:val="en-GB"/>
        </w:rPr>
      </w:pPr>
    </w:p>
    <w:p w14:paraId="6A1A3AC3" w14:textId="43FB82BF" w:rsidR="00416662" w:rsidRDefault="00416662" w:rsidP="00416662">
      <w:pPr>
        <w:pStyle w:val="SMText"/>
        <w:spacing w:line="276" w:lineRule="auto"/>
        <w:rPr>
          <w:b/>
          <w:bCs/>
          <w:lang w:val="en-GB"/>
        </w:rPr>
      </w:pPr>
    </w:p>
    <w:p w14:paraId="22D3A3DE" w14:textId="2C424441" w:rsidR="00E97167" w:rsidRDefault="00E97167" w:rsidP="00416662">
      <w:pPr>
        <w:pStyle w:val="SMText"/>
        <w:spacing w:line="276" w:lineRule="auto"/>
        <w:rPr>
          <w:b/>
          <w:bCs/>
          <w:lang w:val="en-GB"/>
        </w:rPr>
      </w:pPr>
    </w:p>
    <w:p w14:paraId="05414BD5" w14:textId="3506D22B" w:rsidR="00E97167" w:rsidRDefault="00E97167" w:rsidP="00416662">
      <w:pPr>
        <w:pStyle w:val="SMText"/>
        <w:spacing w:line="276" w:lineRule="auto"/>
        <w:rPr>
          <w:b/>
          <w:bCs/>
          <w:lang w:val="en-GB"/>
        </w:rPr>
      </w:pPr>
    </w:p>
    <w:p w14:paraId="61B98067" w14:textId="247FE5E2" w:rsidR="00E97167" w:rsidRDefault="00E97167" w:rsidP="00416662">
      <w:pPr>
        <w:pStyle w:val="SMText"/>
        <w:spacing w:line="276" w:lineRule="auto"/>
        <w:rPr>
          <w:b/>
          <w:bCs/>
          <w:lang w:val="en-GB"/>
        </w:rPr>
      </w:pPr>
    </w:p>
    <w:p w14:paraId="59A2C93F" w14:textId="550F4DED" w:rsidR="00E97167" w:rsidRDefault="00E97167" w:rsidP="00416662">
      <w:pPr>
        <w:pStyle w:val="SMText"/>
        <w:spacing w:line="276" w:lineRule="auto"/>
        <w:rPr>
          <w:b/>
          <w:bCs/>
          <w:lang w:val="en-GB"/>
        </w:rPr>
      </w:pPr>
    </w:p>
    <w:p w14:paraId="472D6759" w14:textId="33E28A8A" w:rsidR="00E97167" w:rsidRDefault="00E97167" w:rsidP="00416662">
      <w:pPr>
        <w:pStyle w:val="SMText"/>
        <w:spacing w:line="276" w:lineRule="auto"/>
        <w:rPr>
          <w:b/>
          <w:bCs/>
          <w:lang w:val="en-GB"/>
        </w:rPr>
      </w:pPr>
    </w:p>
    <w:p w14:paraId="14E9955F" w14:textId="60140AB1" w:rsidR="00E97167" w:rsidRDefault="00E97167" w:rsidP="00416662">
      <w:pPr>
        <w:pStyle w:val="SMText"/>
        <w:spacing w:line="276" w:lineRule="auto"/>
        <w:rPr>
          <w:b/>
          <w:bCs/>
          <w:lang w:val="en-GB"/>
        </w:rPr>
      </w:pPr>
    </w:p>
    <w:p w14:paraId="7BEB1671" w14:textId="04C8EDB5" w:rsidR="00E97167" w:rsidRDefault="00E97167" w:rsidP="00416662">
      <w:pPr>
        <w:pStyle w:val="SMText"/>
        <w:spacing w:line="276" w:lineRule="auto"/>
        <w:rPr>
          <w:b/>
          <w:bCs/>
          <w:lang w:val="en-GB"/>
        </w:rPr>
      </w:pPr>
    </w:p>
    <w:p w14:paraId="2B53E796" w14:textId="4CE82D20" w:rsidR="00E97167" w:rsidRDefault="00E97167" w:rsidP="00416662">
      <w:pPr>
        <w:pStyle w:val="SMText"/>
        <w:spacing w:line="276" w:lineRule="auto"/>
        <w:rPr>
          <w:b/>
          <w:bCs/>
          <w:lang w:val="en-GB"/>
        </w:rPr>
      </w:pPr>
    </w:p>
    <w:p w14:paraId="0217F0FB" w14:textId="6B84842E" w:rsidR="00E97167" w:rsidRDefault="00E97167" w:rsidP="00416662">
      <w:pPr>
        <w:pStyle w:val="SMText"/>
        <w:spacing w:line="276" w:lineRule="auto"/>
        <w:rPr>
          <w:b/>
          <w:bCs/>
          <w:lang w:val="en-GB"/>
        </w:rPr>
      </w:pPr>
    </w:p>
    <w:p w14:paraId="55CFBEFD" w14:textId="1DDEDE6F" w:rsidR="00E97167" w:rsidRDefault="00E97167" w:rsidP="00416662">
      <w:pPr>
        <w:pStyle w:val="SMText"/>
        <w:spacing w:line="276" w:lineRule="auto"/>
        <w:rPr>
          <w:b/>
          <w:bCs/>
          <w:lang w:val="en-GB"/>
        </w:rPr>
      </w:pPr>
    </w:p>
    <w:p w14:paraId="0A07F8BB" w14:textId="77777777" w:rsidR="00E97167" w:rsidRDefault="00E97167" w:rsidP="00416662">
      <w:pPr>
        <w:pStyle w:val="SMText"/>
        <w:spacing w:line="276" w:lineRule="auto"/>
        <w:rPr>
          <w:b/>
          <w:bCs/>
          <w:lang w:val="en-GB"/>
        </w:rPr>
      </w:pPr>
    </w:p>
    <w:p w14:paraId="2A738E26" w14:textId="2E21246B" w:rsidR="00416662" w:rsidRDefault="00416662" w:rsidP="00416662">
      <w:pPr>
        <w:pStyle w:val="SMText"/>
        <w:spacing w:line="276" w:lineRule="auto"/>
        <w:rPr>
          <w:b/>
          <w:bCs/>
          <w:lang w:val="en-GB"/>
        </w:rPr>
      </w:pPr>
    </w:p>
    <w:p w14:paraId="487EE3D4" w14:textId="46F71661" w:rsidR="00416662" w:rsidRDefault="00416662" w:rsidP="00416662">
      <w:pPr>
        <w:pStyle w:val="SMText"/>
        <w:spacing w:line="276" w:lineRule="auto"/>
        <w:rPr>
          <w:b/>
          <w:bCs/>
          <w:lang w:val="en-GB"/>
        </w:rPr>
      </w:pPr>
    </w:p>
    <w:p w14:paraId="10226354" w14:textId="0327E633" w:rsidR="00416662" w:rsidRDefault="00416662" w:rsidP="00416662">
      <w:pPr>
        <w:pStyle w:val="SMText"/>
        <w:spacing w:line="276" w:lineRule="auto"/>
        <w:rPr>
          <w:b/>
          <w:bCs/>
          <w:lang w:val="en-GB"/>
        </w:rPr>
      </w:pPr>
    </w:p>
    <w:p w14:paraId="2CB6F391" w14:textId="77777777" w:rsidR="00416662" w:rsidRDefault="00416662" w:rsidP="00416662">
      <w:pPr>
        <w:pStyle w:val="SMText"/>
        <w:spacing w:line="276" w:lineRule="auto"/>
        <w:rPr>
          <w:b/>
          <w:bCs/>
          <w:lang w:val="en-GB"/>
        </w:rPr>
      </w:pPr>
    </w:p>
    <w:p w14:paraId="6C15FADC" w14:textId="25D5CE90" w:rsidR="00C4280C" w:rsidRPr="00416662" w:rsidRDefault="00C4280C" w:rsidP="00416662">
      <w:pPr>
        <w:pStyle w:val="SMSubheading"/>
        <w:spacing w:line="276" w:lineRule="auto"/>
        <w:rPr>
          <w:b/>
          <w:bCs/>
          <w:i/>
          <w:iCs/>
          <w:u w:val="none"/>
        </w:rPr>
      </w:pPr>
      <w:r w:rsidRPr="00416662">
        <w:rPr>
          <w:b/>
          <w:bCs/>
          <w:i/>
          <w:iCs/>
          <w:u w:val="none"/>
        </w:rPr>
        <w:lastRenderedPageBreak/>
        <w:t>Health analysis</w:t>
      </w:r>
    </w:p>
    <w:p w14:paraId="2A6E631D" w14:textId="77777777" w:rsidR="00C4280C" w:rsidRDefault="00C4280C" w:rsidP="00416662">
      <w:pPr>
        <w:pStyle w:val="SMText"/>
        <w:spacing w:line="276" w:lineRule="auto"/>
        <w:rPr>
          <w:b/>
          <w:bCs/>
          <w:lang w:val="en-GB"/>
        </w:rPr>
      </w:pPr>
    </w:p>
    <w:p w14:paraId="0A3EF270" w14:textId="3789BFE6" w:rsidR="00C4280C" w:rsidRPr="00C4280C" w:rsidRDefault="00C4280C" w:rsidP="00416662">
      <w:pPr>
        <w:pStyle w:val="SMText"/>
        <w:spacing w:line="276" w:lineRule="auto"/>
        <w:ind w:firstLine="0"/>
        <w:rPr>
          <w:lang w:val="en-GB"/>
        </w:rPr>
      </w:pPr>
      <w:r w:rsidRPr="00C4280C">
        <w:rPr>
          <w:lang w:val="en-GB"/>
        </w:rPr>
        <w:t xml:space="preserve">We estimated the mortality and disease burden attributable to dietary and weight-related risk factors by calculating population impact fractions (PIFs) which represent the proportions of disease cases that would be avoided when the risk exposure was changed from a baseline situation to a counterfactual situation. For calculating PIFs, we used the general formula </w:t>
      </w:r>
      <w:r w:rsidRPr="00C4280C">
        <w:rPr>
          <w:lang w:val="en-GB"/>
        </w:rPr>
        <w:fldChar w:fldCharType="begin" w:fldLock="1"/>
      </w:r>
      <w:r w:rsidR="00BB7752">
        <w:rPr>
          <w:lang w:val="en-GB"/>
        </w:rPr>
        <w:instrText xml:space="preserve"> ADDIN ZOTERO_ITEM CSL_CITATION {"citationID":"CJixkzSK","properties":{"formattedCitation":"\\super 11,12\\nosupersub{}","plainCitation":"11,12","noteIndex":0},"citationItems":[{"id":"9UZPP0Go/EjrpSAo4","uris":["http://www.mendeley.com/documents/?uuid=83d2b013-4858-455b-9f59-d66acdc14c74"],"uri":["http://www.mendeley.com/documents/?uuid=83d2b013-4858-455b-9f59-d66acdc14c74"],"itemData":{"author":[{"dropping-particle":"","family":"Murray","given":"Christopher J L","non-dropping-particle":"","parse-names":false,"suffix":""},{"dropping-particle":"","family":"Ezzati","given":"Majid","non-dropping-particle":"","parse-names":false,"suffix":""},{"dropping-particle":"","family":"Lopez","given":"Alan D","non-dropping-particle":"","parse-names":false,"suffix":""},{"dropping-particle":"","family":"Rodgers","given":"Anthony","non-dropping-particle":"","parse-names":false,"suffix":""},{"dropping-particle":"","family":"Hoorn","given":"Stephen","non-dropping-particle":"Vander","parse-names":false,"suffix":""}],"container-title":"Population Health Metrics","id":"ITEM-1","issue":"1","issued":{"date-parts":[["2003","1","17"]]},"page":"1","title":"Comparative quantification of health risks: conceptual framework and methodological issues","type":"article-journal","volume":"1"}},{"id":"9UZPP0Go/36jq0wGO","uris":["http://www.mendeley.com/documents/?uuid=3fcd0a62-4ba9-403b-9c72-101820d00d54"],"uri":["http://www.mendeley.com/documents/?uuid=3fcd0a62-4ba9-403b-9c72-101820d00d54"],"itemData":{"DOI":"10.1016/S0140-6736(12)61899-6","ISSN":"1474-547X","author":[{"dropping-particle":"","family":"Murray","given":"Christopher J L","non-dropping-particle":"","parse-names":false,"suffix":""},{"dropping-particle":"","family":"Ezzati","given":"Majid","non-dropping-particle":"","parse-names":false,"suffix":""},{"dropping-particle":"","family":"Flaxman","given":"Abraham D","non-dropping-particle":"","parse-names":false,"suffix":""},{"dropping-particle":"","family":"Lim","given":"Stephen","non-dropping-particle":"","parse-names":false,"suffix":""},{"dropping-particle":"","family":"Lozano","given":"Rafael","non-dropping-particle":"","parse-names":false,"suffix":""},{"dropping-particle":"","family":"Michaud","given":"Catherine","non-dropping-particle":"","parse-names":false,"suffix":""},{"dropping-particle":"","family":"Naghavi","given":"Mohsen","non-dropping-particle":"","parse-names":false,"suffix":""},{"dropping-particle":"","family":"Salomon","given":"Joshua A","non-dropping-particle":"","parse-names":false,"suffix":""},{"dropping-particle":"","family":"Shibuya","given":"Kenji","non-dropping-particle":"","parse-names":false,"suffix":""},{"dropping-particle":"","family":"Vos","given":"Theo","non-dropping-particle":"","parse-names":false,"suffix":""},{"dropping-particle":"","family":"Wikler","given":"Daniel","non-dropping-particle":"","parse-names":false,"suffix":""},{"dropping-particle":"","family":"Lopez","given":"Alan D","non-dropping-particle":"","parse-names":false,"suffix":""}],"container-title":"Lancet","id":"DNBsr0kA/35B8trSS","issue":"9859","issued":{"date-parts":[["2012"]]},"language":"eng","page":"2063-2066","title":"GBD 2010: design, definitions, and metrics","type":"article-journal","volume":"380"}}],"schema":"https://github.com/citation-style-language/schema/raw/master/csl-citation.json"} </w:instrText>
      </w:r>
      <w:r w:rsidRPr="00C4280C">
        <w:rPr>
          <w:lang w:val="en-GB"/>
        </w:rPr>
        <w:fldChar w:fldCharType="separate"/>
      </w:r>
      <w:r w:rsidR="00BB7752" w:rsidRPr="00BB7752">
        <w:rPr>
          <w:szCs w:val="24"/>
          <w:vertAlign w:val="superscript"/>
        </w:rPr>
        <w:t>11,12</w:t>
      </w:r>
      <w:r w:rsidRPr="00C4280C">
        <w:fldChar w:fldCharType="end"/>
      </w:r>
      <w:r w:rsidRPr="00C4280C">
        <w:rPr>
          <w:lang w:val="en-GB"/>
        </w:rPr>
        <w:t>:</w:t>
      </w:r>
    </w:p>
    <w:p w14:paraId="2BE7657E" w14:textId="77777777" w:rsidR="00C4280C" w:rsidRPr="00C4280C" w:rsidRDefault="00C4280C" w:rsidP="00416662">
      <w:pPr>
        <w:pStyle w:val="SMText"/>
        <w:spacing w:line="276" w:lineRule="auto"/>
        <w:rPr>
          <w:lang w:val="en-GB"/>
        </w:rPr>
      </w:pPr>
      <w:r w:rsidRPr="00C4280C">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7627"/>
        <w:gridCol w:w="699"/>
      </w:tblGrid>
      <w:tr w:rsidR="00C4280C" w:rsidRPr="00C4280C" w14:paraId="20F20AAB" w14:textId="77777777" w:rsidTr="004B5495">
        <w:tc>
          <w:tcPr>
            <w:tcW w:w="704" w:type="dxa"/>
          </w:tcPr>
          <w:p w14:paraId="672D4C17" w14:textId="77777777" w:rsidR="00C4280C" w:rsidRPr="00C4280C" w:rsidRDefault="00C4280C" w:rsidP="00416662">
            <w:pPr>
              <w:pStyle w:val="SMText"/>
              <w:spacing w:line="276" w:lineRule="auto"/>
              <w:rPr>
                <w:lang w:val="en-GB"/>
              </w:rPr>
            </w:pPr>
          </w:p>
        </w:tc>
        <w:tc>
          <w:tcPr>
            <w:tcW w:w="7655" w:type="dxa"/>
          </w:tcPr>
          <w:p w14:paraId="4FCD0CD5" w14:textId="7009ED83" w:rsidR="00C4280C" w:rsidRPr="00C4280C" w:rsidRDefault="00C4280C" w:rsidP="00416662">
            <w:pPr>
              <w:pStyle w:val="SMText"/>
              <w:spacing w:line="276" w:lineRule="auto"/>
              <w:rPr>
                <w:lang w:val="en-GB"/>
              </w:rPr>
            </w:pPr>
            <m:oMathPara>
              <m:oMath>
                <m:r>
                  <w:rPr>
                    <w:rFonts w:ascii="Cambria Math" w:hAnsi="Cambria Math"/>
                    <w:lang w:val="de-DE"/>
                  </w:rPr>
                  <m:t>PIF</m:t>
                </m:r>
                <m:r>
                  <w:rPr>
                    <w:rFonts w:ascii="Cambria Math" w:hAnsi="Cambria Math"/>
                    <w:lang w:val="en-GB"/>
                  </w:rPr>
                  <m:t>=</m:t>
                </m:r>
                <m:f>
                  <m:fPr>
                    <m:ctrlPr>
                      <w:rPr>
                        <w:rFonts w:ascii="Cambria Math" w:hAnsi="Cambria Math"/>
                        <w:i/>
                        <w:lang w:val="de-DE"/>
                      </w:rPr>
                    </m:ctrlPr>
                  </m:fPr>
                  <m:num>
                    <m:nary>
                      <m:naryPr>
                        <m:limLoc m:val="undOvr"/>
                        <m:subHide m:val="1"/>
                        <m:supHide m:val="1"/>
                        <m:ctrlPr>
                          <w:rPr>
                            <w:rFonts w:ascii="Cambria Math" w:hAnsi="Cambria Math"/>
                            <w:i/>
                            <w:lang w:val="de-DE"/>
                          </w:rPr>
                        </m:ctrlPr>
                      </m:naryPr>
                      <m:sub/>
                      <m:sup/>
                      <m:e>
                        <m:r>
                          <w:rPr>
                            <w:rFonts w:ascii="Cambria Math" w:hAnsi="Cambria Math"/>
                            <w:lang w:val="de-DE"/>
                          </w:rPr>
                          <m:t>RR</m:t>
                        </m:r>
                        <m:d>
                          <m:dPr>
                            <m:ctrlPr>
                              <w:rPr>
                                <w:rFonts w:ascii="Cambria Math" w:hAnsi="Cambria Math"/>
                                <w:i/>
                                <w:lang w:val="de-DE"/>
                              </w:rPr>
                            </m:ctrlPr>
                          </m:dPr>
                          <m:e>
                            <m:r>
                              <w:rPr>
                                <w:rFonts w:ascii="Cambria Math" w:hAnsi="Cambria Math"/>
                                <w:lang w:val="de-DE"/>
                              </w:rPr>
                              <m:t>x</m:t>
                            </m:r>
                          </m:e>
                        </m:d>
                        <m:r>
                          <w:rPr>
                            <w:rFonts w:ascii="Cambria Math" w:hAnsi="Cambria Math"/>
                            <w:lang w:val="de-DE"/>
                          </w:rPr>
                          <m:t>P</m:t>
                        </m:r>
                        <m:d>
                          <m:dPr>
                            <m:ctrlPr>
                              <w:rPr>
                                <w:rFonts w:ascii="Cambria Math" w:hAnsi="Cambria Math"/>
                                <w:i/>
                                <w:lang w:val="de-DE"/>
                              </w:rPr>
                            </m:ctrlPr>
                          </m:dPr>
                          <m:e>
                            <m:r>
                              <w:rPr>
                                <w:rFonts w:ascii="Cambria Math" w:hAnsi="Cambria Math"/>
                                <w:lang w:val="de-DE"/>
                              </w:rPr>
                              <m:t>x</m:t>
                            </m:r>
                          </m:e>
                        </m:d>
                        <m:r>
                          <w:rPr>
                            <w:rFonts w:ascii="Cambria Math" w:hAnsi="Cambria Math"/>
                            <w:lang w:val="de-DE"/>
                          </w:rPr>
                          <m:t>dx</m:t>
                        </m:r>
                        <m:r>
                          <w:rPr>
                            <w:rFonts w:ascii="Cambria Math" w:hAnsi="Cambria Math"/>
                            <w:lang w:val="en-GB"/>
                          </w:rPr>
                          <m:t>-</m:t>
                        </m:r>
                        <m:nary>
                          <m:naryPr>
                            <m:limLoc m:val="undOvr"/>
                            <m:subHide m:val="1"/>
                            <m:supHide m:val="1"/>
                            <m:ctrlPr>
                              <w:rPr>
                                <w:rFonts w:ascii="Cambria Math" w:hAnsi="Cambria Math"/>
                                <w:i/>
                                <w:lang w:val="de-DE"/>
                              </w:rPr>
                            </m:ctrlPr>
                          </m:naryPr>
                          <m:sub/>
                          <m:sup/>
                          <m:e>
                            <m:r>
                              <w:rPr>
                                <w:rFonts w:ascii="Cambria Math" w:hAnsi="Cambria Math"/>
                                <w:lang w:val="de-DE"/>
                              </w:rPr>
                              <m:t>RR</m:t>
                            </m:r>
                            <m:d>
                              <m:dPr>
                                <m:ctrlPr>
                                  <w:rPr>
                                    <w:rFonts w:ascii="Cambria Math" w:hAnsi="Cambria Math"/>
                                    <w:i/>
                                    <w:lang w:val="de-DE"/>
                                  </w:rPr>
                                </m:ctrlPr>
                              </m:dPr>
                              <m:e>
                                <m:r>
                                  <w:rPr>
                                    <w:rFonts w:ascii="Cambria Math" w:hAnsi="Cambria Math"/>
                                    <w:lang w:val="de-DE"/>
                                  </w:rPr>
                                  <m:t>x</m:t>
                                </m:r>
                              </m:e>
                            </m:d>
                            <m:sSup>
                              <m:sSupPr>
                                <m:ctrlPr>
                                  <w:rPr>
                                    <w:rFonts w:ascii="Cambria Math" w:hAnsi="Cambria Math"/>
                                    <w:i/>
                                    <w:lang w:val="de-DE"/>
                                  </w:rPr>
                                </m:ctrlPr>
                              </m:sSupPr>
                              <m:e>
                                <m:r>
                                  <w:rPr>
                                    <w:rFonts w:ascii="Cambria Math" w:hAnsi="Cambria Math"/>
                                    <w:lang w:val="de-DE"/>
                                  </w:rPr>
                                  <m:t>P</m:t>
                                </m:r>
                              </m:e>
                              <m:sup>
                                <m:r>
                                  <w:rPr>
                                    <w:rFonts w:ascii="Cambria Math" w:hAnsi="Cambria Math"/>
                                    <w:lang w:val="en-GB"/>
                                  </w:rPr>
                                  <m:t>'</m:t>
                                </m:r>
                              </m:sup>
                            </m:sSup>
                            <m:d>
                              <m:dPr>
                                <m:ctrlPr>
                                  <w:rPr>
                                    <w:rFonts w:ascii="Cambria Math" w:hAnsi="Cambria Math"/>
                                    <w:i/>
                                    <w:lang w:val="de-DE"/>
                                  </w:rPr>
                                </m:ctrlPr>
                              </m:dPr>
                              <m:e>
                                <m:r>
                                  <w:rPr>
                                    <w:rFonts w:ascii="Cambria Math" w:hAnsi="Cambria Math"/>
                                    <w:lang w:val="de-DE"/>
                                  </w:rPr>
                                  <m:t>x</m:t>
                                </m:r>
                              </m:e>
                            </m:d>
                            <m:r>
                              <w:rPr>
                                <w:rFonts w:ascii="Cambria Math" w:hAnsi="Cambria Math"/>
                                <w:lang w:val="de-DE"/>
                              </w:rPr>
                              <m:t>dx</m:t>
                            </m:r>
                          </m:e>
                        </m:nary>
                      </m:e>
                    </m:nary>
                  </m:num>
                  <m:den>
                    <m:nary>
                      <m:naryPr>
                        <m:limLoc m:val="undOvr"/>
                        <m:subHide m:val="1"/>
                        <m:supHide m:val="1"/>
                        <m:ctrlPr>
                          <w:rPr>
                            <w:rFonts w:ascii="Cambria Math" w:hAnsi="Cambria Math"/>
                            <w:i/>
                            <w:lang w:val="de-DE"/>
                          </w:rPr>
                        </m:ctrlPr>
                      </m:naryPr>
                      <m:sub/>
                      <m:sup/>
                      <m:e>
                        <m:r>
                          <w:rPr>
                            <w:rFonts w:ascii="Cambria Math" w:hAnsi="Cambria Math"/>
                            <w:lang w:val="de-DE"/>
                          </w:rPr>
                          <m:t>RR</m:t>
                        </m:r>
                        <m:d>
                          <m:dPr>
                            <m:ctrlPr>
                              <w:rPr>
                                <w:rFonts w:ascii="Cambria Math" w:hAnsi="Cambria Math"/>
                                <w:i/>
                                <w:lang w:val="de-DE"/>
                              </w:rPr>
                            </m:ctrlPr>
                          </m:dPr>
                          <m:e>
                            <m:r>
                              <w:rPr>
                                <w:rFonts w:ascii="Cambria Math" w:hAnsi="Cambria Math"/>
                                <w:lang w:val="de-DE"/>
                              </w:rPr>
                              <m:t>x</m:t>
                            </m:r>
                          </m:e>
                        </m:d>
                        <m:r>
                          <w:rPr>
                            <w:rFonts w:ascii="Cambria Math" w:hAnsi="Cambria Math"/>
                            <w:lang w:val="de-DE"/>
                          </w:rPr>
                          <m:t>P</m:t>
                        </m:r>
                        <m:d>
                          <m:dPr>
                            <m:ctrlPr>
                              <w:rPr>
                                <w:rFonts w:ascii="Cambria Math" w:hAnsi="Cambria Math"/>
                                <w:i/>
                                <w:lang w:val="de-DE"/>
                              </w:rPr>
                            </m:ctrlPr>
                          </m:dPr>
                          <m:e>
                            <m:r>
                              <w:rPr>
                                <w:rFonts w:ascii="Cambria Math" w:hAnsi="Cambria Math"/>
                                <w:lang w:val="de-DE"/>
                              </w:rPr>
                              <m:t>x</m:t>
                            </m:r>
                          </m:e>
                        </m:d>
                        <m:r>
                          <w:rPr>
                            <w:rFonts w:ascii="Cambria Math" w:hAnsi="Cambria Math"/>
                            <w:lang w:val="de-DE"/>
                          </w:rPr>
                          <m:t>dx</m:t>
                        </m:r>
                      </m:e>
                    </m:nary>
                  </m:den>
                </m:f>
              </m:oMath>
            </m:oMathPara>
          </w:p>
        </w:tc>
        <w:tc>
          <w:tcPr>
            <w:tcW w:w="703" w:type="dxa"/>
            <w:vAlign w:val="center"/>
          </w:tcPr>
          <w:p w14:paraId="08723899" w14:textId="77777777" w:rsidR="00C4280C" w:rsidRPr="00C4280C" w:rsidRDefault="00C4280C" w:rsidP="00416662">
            <w:pPr>
              <w:pStyle w:val="SMText"/>
              <w:spacing w:line="276" w:lineRule="auto"/>
              <w:rPr>
                <w:i/>
                <w:lang w:val="en-GB"/>
              </w:rPr>
            </w:pPr>
          </w:p>
        </w:tc>
      </w:tr>
    </w:tbl>
    <w:p w14:paraId="009007BC" w14:textId="77777777" w:rsidR="00C4280C" w:rsidRPr="00C4280C" w:rsidRDefault="00C4280C" w:rsidP="00416662">
      <w:pPr>
        <w:pStyle w:val="SMText"/>
        <w:spacing w:line="276" w:lineRule="auto"/>
        <w:rPr>
          <w:lang w:val="en-GB"/>
        </w:rPr>
      </w:pPr>
    </w:p>
    <w:p w14:paraId="308560F5" w14:textId="5ACA7B69" w:rsidR="00C4280C" w:rsidRPr="00C4280C" w:rsidRDefault="00C4280C" w:rsidP="00416662">
      <w:pPr>
        <w:pStyle w:val="SMText"/>
        <w:spacing w:line="276" w:lineRule="auto"/>
        <w:ind w:firstLine="0"/>
        <w:rPr>
          <w:lang w:val="en-GB"/>
        </w:rPr>
      </w:pPr>
      <w:r w:rsidRPr="00C4280C">
        <w:rPr>
          <w:lang w:val="en-GB"/>
        </w:rPr>
        <w:t xml:space="preserve">where </w:t>
      </w:r>
      <m:oMath>
        <m:r>
          <w:rPr>
            <w:rFonts w:ascii="Cambria Math" w:hAnsi="Cambria Math"/>
            <w:lang w:val="en-GB"/>
          </w:rPr>
          <m:t>RR</m:t>
        </m:r>
        <m:d>
          <m:dPr>
            <m:ctrlPr>
              <w:rPr>
                <w:rFonts w:ascii="Cambria Math" w:hAnsi="Cambria Math"/>
                <w:i/>
                <w:lang w:val="en-GB"/>
              </w:rPr>
            </m:ctrlPr>
          </m:dPr>
          <m:e>
            <m:r>
              <w:rPr>
                <w:rFonts w:ascii="Cambria Math" w:hAnsi="Cambria Math"/>
                <w:lang w:val="en-GB"/>
              </w:rPr>
              <m:t>x</m:t>
            </m:r>
          </m:e>
        </m:d>
      </m:oMath>
      <w:r w:rsidRPr="00C4280C">
        <w:rPr>
          <w:lang w:val="en-GB"/>
        </w:rPr>
        <w:t xml:space="preserve"> is the relative risk of disease for risk factor level </w:t>
      </w:r>
      <m:oMath>
        <m:r>
          <w:rPr>
            <w:rFonts w:ascii="Cambria Math" w:hAnsi="Cambria Math"/>
            <w:lang w:val="en-GB"/>
          </w:rPr>
          <m:t>x</m:t>
        </m:r>
      </m:oMath>
      <w:r w:rsidRPr="00C4280C">
        <w:rPr>
          <w:lang w:val="en-GB"/>
        </w:rPr>
        <w:t xml:space="preserve">, </w:t>
      </w:r>
      <m:oMath>
        <m:r>
          <w:rPr>
            <w:rFonts w:ascii="Cambria Math" w:hAnsi="Cambria Math"/>
            <w:lang w:val="en-GB"/>
          </w:rPr>
          <m:t>P</m:t>
        </m:r>
        <m:d>
          <m:dPr>
            <m:ctrlPr>
              <w:rPr>
                <w:rFonts w:ascii="Cambria Math" w:hAnsi="Cambria Math"/>
                <w:i/>
                <w:lang w:val="en-GB"/>
              </w:rPr>
            </m:ctrlPr>
          </m:dPr>
          <m:e>
            <m:r>
              <w:rPr>
                <w:rFonts w:ascii="Cambria Math" w:hAnsi="Cambria Math"/>
                <w:lang w:val="en-GB"/>
              </w:rPr>
              <m:t>x</m:t>
            </m:r>
          </m:e>
        </m:d>
      </m:oMath>
      <w:r w:rsidRPr="00C4280C">
        <w:rPr>
          <w:lang w:val="en-GB"/>
        </w:rPr>
        <w:t xml:space="preserve"> is the number of people in the population with risk factor level </w:t>
      </w:r>
      <m:oMath>
        <m:r>
          <w:rPr>
            <w:rFonts w:ascii="Cambria Math" w:hAnsi="Cambria Math"/>
            <w:lang w:val="en-GB"/>
          </w:rPr>
          <m:t>x</m:t>
        </m:r>
      </m:oMath>
      <w:r w:rsidRPr="00C4280C">
        <w:rPr>
          <w:lang w:val="en-GB"/>
        </w:rPr>
        <w:t xml:space="preserve"> in the baseline scenario, and </w:t>
      </w:r>
      <m:oMath>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m:t>
            </m:r>
          </m:sup>
        </m:sSup>
        <m:d>
          <m:dPr>
            <m:ctrlPr>
              <w:rPr>
                <w:rFonts w:ascii="Cambria Math" w:hAnsi="Cambria Math"/>
                <w:i/>
                <w:lang w:val="en-GB"/>
              </w:rPr>
            </m:ctrlPr>
          </m:dPr>
          <m:e>
            <m:r>
              <w:rPr>
                <w:rFonts w:ascii="Cambria Math" w:hAnsi="Cambria Math"/>
                <w:lang w:val="en-GB"/>
              </w:rPr>
              <m:t>x</m:t>
            </m:r>
          </m:e>
        </m:d>
      </m:oMath>
      <w:r w:rsidRPr="00C4280C">
        <w:rPr>
          <w:lang w:val="en-GB"/>
        </w:rPr>
        <w:t xml:space="preserve"> is the number of people in the population with risk factor level </w:t>
      </w:r>
      <m:oMath>
        <m:r>
          <w:rPr>
            <w:rFonts w:ascii="Cambria Math" w:hAnsi="Cambria Math"/>
            <w:lang w:val="en-GB"/>
          </w:rPr>
          <m:t>x</m:t>
        </m:r>
      </m:oMath>
      <w:r w:rsidRPr="00C4280C">
        <w:rPr>
          <w:lang w:val="en-GB"/>
        </w:rPr>
        <w:t xml:space="preserve"> in the counterfactual scenario. We assumed that changes in relative risks follow a dose-response relationship, and that PIFs combine multiplicatively,</w:t>
      </w:r>
      <w:r w:rsidRPr="00C4280C">
        <w:rPr>
          <w:lang w:val="fr-CH"/>
        </w:rPr>
        <w:t xml:space="preserve"> i.e. </w:t>
      </w:r>
      <m:oMath>
        <m:r>
          <w:rPr>
            <w:rFonts w:ascii="Cambria Math" w:hAnsi="Cambria Math"/>
            <w:lang w:val="en-GB"/>
          </w:rPr>
          <m:t>PIF</m:t>
        </m:r>
        <m:r>
          <w:rPr>
            <w:rFonts w:ascii="Cambria Math" w:hAnsi="Cambria Math"/>
            <w:lang w:val="fr-CH"/>
          </w:rPr>
          <m:t>=1-</m:t>
        </m:r>
        <m:nary>
          <m:naryPr>
            <m:chr m:val="∏"/>
            <m:limLoc m:val="subSup"/>
            <m:supHide m:val="1"/>
            <m:ctrlPr>
              <w:rPr>
                <w:rFonts w:ascii="Cambria Math" w:hAnsi="Cambria Math"/>
                <w:i/>
                <w:lang w:val="en-GB"/>
              </w:rPr>
            </m:ctrlPr>
          </m:naryPr>
          <m:sub>
            <m:r>
              <w:rPr>
                <w:rFonts w:ascii="Cambria Math" w:hAnsi="Cambria Math"/>
                <w:lang w:val="en-GB"/>
              </w:rPr>
              <m:t>i</m:t>
            </m:r>
          </m:sub>
          <m:sup/>
          <m:e>
            <m:r>
              <w:rPr>
                <w:rFonts w:ascii="Cambria Math" w:hAnsi="Cambria Math"/>
                <w:lang w:val="fr-CH"/>
              </w:rPr>
              <m:t>(1-</m:t>
            </m:r>
            <m:r>
              <w:rPr>
                <w:rFonts w:ascii="Cambria Math" w:hAnsi="Cambria Math"/>
                <w:lang w:val="en-GB"/>
              </w:rPr>
              <m:t>PI</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r>
              <w:rPr>
                <w:rFonts w:ascii="Cambria Math" w:hAnsi="Cambria Math"/>
                <w:lang w:val="fr-CH"/>
              </w:rPr>
              <m:t>)</m:t>
            </m:r>
          </m:e>
        </m:nary>
      </m:oMath>
      <w:r w:rsidRPr="00C4280C">
        <w:rPr>
          <w:lang w:val="fr-CH"/>
        </w:rPr>
        <w:t xml:space="preserve"> </w:t>
      </w:r>
      <w:r w:rsidRPr="00C4280C">
        <w:rPr>
          <w:lang w:val="en-GB"/>
        </w:rPr>
        <w:t xml:space="preserve">where the </w:t>
      </w:r>
      <w:r w:rsidRPr="00C4280C">
        <w:rPr>
          <w:i/>
          <w:lang w:val="en-GB"/>
        </w:rPr>
        <w:t>i</w:t>
      </w:r>
      <w:r w:rsidRPr="00C4280C">
        <w:rPr>
          <w:lang w:val="en-GB"/>
        </w:rPr>
        <w:t xml:space="preserve">’s denote independent risk factors </w:t>
      </w:r>
      <w:r w:rsidR="00A05BAC" w:rsidRPr="00C4280C">
        <w:rPr>
          <w:lang w:val="en-GB"/>
        </w:rPr>
        <w:fldChar w:fldCharType="begin" w:fldLock="1"/>
      </w:r>
      <w:r w:rsidR="00BB7752">
        <w:rPr>
          <w:lang w:val="en-GB"/>
        </w:rPr>
        <w:instrText xml:space="preserve"> ADDIN ZOTERO_ITEM CSL_CITATION {"citationID":"YU9rhDhG","properties":{"formattedCitation":"\\super 11,12\\nosupersub{}","plainCitation":"11,12","noteIndex":0},"citationItems":[{"id":"9UZPP0Go/EjrpSAo4","uris":["http://www.mendeley.com/documents/?uuid=83d2b013-4858-455b-9f59-d66acdc14c74"],"uri":["http://www.mendeley.com/documents/?uuid=83d2b013-4858-455b-9f59-d66acdc14c74"],"itemData":{"author":[{"dropping-particle":"","family":"Murray","given":"Christopher J L","non-dropping-particle":"","parse-names":false,"suffix":""},{"dropping-particle":"","family":"Ezzati","given":"Majid","non-dropping-particle":"","parse-names":false,"suffix":""},{"dropping-particle":"","family":"Lopez","given":"Alan D","non-dropping-particle":"","parse-names":false,"suffix":""},{"dropping-particle":"","family":"Rodgers","given":"Anthony","non-dropping-particle":"","parse-names":false,"suffix":""},{"dropping-particle":"","family":"Hoorn","given":"Stephen","non-dropping-particle":"Vander","parse-names":false,"suffix":""}],"container-title":"Population Health Metrics","id":"ITEM-1","issue":"1","issued":{"date-parts":[["2003","1","17"]]},"page":"1","title":"Comparative quantification of health risks: conceptual framework and methodological issues","type":"article-journal","volume":"1"}},{"id":"9UZPP0Go/36jq0wGO","uris":["http://www.mendeley.com/documents/?uuid=3fcd0a62-4ba9-403b-9c72-101820d00d54"],"uri":["http://www.mendeley.com/documents/?uuid=3fcd0a62-4ba9-403b-9c72-101820d00d54"],"itemData":{"DOI":"10.1016/S0140-6736(12)61899-6","ISSN":"1474-547X","author":[{"dropping-particle":"","family":"Murray","given":"Christopher J L","non-dropping-particle":"","parse-names":false,"suffix":""},{"dropping-particle":"","family":"Ezzati","given":"Majid","non-dropping-particle":"","parse-names":false,"suffix":""},{"dropping-particle":"","family":"Flaxman","given":"Abraham D","non-dropping-particle":"","parse-names":false,"suffix":""},{"dropping-particle":"","family":"Lim","given":"Stephen","non-dropping-particle":"","parse-names":false,"suffix":""},{"dropping-particle":"","family":"Lozano","given":"Rafael","non-dropping-particle":"","parse-names":false,"suffix":""},{"dropping-particle":"","family":"Michaud","given":"Catherine","non-dropping-particle":"","parse-names":false,"suffix":""},{"dropping-particle":"","family":"Naghavi","given":"Mohsen","non-dropping-particle":"","parse-names":false,"suffix":""},{"dropping-particle":"","family":"Salomon","given":"Joshua A","non-dropping-particle":"","parse-names":false,"suffix":""},{"dropping-particle":"","family":"Shibuya","given":"Kenji","non-dropping-particle":"","parse-names":false,"suffix":""},{"dropping-particle":"","family":"Vos","given":"Theo","non-dropping-particle":"","parse-names":false,"suffix":""},{"dropping-particle":"","family":"Wikler","given":"Daniel","non-dropping-particle":"","parse-names":false,"suffix":""},{"dropping-particle":"","family":"Lopez","given":"Alan D","non-dropping-particle":"","parse-names":false,"suffix":""}],"container-title":"Lancet","id":"DNBsr0kA/35B8trSS","issue":"9859","issued":{"date-parts":[["2012"]]},"language":"eng","page":"2063-2066","title":"GBD 2010: design, definitions, and metrics","type":"article-journal","volume":"380"}}],"schema":"https://github.com/citation-style-language/schema/raw/master/csl-citation.json"} </w:instrText>
      </w:r>
      <w:r w:rsidR="00A05BAC" w:rsidRPr="00C4280C">
        <w:rPr>
          <w:lang w:val="en-GB"/>
        </w:rPr>
        <w:fldChar w:fldCharType="separate"/>
      </w:r>
      <w:r w:rsidR="00BB7752" w:rsidRPr="00BB7752">
        <w:rPr>
          <w:szCs w:val="24"/>
          <w:vertAlign w:val="superscript"/>
        </w:rPr>
        <w:t>11,12</w:t>
      </w:r>
      <w:r w:rsidR="00A05BAC" w:rsidRPr="00C4280C">
        <w:fldChar w:fldCharType="end"/>
      </w:r>
      <w:r w:rsidRPr="00C4280C">
        <w:rPr>
          <w:lang w:val="en-GB"/>
        </w:rPr>
        <w:t xml:space="preserve">. </w:t>
      </w:r>
    </w:p>
    <w:p w14:paraId="07E5708C" w14:textId="77777777" w:rsidR="00C4280C" w:rsidRPr="00C4280C" w:rsidRDefault="00C4280C" w:rsidP="00416662">
      <w:pPr>
        <w:pStyle w:val="SMText"/>
        <w:spacing w:line="276" w:lineRule="auto"/>
        <w:rPr>
          <w:lang w:val="en-GB"/>
        </w:rPr>
      </w:pPr>
    </w:p>
    <w:p w14:paraId="081B6C2A" w14:textId="77777777" w:rsidR="00C4280C" w:rsidRPr="00C4280C" w:rsidRDefault="00C4280C" w:rsidP="00416662">
      <w:pPr>
        <w:pStyle w:val="SMText"/>
        <w:spacing w:line="276" w:lineRule="auto"/>
        <w:ind w:firstLine="0"/>
        <w:rPr>
          <w:lang w:val="en-GB"/>
        </w:rPr>
      </w:pPr>
      <w:r w:rsidRPr="00C4280C">
        <w:rPr>
          <w:lang w:val="en-GB"/>
        </w:rPr>
        <w:t xml:space="preserve">The number of avoided deaths due to the change in risk exposure of risk </w:t>
      </w:r>
      <w:proofErr w:type="spellStart"/>
      <w:r w:rsidRPr="00C4280C">
        <w:rPr>
          <w:i/>
          <w:lang w:val="en-GB"/>
        </w:rPr>
        <w:t>i</w:t>
      </w:r>
      <w:proofErr w:type="spellEnd"/>
      <w:r w:rsidRPr="00C4280C">
        <w:rPr>
          <w:lang w:val="en-GB"/>
        </w:rPr>
        <w:t xml:space="preserve">, </w:t>
      </w:r>
      <w:proofErr w:type="spellStart"/>
      <w:r w:rsidRPr="00C4280C">
        <w:rPr>
          <w:i/>
          <w:lang w:val="en-GB"/>
        </w:rPr>
        <w:t>Δdeaths</w:t>
      </w:r>
      <w:r w:rsidRPr="00C4280C">
        <w:rPr>
          <w:vertAlign w:val="subscript"/>
          <w:lang w:val="en-GB"/>
        </w:rPr>
        <w:t>i</w:t>
      </w:r>
      <w:proofErr w:type="spellEnd"/>
      <w:r w:rsidRPr="00C4280C">
        <w:rPr>
          <w:lang w:val="en-GB"/>
        </w:rPr>
        <w:t xml:space="preserve">, was calculated by multiplying the associated PIF by disease-specific death rates, </w:t>
      </w:r>
      <w:r w:rsidRPr="00C4280C">
        <w:rPr>
          <w:i/>
          <w:iCs/>
          <w:lang w:val="en-GB"/>
        </w:rPr>
        <w:t>DR</w:t>
      </w:r>
      <w:r w:rsidRPr="00C4280C">
        <w:rPr>
          <w:lang w:val="en-GB"/>
        </w:rPr>
        <w:t xml:space="preserve">, and by the number of people alive within a population, </w:t>
      </w:r>
      <w:r w:rsidRPr="00C4280C">
        <w:rPr>
          <w:i/>
          <w:iCs/>
          <w:lang w:val="en-GB"/>
        </w:rPr>
        <w:t>P</w:t>
      </w:r>
      <w:r w:rsidRPr="00C4280C">
        <w:rPr>
          <w:lang w:val="en-GB"/>
        </w:rPr>
        <w:t xml:space="preserve">:  </w:t>
      </w:r>
    </w:p>
    <w:p w14:paraId="1F11330E" w14:textId="77777777" w:rsidR="00C4280C" w:rsidRPr="00C4280C" w:rsidRDefault="00C4280C" w:rsidP="00416662">
      <w:pPr>
        <w:pStyle w:val="SMText"/>
        <w:spacing w:line="276" w:lineRule="auto"/>
        <w:rPr>
          <w:lang w:val="en-GB"/>
        </w:rPr>
      </w:pPr>
    </w:p>
    <w:tbl>
      <w:tblPr>
        <w:tblW w:w="0" w:type="auto"/>
        <w:tblLook w:val="04A0" w:firstRow="1" w:lastRow="0" w:firstColumn="1" w:lastColumn="0" w:noHBand="0" w:noVBand="1"/>
      </w:tblPr>
      <w:tblGrid>
        <w:gridCol w:w="702"/>
        <w:gridCol w:w="7624"/>
        <w:gridCol w:w="700"/>
      </w:tblGrid>
      <w:tr w:rsidR="00C4280C" w:rsidRPr="00C4280C" w14:paraId="1A24FAAB" w14:textId="77777777" w:rsidTr="004B5495">
        <w:tc>
          <w:tcPr>
            <w:tcW w:w="704" w:type="dxa"/>
          </w:tcPr>
          <w:p w14:paraId="71E06D39" w14:textId="77777777" w:rsidR="00C4280C" w:rsidRPr="00C4280C" w:rsidRDefault="00C4280C" w:rsidP="00416662">
            <w:pPr>
              <w:pStyle w:val="SMText"/>
              <w:spacing w:line="276" w:lineRule="auto"/>
              <w:rPr>
                <w:lang w:val="en-GB"/>
              </w:rPr>
            </w:pPr>
          </w:p>
        </w:tc>
        <w:tc>
          <w:tcPr>
            <w:tcW w:w="7655" w:type="dxa"/>
          </w:tcPr>
          <w:p w14:paraId="49CB10B1" w14:textId="532EE31D" w:rsidR="00C4280C" w:rsidRPr="00C4280C" w:rsidRDefault="00C4280C" w:rsidP="00416662">
            <w:pPr>
              <w:pStyle w:val="SMText"/>
              <w:spacing w:line="276" w:lineRule="auto"/>
              <w:rPr>
                <w:lang w:val="en-GB"/>
              </w:rPr>
            </w:pPr>
            <m:oMathPara>
              <m:oMath>
                <m:r>
                  <w:rPr>
                    <w:rFonts w:ascii="Cambria Math" w:hAnsi="Cambria Math"/>
                    <w:lang w:val="en-GB"/>
                  </w:rPr>
                  <m:t>Δdeath</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r>
                  <w:rPr>
                    <w:rFonts w:ascii="Cambria Math" w:hAnsi="Cambria Math"/>
                    <w:lang w:val="en-GB"/>
                  </w:rPr>
                  <m:t>(r,a,d)=PI</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r>
                  <w:rPr>
                    <w:rFonts w:ascii="Cambria Math" w:hAnsi="Cambria Math"/>
                    <w:lang w:val="en-GB"/>
                  </w:rPr>
                  <m:t>(r,d)∙DR(r,a,d)∙P(r,a)</m:t>
                </m:r>
              </m:oMath>
            </m:oMathPara>
          </w:p>
        </w:tc>
        <w:tc>
          <w:tcPr>
            <w:tcW w:w="703" w:type="dxa"/>
            <w:vAlign w:val="center"/>
          </w:tcPr>
          <w:p w14:paraId="0E4C249B" w14:textId="77777777" w:rsidR="00C4280C" w:rsidRPr="00C4280C" w:rsidRDefault="00C4280C" w:rsidP="00416662">
            <w:pPr>
              <w:pStyle w:val="SMText"/>
              <w:spacing w:line="276" w:lineRule="auto"/>
              <w:rPr>
                <w:i/>
                <w:lang w:val="en-GB"/>
              </w:rPr>
            </w:pPr>
          </w:p>
        </w:tc>
      </w:tr>
    </w:tbl>
    <w:p w14:paraId="05F42B2E" w14:textId="77777777" w:rsidR="00416662" w:rsidRDefault="00416662" w:rsidP="00416662">
      <w:pPr>
        <w:pStyle w:val="SMText"/>
        <w:spacing w:line="276" w:lineRule="auto"/>
        <w:ind w:firstLine="0"/>
        <w:rPr>
          <w:lang w:val="en-GB"/>
        </w:rPr>
      </w:pPr>
    </w:p>
    <w:p w14:paraId="17B139FB" w14:textId="7DD24028" w:rsidR="00C4280C" w:rsidRPr="00C4280C" w:rsidRDefault="00C4280C" w:rsidP="00416662">
      <w:pPr>
        <w:pStyle w:val="SMText"/>
        <w:spacing w:line="276" w:lineRule="auto"/>
        <w:ind w:firstLine="0"/>
        <w:rPr>
          <w:lang w:val="en-GB"/>
        </w:rPr>
      </w:pPr>
      <w:r w:rsidRPr="00C4280C">
        <w:rPr>
          <w:lang w:val="en-GB"/>
        </w:rPr>
        <w:t xml:space="preserve">where PIFs are differentiated by region </w:t>
      </w:r>
      <w:r w:rsidRPr="00C4280C">
        <w:rPr>
          <w:i/>
          <w:lang w:val="en-GB"/>
        </w:rPr>
        <w:t>r</w:t>
      </w:r>
      <w:r w:rsidRPr="00C4280C">
        <w:rPr>
          <w:lang w:val="en-GB"/>
        </w:rPr>
        <w:t xml:space="preserve"> and disease/cause of death </w:t>
      </w:r>
      <w:r w:rsidRPr="00C4280C">
        <w:rPr>
          <w:i/>
          <w:lang w:val="en-GB"/>
        </w:rPr>
        <w:t>d</w:t>
      </w:r>
      <w:r w:rsidRPr="00C4280C">
        <w:rPr>
          <w:lang w:val="en-GB"/>
        </w:rPr>
        <w:t xml:space="preserve">; the death rates are differentiated by region, age group </w:t>
      </w:r>
      <w:r w:rsidRPr="00C4280C">
        <w:rPr>
          <w:i/>
          <w:lang w:val="en-GB"/>
        </w:rPr>
        <w:t>a</w:t>
      </w:r>
      <w:r w:rsidRPr="00C4280C">
        <w:rPr>
          <w:lang w:val="en-GB"/>
        </w:rPr>
        <w:t>, and disease; the population groups are differentiated by region and age group; and the change in the number of deaths is differentiated by region, age group and disease.</w:t>
      </w:r>
    </w:p>
    <w:p w14:paraId="616A64C2" w14:textId="77777777" w:rsidR="00416662" w:rsidRDefault="00416662" w:rsidP="00416662">
      <w:pPr>
        <w:pStyle w:val="SMText"/>
        <w:spacing w:line="276" w:lineRule="auto"/>
        <w:ind w:firstLine="0"/>
        <w:rPr>
          <w:lang w:val="en-GB"/>
        </w:rPr>
      </w:pPr>
    </w:p>
    <w:p w14:paraId="6DA48943" w14:textId="517610AA" w:rsidR="00C4280C" w:rsidRPr="00C4280C" w:rsidRDefault="00C4280C" w:rsidP="00416662">
      <w:pPr>
        <w:pStyle w:val="SMText"/>
        <w:spacing w:line="276" w:lineRule="auto"/>
        <w:ind w:firstLine="0"/>
        <w:rPr>
          <w:lang w:val="en-GB"/>
        </w:rPr>
      </w:pPr>
      <w:r w:rsidRPr="00C4280C">
        <w:rPr>
          <w:lang w:val="en-GB"/>
        </w:rPr>
        <w:t xml:space="preserve">We used publicly available data sources to parameterize the comparative risk analysis. Mortality and population data were adopted from the Global Burden of Disease project </w:t>
      </w:r>
      <w:r w:rsidRPr="00C4280C">
        <w:rPr>
          <w:lang w:val="en-GB"/>
        </w:rPr>
        <w:fldChar w:fldCharType="begin" w:fldLock="1"/>
      </w:r>
      <w:r w:rsidR="00BB7752">
        <w:rPr>
          <w:lang w:val="en-GB"/>
        </w:rPr>
        <w:instrText xml:space="preserve"> ADDIN ZOTERO_ITEM CSL_CITATION {"citationID":"Mnx2Pxww","properties":{"formattedCitation":"\\super 13\\nosupersub{}","plainCitation":"13","noteIndex":0},"citationItems":[{"id":8995,"uris":["http://zotero.org/users/14122/items/CZADXFDP"],"uri":["http://zotero.org/users/14122/items/CZADXFDP"],"itemData":{"id":8995,"type":"article-journal","abstract":"&lt;h2&gt;Summary&lt;/h2&gt;&lt;h3&gt;Background&lt;/h3&gt;&lt;p&gt;Global development goals increasingly rely on country-specific estimates for benchmarking a nation's progress. To meet this need, the Global Burden of Diseases, Injuries, and Risk Factors Study (GBD) 2016 estimated global, regional, national, and, for selected locations, subnational cause-specific mortality beginning in the year 1980. Here we report an update to that study, making use of newly available data and improved methods. GBD 2017 provides a comprehensive assessment of cause-specific mortality for 282 causes in 195 countries and territories from 1980 to 2017.&lt;/p&gt;&lt;h3&gt;Methods&lt;/h3&gt;&lt;p&gt;The causes of death database is composed of vital registration (VR), verbal autopsy (VA), registry, survey, police, and surveillance data. GBD 2017 added ten VA studies, 127 country-years of VR data, 502 cancer-registry country-years, and an additional surveillance country-year. Expansions of the GBD cause of death hierarchy resulted in 18 additional causes estimated for GBD 2017. Newly available data led to subnational estimates for five additional countries—Ethiopia, Iran, New Zealand, Norway, and Russia. Deaths assigned International Classification of Diseases (ICD) codes for non-specific, implausible, or intermediate causes of death were reassigned to underlying causes by redistribution algorithms that were incorporated into uncertainty estimation. We used statistical modelling tools developed for GBD, including the Cause of Death Ensemble model (CODEm), to generate cause fractions and cause-specific death rates for each location, year, age, and sex. Instead of using UN estimates as in previous versions, GBD 2017 independently estimated population size and fertility rate for all locations. Years of life lost (YLLs) were then calculated as the sum of each death multiplied by the standard life expectancy at each age. All rates reported here are age-standardised.&lt;/p&gt;&lt;h3&gt;Findings&lt;/h3&gt;&lt;p&gt;At the broadest grouping of causes of death (Level 1), non-communicable diseases (NCDs) comprised the greatest fraction of deaths, contributing to 73·4% (95% uncertainty interval [UI] 72·5–74·1) of total deaths in 2017, while communicable, maternal, neonatal, and nutritional (CMNN) causes accounted for 18·6% (17·9–19·6), and injuries 8·0% (7·7–8·2). Total numbers of deaths from NCD causes increased from 2007 to 2017 by 22·7% (21·5–23·9), representing an additional 7·61 million (7·20–8·01) deaths estimated in 2017 versus 2007. The death rate from NCDs decreased globally by 7·9% (7·0–8·8). The number of deaths for CMNN causes decreased by 22·2% (20·0–24·0) and the death rate by 31·8% (30·1–33·3). Total deaths from injuries increased by 2·3% (0·5–4·0) between 2007 and 2017, and the death rate from injuries decreased by 13·7% (12·2–15·1) to 57·9 deaths (55·9–59·2) per 100 000 in 2017. Deaths from substance use disorders also increased, rising from 284 000 deaths (268 000–289 000) globally in 2007 to 352 000 (334 000–363 000) in 2017. Between 2007 and 2017, total deaths from conflict and terrorism increased by 118·0% (88·8–148·6). A greater reduction in total deaths and death rates was observed for some CMNN causes among children younger than 5 years than for older adults, such as a 36·4% (32·2–40·6) reduction in deaths from lower respiratory infections for children younger than 5 years compared with a 33·6% (31·2–36·1) increase in adults older than 70 years. Globally, the number of deaths was greater for men than for women at most ages in 2017, except at ages older than 85 years. Trends in global YLLs reflect an epidemiological transition, with decreases in total YLLs from enteric infections, respiratory infections and tuberculosis, and maternal and neonatal disorders between 1990 and 2017; these were generally greater in magnitude at the lowest levels of the Socio-demographic Index (SDI). At the same time, there were large increases in YLLs from neoplasms and cardiovascular diseases. YLL rates decreased across the five leading Level 2 causes in all SDI quintiles. The leading causes of YLLs in 1990—neonatal disorders, lower respiratory infections, and diarrhoeal diseases—were ranked second, fourth, and fifth, in 2017. Meanwhile, estimated YLLs increased for ischaemic heart disease (ranked first in 2017) and stroke (ranked third), even though YLL rates decreased. Population growth contributed to increased total deaths across the 20 leading Level 2 causes of mortality between 2007 and 2017. Decreases in the cause-specific mortality rate reduced the effect of population growth for all but three causes: substance use disorders, neurological disorders, and skin and subcutaneous diseases.&lt;/p&gt;&lt;h3&gt;Interpretation&lt;/h3&gt;&lt;p&gt;Improvements in global health have been unevenly distributed among populations. Deaths due to injuries, substance use disorders, armed conflict and terrorism, neoplasms, and cardiovascular disease are expanding threats to global health. For causes of death such as lower respiratory and enteric infections, more rapid progress occurred for children than for the oldest adults, and there is continuing disparity in mortality rates by sex across age groups. Reductions in the death rate of some common diseases are themselves slowing or have ceased, primarily for NCDs, and the death rate for selected causes has increased in the past decade.&lt;/p&gt;&lt;h3&gt;Funding&lt;/h3&gt;&lt;p&gt;Bill &amp; Melinda Gates Foundation.&lt;/p&gt;","container-title":"The Lancet","DOI":"10.1016/S0140-6736(18)32203-7","ISSN":"0140-6736, 1474-547X","issue":"10159","journalAbbreviation":"The Lancet","language":"English","note":"publisher: Elsevier\nPMID: 30496103","page":"1736-1788","source":"www.thelancet.com","title":"Global, regional, and national age-sex-specific mortality for 282 causes of death in 195 countries and territories, 1980–2017: a systematic analysis for the Global Burden of Disease Study 2017","title-short":"Global, regional, and national age-sex-specific mortality for 282 causes of death in 195 countries and territories, 1980–2017","volume":"392","author":[{"family":"GBD 2017 Causes of Death Collaborators","given":""},{"family":"Roth","given":"Gregory A."},{"family":"Abate","given":"Degu"},{"family":"Abate","given":"Kalkidan Hassen"},{"family":"Abay","given":"Solomon M."},{"family":"Abbafati","given":"Cristiana"},{"family":"Abbasi","given":"Nooshin"},{"family":"Abbastabar","given":"Hedayat"},{"family":"Abd-Allah","given":"Foad"},{"family":"Abdela","given":"Jemal"},{"family":"Abdelalim","given":"Ahmed"},{"family":"Abdollahpour","given":"Ibrahim"},{"family":"Abdulkader","given":"Rizwan Suliankatchi"},{"family":"Abebe","given":"Haftom Temesgen"},{"family":"Abebe","given":"Molla"},{"family":"Abebe","given":"Zegeye"},{"family":"Abejie","given":"Ayenew Negesse"},{"family":"Abera","given":"Semaw F."},{"family":"Abil","given":"Olifan Zewdie"},{"family":"Abraha","given":"Haftom Niguse"},{"family":"Abrham","given":"Aklilu Roba"},{"family":"Abu-Raddad","given":"Laith Jamal"},{"family":"Accrombessi","given":"Manfred Mario Kokou"},{"family":"Acharya","given":"Dilaram"},{"family":"Adamu","given":"Abdu A."},{"family":"Adebayo","given":"Oladimeji M."},{"family":"Adedoyin","given":"Rufus Adesoji"},{"family":"Adekanmbi","given":"Victor"},{"family":"Adetokunboh","given":"Olatunji O."},{"family":"Adhena","given":"Beyene Meressa"},{"family":"Adib","given":"Mina G."},{"family":"Admasie","given":"Amha"},{"family":"Afshin","given":"Ashkan"},{"family":"Agarwal","given":"Gina"},{"family":"Agesa","given":"Kareha M."},{"family":"Agrawal","given":"Anurag"},{"family":"Agrawal","given":"Sutapa"},{"family":"Ahmadi","given":"Alireza"},{"family":"Ahmadi","given":"Mehdi"},{"family":"Ahmed","given":"Muktar Beshir"},{"family":"Ahmed","given":"Sayem"},{"family":"Aichour","given":"Amani Nidhal"},{"family":"Aichour","given":"Ibtihel"},{"family":"Aichour","given":"Miloud Taki Eddine"},{"family":"Akbari","given":"Mohammad Esmaeil"},{"family":"Akinyemi","given":"Rufus Olusola"},{"family":"Akseer","given":"Nadia"},{"family":"Al-Aly","given":"Ziyad"},{"family":"Al-Eyadhy","given":"Ayman"},{"family":"Al-Raddadi","given":"Rajaa M."},{"family":"Alahdab","given":"Fares"},{"family":"Alam","given":"Khurshid"},{"family":"Alam","given":"Tahiya"},{"family":"Alebel","given":"Animut"},{"family":"Alene","given":"Kefyalew Addis"},{"family":"Alijanzadeh","given":"Mehran"},{"family":"Alizadeh-Navaei","given":"Reza"},{"family":"Aljunid","given":"Syed Mohamed"},{"family":"Alkerwi","given":"Ala'a"},{"family":"Alla","given":"François"},{"family":"Allebeck","given":"Peter"},{"family":"Alonso","given":"Jordi"},{"family":"Altirkawi","given":"Khalid"},{"family":"Alvis-Guzman","given":"Nelson"},{"family":"Amare","given":"Azmeraw T."},{"family":"Aminde","given":"Leopold N."},{"family":"Amini","given":"Erfan"},{"family":"Ammar","given":"Walid"},{"family":"Amoako","given":"Yaw Ampem"},{"family":"Anber","given":"Nahla Hamed"},{"family":"Andrei","given":"Catalina Liliana"},{"family":"Androudi","given":"Sofia"},{"family":"Animut","given":"Megbaru Debalkie"},{"family":"Anjomshoa","given":"Mina"},{"family":"Ansari","given":"Hossein"},{"family":"Ansha","given":"Mustafa Geleto"},{"family":"Antonio","given":"Carl Abelardo T."},{"family":"Anwari","given":"Palwasha"},{"family":"Aremu","given":"Olatunde"},{"family":"Ärnlöv","given":"Johan"},{"family":"Arora","given":"Amit"},{"family":"Arora","given":"Monika"},{"family":"Artaman","given":"Al"},{"family":"Aryal","given":"Krishna K."},{"family":"Asayesh","given":"Hamid"},{"family":"Asfaw","given":"Ephrem Tsegay"},{"family":"Ataro","given":"Zerihun"},{"family":"Atique","given":"Suleman"},{"family":"Atre","given":"Sachin R."},{"family":"Ausloos","given":"Marcel"},{"family":"Avokpaho","given":"Euripide F. G. A."},{"family":"Awasthi","given":"Ashish"},{"family":"Quintanilla","given":"Beatriz Paulina Ayala"},{"family":"Ayele","given":"Yohanes"},{"family":"Ayer","given":"Rakesh"},{"family":"Azzopardi","given":"Peter S."},{"family":"Babazadeh","given":"Arefeh"},{"family":"Bacha","given":"Umar"},{"family":"Badali","given":"Hamid"},{"family":"Badawi","given":"Alaa"},{"family":"Bali","given":"Ayele Geleto"},{"family":"Ballesteros","given":"Katherine E."},{"family":"Banach","given":"Maciej"},{"family":"Banerjee","given":"Kajori"},{"family":"Bannick","given":"Marlena S."},{"family":"Banoub","given":"Joseph Adel Mattar"},{"family":"Barboza","given":"Miguel A."},{"family":"Barker-Collo","given":"Suzanne Lyn"},{"family":"Bärnighausen","given":"Till Winfried"},{"family":"Barquera","given":"Simon"},{"family":"Barrero","given":"Lope H."},{"family":"Bassat","given":"Quique"},{"family":"Basu","given":"Sanjay"},{"family":"Baune","given":"Bernhard T."},{"family":"Baynes","given":"Habtamu Wondifraw"},{"family":"Bazargan-Hejazi","given":"Shahrzad"},{"family":"Bedi","given":"Neeraj"},{"family":"Beghi","given":"Ettore"},{"family":"Behzadifar","given":"Masoud"},{"family":"Behzadifar","given":"Meysam"},{"family":"Béjot","given":"Yannick"},{"family":"Bekele","given":"Bayu Begashaw"},{"family":"Belachew","given":"Abate Bekele"},{"family":"Belay","given":"Ezra"},{"family":"Belay","given":"Yihalem Abebe"},{"family":"Bell","given":"Michelle L."},{"family":"Bello","given":"Aminu K."},{"family":"Bennett","given":"Derrick A."},{"family":"Bensenor","given":"Isabela M."},{"family":"Berman","given":"Adam E."},{"family":"Bernabe","given":"Eduardo"},{"family":"Bernstein","given":"Robert S."},{"family":"Bertolacci","given":"Gregory J."},{"family":"Beuran","given":"Mircea"},{"family":"Beyranvand","given":"Tina"},{"family":"Bhalla","given":"Ashish"},{"family":"Bhattarai","given":"Suraj"},{"family":"Bhaumik","given":"Soumyadeeep"},{"family":"Bhutta","given":"Zulfiqar A."},{"family":"Biadgo","given":"Belete"},{"family":"Biehl","given":"Molly H."},{"family":"Bijani","given":"Ali"},{"family":"Bikbov","given":"Boris"},{"family":"Bilano","given":"Ver"},{"family":"Bililign","given":"Nigus"},{"family":"Sayeed","given":"Muhammad Shahdaat Bin"},{"family":"Bisanzio","given":"Donal"},{"family":"Biswas","given":"Tuhin"},{"family":"Blacker","given":"Brigette F."},{"family":"Basara","given":"Berrak Bora"},{"family":"Borschmann","given":"Rohan"},{"family":"Bosetti","given":"Cristina"},{"family":"Bozorgmehr","given":"Kayvan"},{"family":"Brady","given":"Oliver J."},{"family":"Brant","given":"Luisa C."},{"family":"Brayne","given":"Carol"},{"family":"Brazinova","given":"Alexandra"},{"family":"Breitborde","given":"Nicholas J. K."},{"family":"Brenner","given":"Hermann"},{"family":"Briant","given":"Paul Svitil"},{"family":"Britton","given":"Gabrielle"},{"family":"Brugha","given":"Traolach"},{"family":"Busse","given":"Reinhard"},{"family":"Butt","given":"Zahid A."},{"family":"Callender","given":"Charlton S. K. H."},{"family":"Campos-Nonato","given":"Ismael R."},{"family":"Rincon","given":"Julio Cesar Campuzano"},{"family":"Cano","given":"Jorge"},{"family":"Car","given":"Mate"},{"family":"Cárdenas","given":"Rosario"},{"family":"Carreras","given":"Giulia"},{"family":"Carrero","given":"Juan J."},{"family":"Carter","given":"Austin"},{"family":"Carvalho","given":"Félix"},{"family":"Castañeda-Orjuela","given":"Carlos A."},{"family":"Rivas","given":"Jacqueline Castillo"},{"family":"Castle","given":"Chris D."},{"family":"Castro","given":"Clara"},{"family":"Castro","given":"Franz"},{"family":"Catalá-López","given":"Ferrán"},{"family":"Cerin","given":"Ester"},{"family":"Chaiah","given":"Yazan"},{"family":"Chang","given":"Jung-Chen"},{"family":"Charlson","given":"Fiona J."},{"family":"Chaturvedi","given":"Pankaj"},{"family":"Chiang","given":"Peggy Pei-Chia"},{"family":"Chimed-Ochir","given":"Odgerel"},{"family":"Chisumpa","given":"Vesper Hichilombwe"},{"family":"Chitheer","given":"Abdulaal"},{"family":"Chowdhury","given":"Rajiv"},{"family":"Christensen","given":"Hanne"},{"family":"Christopher","given":"Devasahayam J."},{"family":"Chung","given":"Sheng-Chia"},{"family":"Cicuttini","given":"Flavia M."},{"family":"Ciobanu","given":"Liliana G."},{"family":"Cirillo","given":"Massimo"},{"family":"Cohen","given":"Aaron J."},{"family":"Cooper","given":"Leslie Trumbull"},{"family":"Cortesi","given":"Paolo Angelo"},{"family":"Cortinovis","given":"Monica"},{"family":"Cousin","given":"Ewerton"},{"family":"Cowie","given":"Benjamin C."},{"family":"Criqui","given":"Michael H."},{"family":"Cromwell","given":"Elizabeth A."},{"family":"Crowe","given":"Christopher Stephen"},{"family":"Crump","given":"John A."},{"family":"Cunningham","given":"Matthew"},{"family":"Daba","given":"Alemneh Kabeta"},{"family":"Dadi","given":"Abel Fekadu"},{"family":"Dandona","given":"Lalit"},{"family":"Dandona","given":"Rakhi"},{"family":"Dang","given":"Anh Kim"},{"family":"Dargan","given":"Paul I."},{"family":"Daryani","given":"Ahmad"},{"family":"Das","given":"Siddharth K."},{"family":"Gupta","given":"Rajat Das"},{"family":"Neves","given":"José Das"},{"family":"Dasa","given":"Tamirat Tesfaye"},{"family":"Dash","given":"Aditya Prasad"},{"family":"Davis","given":"Adrian C."},{"family":"Weaver","given":"Nicole Davis"},{"family":"Davitoiu","given":"Dragos Virgil"},{"family":"Davletov","given":"Kairat"},{"family":"Hoz","given":"Fernando Pio De La"},{"family":"Neve","given":"Jan-Walter De"},{"family":"Degefa","given":"Meaza Girma"},{"family":"Degenhardt","given":"Louisa"},{"family":"Degfie","given":"Tizta T."},{"family":"Deiparine","given":"Selina"},{"family":"Demoz","given":"Gebre Teklemariam"},{"family":"Demtsu","given":"Balem Betsu"},{"family":"Denova-Gutiérrez","given":"Edgar"},{"family":"Deribe","given":"Kebede"},{"family":"Dervenis","given":"Nikolaos"},{"family":"Jarlais","given":"Don C. Des"},{"family":"Dessie","given":"Getenet Ayalew"},{"family":"Dey","given":"Subhojit"},{"family":"Dharmaratne","given":"Samath D."},{"family":"Dicker","given":"Daniel"},{"family":"Dinberu","given":"Mesfin Tadese"},{"family":"Ding","given":"Eric L."},{"family":"Dirac","given":"M. Ashworth"},{"family":"Djalalinia","given":"Shirin"},{"family":"Dokova","given":"Klara"},{"family":"Doku","given":"David Teye"},{"family":"Donnelly","given":"Christl A."},{"family":"Dorsey","given":"E. Ray"},{"family":"Doshi","given":"Pratik P."},{"family":"Douwes-Schultz","given":"Dirk"},{"family":"Doyle","given":"Kerrie E."},{"family":"Driscoll","given":"Tim R."},{"family":"Dubey","given":"Manisha"},{"family":"Dubljanin","given":"Eleonora"},{"family":"Duken","given":"Eyasu Ejeta"},{"family":"Duncan","given":"Bruce B."},{"family":"Duraes","given":"Andre R."},{"family":"Ebrahimi","given":"Hedyeh"},{"family":"Ebrahimpour","given":"Soheil"},{"family":"Edessa","given":"Dumessa"},{"family":"Edvardsson","given":"David"},{"family":"Eggen","given":"Anne Elise"},{"family":"Bcheraoui","given":"Charbel El"},{"family":"Zaki","given":"Maysaa El Sayed"},{"family":"El-Khatib","given":"Ziad"},{"family":"Elkout","given":"Hajer"},{"family":"Ellingsen","given":"Christian Lycke"},{"family":"Endres","given":"Matthias"},{"family":"Endries","given":"Aman Yesuf"},{"family":"Er","given":"Benjamin"},{"family":"Erskine","given":"Holly E."},{"family":"Eshrati","given":"Babak"},{"family":"Eskandarieh","given":"Sharareh"},{"family":"Esmaeili","given":"Reza"},{"family":"Esteghamati","given":"Alireza"},{"family":"Fakhar","given":"Mahdi"},{"family":"Fakhim","given":"Hamed"},{"family":"Faramarzi","given":"Mahbobeh"},{"family":"Fareed","given":"Mohammad"},{"family":"Farhadi","given":"Farzaneh"},{"family":"Farinha","given":"Carla Sofia E.","dropping-particle":"sá"},{"family":"Faro","given":"Andre"},{"family":"Farvid","given":"Maryam S."},{"family":"Farzadfar","given":"Farshad"},{"family":"Farzaei","given":"Mohammad Hosein"},{"family":"Feigin","given":"Valery L."},{"family":"Feigl","given":"Andrea B."},{"family":"Fentahun","given":"Netsanet"},{"family":"Fereshtehnejad","given":"Seyed-Mohammad"},{"family":"Fernandes","given":"Eduarda"},{"family":"Fernandes","given":"Joao C."},{"family":"Ferrari","given":"Alize J."},{"family":"Feyissa","given":"Garumma Tolu"},{"family":"Filip","given":"Irina"},{"family":"Finegold","given":"Samuel"},{"family":"Fischer","given":"Florian"},{"family":"Fitzmaurice","given":"Christina"},{"family":"Foigt","given":"Nataliya A."},{"family":"Foreman","given":"Kyle J."},{"family":"Fornari","given":"Carla"},{"family":"Frank","given":"Tahvi D."},{"family":"Fukumoto","given":"Takeshi"},{"family":"Fuller","given":"John E."},{"family":"Fullman","given":"Nancy"},{"family":"Fürst","given":"Thomas"},{"family":"Furtado","given":"João M."},{"family":"Futran","given":"Neal D."},{"family":"Gallus","given":"Silvano"},{"family":"Garcia-Basteiro","given":"Alberto L."},{"family":"Garcia-Gordillo","given":"Miguel A."},{"family":"Gardner","given":"William M."},{"family":"Gebre","given":"Abadi Kahsu"},{"family":"Gebrehiwot","given":"Tsegaye Tewelde"},{"family":"Gebremedhin","given":"Amanuel Tesfay"},{"family":"Gebremichael","given":"Bereket"},{"family":"Gebremichael","given":"Teklu Gebrehiwo"},{"family":"Gelano","given":"Tilayie Feto"},{"family":"Geleijnse","given":"Johanna M."},{"family":"Genova-Maleras","given":"Ricard"},{"family":"Geramo","given":"Yilma Chisha Dea"},{"family":"Gething","given":"Peter W."},{"family":"Gezae","given":"Kebede Embaye"},{"family":"Ghadami","given":"Mohammad Rasoul"},{"family":"Ghadimi","given":"Reza"},{"family":"Falavarjani","given":"Khalil Ghasemi"},{"family":"Ghasemi-Kasman","given":"Maryam"},{"family":"Ghimire","given":"Mamata"},{"family":"Gibney","given":"Katherine B."},{"family":"Gill","given":"Paramjit Singh"},{"family":"Gill","given":"Tiffany K."},{"family":"Gillum","given":"Richard F."},{"family":"Ginawi","given":"Ibrahim Abdelmageed"},{"family":"Giroud","given":"Maurice"},{"family":"Giussani","given":"Giorgia"},{"family":"Goenka","given":"Shifalika"},{"family":"Goldberg","given":"Ellen M."},{"family":"Goli","given":"Srinivas"},{"family":"Gómez-Dantés","given":"Hector"},{"family":"Gona","given":"Philimon N."},{"family":"Gopalani","given":"Sameer Vali"},{"family":"Gorman","given":"Taren M."},{"family":"Goto","given":"Atsushi"},{"family":"Goulart","given":"Alessandra C."},{"family":"Gnedovskaya","given":"Elena V."},{"family":"Grada","given":"Ayman"},{"family":"Grosso","given":"Giuseppe"},{"family":"Gugnani","given":"Harish Chander"},{"family":"Guimaraes","given":"Andre Luiz Sena"},{"family":"Guo","given":"Yuming"},{"family":"Gupta","given":"Prakash C."},{"family":"Gupta","given":"Rahul"},{"family":"Gupta","given":"Rajeev"},{"family":"Gupta","given":"Tanush"},{"family":"Gutiérrez","given":"Reyna Alma"},{"family":"Gyawali","given":"Bishal"},{"family":"Haagsma","given":"Juanita A."},{"family":"Hafezi-Nejad","given":"Nima"},{"family":"Hagos","given":"Tekleberhan B."},{"family":"Hailegiyorgis","given":"Tewodros Tesfa"},{"family":"Hailu","given":"Gessessew Bugssa"},{"family":"Haj-Mirzaian","given":"Arvin"},{"family":"Haj-Mirzaian","given":"Arya"},{"family":"Hamadeh","given":"Randah R."},{"family":"Hamidi","given":"Samer"},{"family":"Handal","given":"Alexis J."},{"family":"Hankey","given":"Graeme J."},{"family":"Harb","given":"Hilda L."},{"family":"Harikrishnan","given":"Sivadasanpillai"},{"family":"Haro","given":"Josep Maria"},{"family":"Hasan","given":"Mehedi"},{"family":"Hassankhani","given":"Hadi"},{"family":"Hassen","given":"Hamid Yimam"},{"family":"Havmoeller","given":"Rasmus"},{"family":"Hay","given":"Roderick J."},{"family":"Hay","given":"Simon I."},{"family":"He","given":"Yihua"},{"family":"Hedayatizadeh-Omran","given":"Akbar"},{"family":"Hegazy","given":"Mohamed I."},{"family":"Heibati","given":"Behzad"},{"family":"Heidari","given":"Mohsen"},{"family":"Hendrie","given":"Delia"},{"family":"Henok","given":"Andualem"},{"family":"Henry","given":"Nathaniel J."},{"family":"Herteliu","given":"Claudiu"},{"family":"Heydarpour","given":"Fatemeh"},{"family":"Heydarpour","given":"Pouria"},{"family":"Heydarpour","given":"Sousan"},{"family":"Hibstu","given":"Desalegn Tsegaw"},{"family":"Hoek","given":"Hans W."},{"family":"Hole","given":"Michael K."},{"family":"Rad","given":"Enayatollah Homaie"},{"family":"Hoogar","given":"Praveen"},{"family":"Hosgood","given":"H. Dean"},{"family":"Hosseini","given":"Seyed Mostafa"},{"family":"Hosseinzadeh","given":"Mehdi"},{"family":"Hostiuc","given":"Mihaela"},{"family":"Hostiuc","given":"Sorin"},{"family":"Hotez","given":"Peter J."},{"family":"Hoy","given":"Damian G."},{"family":"Hsiao","given":"Thomas"},{"family":"Hu","given":"Guoqing"},{"family":"Huang","given":"John J."},{"family":"Husseini","given":"Abdullatif"},{"family":"Hussen","given":"Mohammedaman Mama"},{"family":"Hutfless","given":"Susan"},{"family":"Idrisov","given":"Bulat"},{"family":"Ilesanmi","given":"Olayinka Stephen"},{"family":"Iqbal","given":"Usman"},{"family":"Irvani","given":"Seyed Sina Naghibi"},{"family":"Irvine","given":"Caleb Mackay Salpeter"},{"family":"Islam","given":"Nazrul"},{"family":"Islam","given":"Sheikh Mohammed Shariful"},{"family":"Islami","given":"Farhad"},{"family":"Jacobsen","given":"Kathryn H."},{"family":"Jahangiry","given":"Leila"},{"family":"Jahanmehr","given":"Nader"},{"family":"Jain","given":"Sudhir Kumar"},{"family":"Jakovljevic","given":"Mihajlo"},{"family":"Jalu","given":"Moti Tolera"},{"family":"James","given":"Spencer L."},{"family":"Javanbakht","given":"Mehdi"},{"family":"Jayatilleke","given":"Achala Upendra"},{"family":"Jeemon","given":"Panniyammakal"},{"family":"Jenkins","given":"Kathy J."},{"family":"Jha","given":"Ravi Prakash"},{"family":"Jha","given":"Vivekanand"},{"family":"Johnson","given":"Catherine O."},{"family":"Johnson","given":"Sarah C."},{"family":"Jonas","given":"Jost B."},{"family":"Joshi","given":"Ankur"},{"family":"Jozwiak","given":"Jacek Jerzy"},{"family":"Jungari","given":"Suresh Banayya"},{"family":"Jürisson","given":"Mikk"},{"family":"Kabir","given":"Zubair"},{"family":"Kadel","given":"Rajendra"},{"family":"Kahsay","given":"Amaha"},{"family":"Kalani","given":"Rizwan"},{"family":"Karami","given":"Manoochehr"},{"family":"Matin","given":"Behzad Karami"},{"family":"Karch","given":"André"},{"family":"Karema","given":"Corine"},{"family":"Karimi-Sari","given":"Hamidreza"},{"family":"Kasaeian","given":"Amir"},{"family":"Kassa","given":"Dessalegn H."},{"family":"Kassa","given":"Getachew Mullu"},{"family":"Kassa","given":"Tesfaye Dessale"},{"family":"Kassebaum","given":"Nicholas J."},{"family":"Katikireddi","given":"Srinivasa Vittal"},{"family":"Kaul","given":"Anil"},{"family":"Kazemi","given":"Zhila"},{"family":"Karyani","given":"Ali Kazemi"},{"family":"Kazi","given":"Dhruv Satish"},{"family":"Kefale","given":"Adane Teshome"},{"family":"Keiyoro","given":"Peter Njenga"},{"family":"Kemp","given":"Grant Rodgers"},{"family":"Kengne","given":"Andre Pascal"},{"family":"Keren","given":"Andre"},{"family":"Kesavachandran","given":"Chandrasekharan Nair"},{"family":"Khader","given":"Yousef Saleh"},{"family":"Khafaei","given":"Behzad"},{"family":"Khafaie","given":"Morteza Abdullatif"},{"family":"Khajavi","given":"Alireza"},{"family":"Khalid","given":"Nauman"},{"family":"Khalil","given":"Ibrahim A."},{"family":"Khan","given":"Ejaz Ahmad"},{"family":"Khan","given":"Muhammad Shahzeb"},{"family":"Khan","given":"Muhammad Ali"},{"family":"Khang","given":"Young-Ho"},{"family":"Khater","given":"Mona M."},{"family":"Khoja","given":"Abdullah T."},{"family":"Khosravi","given":"Ardeshir"},{"family":"Khosravi","given":"Mohammad Hossein"},{"family":"Khubchandani","given":"Jagdish"},{"family":"Kiadaliri","given":"Aliasghar A."},{"family":"Kibret","given":"Getiye D."},{"family":"Kidanemariam","given":"Zelalem Teklemariam"},{"family":"Kiirithio","given":"Daniel N."},{"family":"Kim","given":"Daniel"},{"family":"Kim","given":"Young-Eun"},{"family":"Kim","given":"Yun Jin"},{"family":"Kimokoti","given":"Ruth W."},{"family":"Kinfu","given":"Yohannes"},{"family":"Kisa","given":"Adnan"},{"family":"Kissimova-Skarbek","given":"Katarzyna"},{"family":"Kivimäki","given":"Mika"},{"family":"Knudsen","given":"Ann Kristin Skrindo"},{"family":"Kocarnik","given":"Jonathan M."},{"family":"Kochhar","given":"Sonali"},{"family":"Kokubo","given":"Yoshihiro"},{"family":"Kolola","given":"Tufa"},{"family":"Kopec","given":"Jacek A."},{"family":"Koul","given":"Parvaiz A."},{"family":"Koyanagi","given":"Ai"},{"family":"Kravchenko","given":"Michael A."},{"family":"Krishan","given":"Kewal"},{"family":"Defo","given":"Barthelemy Kuate"},{"family":"Bicer","given":"Burcu Kucuk"},{"family":"Kumar","given":"G. Anil"},{"family":"Kumar","given":"Manasi"},{"family":"Kumar","given":"Pushpendra"},{"family":"Kutz","given":"Michael J."},{"family":"Kuzin","given":"Igor"},{"family":"Kyu","given":"Hmwe Hmwe"},{"family":"Lad","given":"Deepesh P."},{"family":"Lad","given":"Sheetal D."},{"family":"Lafranconi","given":"Alessandra"},{"family":"Lal","given":"Dharmesh Kumar"},{"family":"Lalloo","given":"Ratilal"},{"family":"Lallukka","given":"Tea"},{"family":"Lam","given":"Jennifer O."},{"family":"Lami","given":"Faris Hasan"},{"family":"Lansingh","given":"Van C."},{"family":"Lansky","given":"Sonia"},{"family":"Larson","given":"Heidi J."},{"family":"Latifi","given":"Arman"},{"family":"Lau","given":"Kathryn Mei-Ming"},{"family":"Lazarus","given":"Jeffrey V."},{"family":"Lebedev","given":"Georgy"},{"family":"Lee","given":"Paul H."},{"family":"Leigh","given":"James"},{"family":"Leili","given":"Mostafa"},{"family":"Leshargie","given":"Cheru Tesema"},{"family":"Li","given":"Shanshan"},{"family":"Li","given":"Yichong"},{"family":"Liang","given":"Juan"},{"family":"Lim","given":"Lee-Ling"},{"family":"Lim","given":"Stephen S."},{"family":"Limenih","given":"Miteku Andualem"},{"family":"Linn","given":"Shai"},{"family":"Liu","given":"Shiwei"},{"family":"Liu","given":"Yang"},{"family":"Lodha","given":"Rakesh"},{"family":"Lonsdale","given":"Chris"},{"family":"Lopez","given":"Alan D."},{"family":"Lorkowski","given":"Stefan"},{"family":"Lotufo","given":"Paulo A."},{"family":"Lozano","given":"Rafael"},{"family":"Lunevicius","given":"Raimundas"},{"family":"Ma","given":"Stefan"},{"family":"Macarayan","given":"Erlyn Rachelle King"},{"family":"Mackay","given":"Mark T."},{"family":"MacLachlan","given":"Jennifer H."},{"family":"Maddison","given":"Emilie R."},{"family":"Madotto","given":"Fabiana"},{"family":"Razek","given":"Hassan Magdy Abd El"},{"family":"Razek","given":"Muhammed Magdy Abd El"},{"family":"Maghavani","given":"Dhaval P."},{"family":"Majdan","given":"Marek"},{"family":"Majdzadeh","given":"Reza"},{"family":"Majeed","given":"Azeem"},{"family":"Malekzadeh","given":"Reza"},{"family":"Malta","given":"Deborah Carvalho"},{"family":"Manda","given":"Ana-Laura"},{"family":"Mandarano-Filho","given":"Luiz Garcia"},{"family":"Manguerra","given":"Helena"},{"family":"Mansournia","given":"Mohammad Ali"},{"family":"Mapoma","given":"Chabila Christopher"},{"family":"Marami","given":"Dadi"},{"family":"Maravilla","given":"Joemer C."},{"family":"Marcenes","given":"Wagner"},{"family":"Marczak","given":"Laurie"},{"family":"Marks","given":"Ashley"},{"family":"Marks","given":"Guy B."},{"family":"Martinez","given":"Gabriel"},{"family":"Martins-Melo","given":"Francisco Rogerlândio"},{"family":"Martopullo","given":"Ira"},{"family":"März","given":"Winfried"},{"family":"Marzan","given":"Melvin B."},{"family":"Masci","given":"Joseph R."},{"family":"Massenburg","given":"Benjamin Ballard"},{"family":"Mathur","given":"Manu Raj"},{"family":"Mathur","given":"Prashant"},{"family":"Matzopoulos","given":"Richard"},{"family":"Maulik","given":"Pallab K."},{"family":"Mazidi","given":"Mohsen"},{"family":"McAlinden","given":"Colm"},{"family":"McGrath","given":"John J."},{"family":"McKee","given":"Martin"},{"family":"McMahon","given":"Brian J."},{"family":"Mehata","given":"Suresh"},{"family":"Mehndiratta","given":"Man Mohan"},{"family":"Mehrotra","given":"Ravi"},{"family":"Mehta","given":"Kala M."},{"family":"Mehta","given":"Varshil"},{"family":"Mekonnen","given":"Tefera C."},{"family":"Melese","given":"Addisu"},{"family":"Melku","given":"Mulugeta"},{"family":"Memiah","given":"Peter T. N."},{"family":"Memish","given":"Ziad A."},{"family":"Mendoza","given":"Walter"},{"family":"Mengistu","given":"Desalegn Tadese"},{"family":"Mengistu","given":"Getnet"},{"family":"Mensah","given":"George A."},{"family":"Mereta","given":"Seid Tiku"},{"family":"Meretoja","given":"Atte"},{"family":"Meretoja","given":"Tuomo J."},{"family":"Mestrovic","given":"Tomislav"},{"family":"Mezgebe","given":"Haftay Berhane"},{"family":"Miazgowski","given":"Bartosz"},{"family":"Miazgowski","given":"Tomasz"},{"family":"Millear","given":"Anoushka I."},{"family":"Miller","given":"Ted R."},{"family":"Miller-Petrie","given":"Molly Katherine"},{"family":"Mini","given":"G. K."},{"family":"Mirabi","given":"Parvaneh"},{"family":"Mirarefin","given":"Mojde"},{"family":"Mirica","given":"Andreea"},{"family":"Mirrakhimov","given":"Erkin M."},{"family":"Misganaw","given":"Awoke Temesgen"},{"family":"Mitiku","given":"Habtamu"},{"family":"Moazen","given":"Babak"},{"family":"Mohammad","given":"Karzan Abdulmuhsin"},{"family":"Mohammadi","given":"Moslem"},{"family":"Mohammadifard","given":"Noushin"},{"family":"Mohammed","given":"Mohammed A."},{"family":"Mohammed","given":"Shafiu"},{"family":"Mohan","given":"Viswanathan"},{"family":"Mokdad","given":"Ali H."},{"family":"Molokhia","given":"Mariam"},{"family":"Monasta","given":"Lorenzo"},{"family":"Moradi","given":"Ghobad"},{"family":"Moradi-Lakeh","given":"Maziar"},{"family":"Moradinazar","given":"Mehdi"},{"family":"Moraga","given":"Paula"},{"family":"Morawska","given":"Lidia"},{"family":"Velásquez","given":"Ilais Moreno"},{"family":"Morgado-Da-Costa","given":"Joana"},{"family":"Morrison","given":"Shane Douglas"},{"family":"Moschos","given":"Marilita M."},{"family":"Mouodi","given":"Simin"},{"family":"Mousavi","given":"Seyyed Meysam"},{"family":"Muchie","given":"Kindie Fentahun"},{"family":"Mueller","given":"Ulrich Otto"},{"family":"Mukhopadhyay","given":"Satinath"},{"family":"Muller","given":"Kate"},{"family":"Mumford","given":"John Everett"},{"family":"Musa","given":"Jonah"},{"family":"Musa","given":"Kamarul Imran"},{"family":"Mustafa","given":"Ghulam"},{"family":"Muthupandian","given":"Saravanan"},{"family":"Nachega","given":"Jean B."},{"family":"Nagel","given":"Gabriele"},{"family":"Naheed","given":"Aliya"},{"family":"Nahvijou","given":"Azin"},{"family":"Naik","given":"Gurudatta"},{"family":"Nair","given":"Sanjeev"},{"family":"Najafi","given":"Farid"},{"family":"Naldi","given":"Luigi"},{"family":"Nam","given":"Hae Sung"},{"family":"Nangia","given":"Vinay"},{"family":"Nansseu","given":"Jobert Richie"},{"family":"Nascimento","given":"Bruno Ramos"},{"family":"Natarajan","given":"Gopalakrishnan"},{"family":"Neamati","given":"Nahid"},{"family":"Negoi","given":"Ionut"},{"family":"Negoi","given":"Ruxandra Irina"},{"family":"Neupane","given":"Subas"},{"family":"Newton","given":"Charles R. J."},{"family":"Ngalesoni","given":"Frida N."},{"family":"Ngunjiri","given":"Josephine W."},{"family":"Nguyen","given":"Anh Quynh"},{"family":"Nguyen","given":"Grant"},{"family":"Nguyen","given":"Ha Thu"},{"family":"Nguyen","given":"Huong Thanh"},{"family":"Nguyen","given":"Long Hoang"},{"family":"Nguyen","given":"Minh"},{"family":"Nguyen","given":"Trang Huyen"},{"family":"Nichols","given":"Emma"},{"family":"Ningrum","given":"Dina Nur Anggraini"},{"family":"Nirayo","given":"Yirga Legesse"},{"family":"Nixon","given":"Molly R."},{"family":"Nolutshungu","given":"Nomonde"},{"family":"Nomura","given":"Shuhei"},{"family":"Norheim","given":"Ole F."},{"family":"Noroozi","given":"Mehdi"},{"family":"Norrving","given":"Bo"},{"family":"Noubiap","given":"Jean Jacques"},{"family":"Nouri","given":"Hamid Reza"},{"family":"Shiadeh","given":"Malihe Nourollahpour"},{"family":"Nowroozi","given":"Mohammad Reza"},{"family":"Nyasulu","given":"Peter S."},{"family":"Odell","given":"Christopher M."},{"family":"Ofori-Asenso","given":"Richard"},{"family":"Ogbo","given":"Felix Akpojene"},{"family":"Oh","given":"In-Hwan"},{"family":"Oladimeji","given":"Olanrewaju"},{"family":"Olagunju","given":"Andrew T."},{"family":"Olivares","given":"Pedro R."},{"family":"Olsen","given":"Helen Elizabeth"},{"family":"Olusanya","given":"Bolajoko Olubukunola"},{"family":"Olusanya","given":"Jacob Olusegun"},{"family":"Ong","given":"Kanyin L."},{"family":"Ong","given":"Sok King Sk"},{"family":"Oren","given":"Eyal"},{"family":"Orpana","given":"Heather M."},{"family":"Ortiz","given":"Alberto"},{"family":"Ortiz","given":"Justin R."},{"family":"Otstavnov","given":"Stanislav S."},{"family":"Øverland","given":"Simon"},{"family":"Owolabi","given":"Mayowa Ojo"},{"family":"Özdemir","given":"Raziye"},{"family":"A","given":"Mahesh P."},{"family":"Pacella","given":"Rosana"},{"family":"Pakhale","given":"Smita"},{"family":"Pakhare","given":"Abhijit P."},{"family":"Pakpour","given":"Amir H."},{"family":"Pana","given":"Adrian"},{"family":"Panda-Jonas","given":"Songhomitra"},{"family":"Pandian","given":"Jeyaraj Durai"},{"family":"Parisi","given":"Andrea"},{"family":"Park","given":"Eun-Kee"},{"family":"Parry","given":"Charles D. H."},{"family":"Parsian","given":"Hadi"},{"family":"Patel","given":"Shanti"},{"family":"Pati","given":"Sanghamitra"},{"family":"Patton","given":"George C."},{"family":"Paturi","given":"Vishnupriya Rao"},{"family":"Paulson","given":"Katherine R."},{"family":"Pereira","given":"Alexandre"},{"family":"Pereira","given":"David M."},{"family":"Perico","given":"Norberto"},{"family":"Pesudovs","given":"Konrad"},{"family":"Petzold","given":"Max"},{"family":"Phillips","given":"Michael R."},{"family":"Piel","given":"Frédéric B."},{"family":"Pigott","given":"David M."},{"family":"Pillay","given":"Julian David"},{"family":"Pirsaheb","given":"Meghdad"},{"family":"Pishgar","given":"Farhad"},{"family":"Polinder","given":"Suzanne"},{"family":"Postma","given":"Maarten J."},{"family":"Pourshams","given":"Akram"},{"family":"Poustchi","given":"Hossein"},{"family":"Pujar","given":"Ashwini"},{"family":"Prakash","given":"Swayam"},{"family":"Prasad","given":"Narayan"},{"family":"Purcell","given":"Caroline A."},{"family":"Qorbani","given":"Mostafa"},{"family":"Quintana","given":"Hedley"},{"family":"Quistberg","given":"D. Alex"},{"family":"Rade","given":"Kirankumar Waman"},{"family":"Radfar","given":"Amir"},{"family":"Rafay","given":"Anwar"},{"family":"Rafiei","given":"Alireza"},{"family":"Rahim","given":"Fakher"},{"family":"Rahimi","given":"Kazem"},{"family":"Rahimi-Movaghar","given":"Afarin"},{"family":"Rahman","given":"Mahfuzar"},{"family":"Rahman","given":"Mohammad Hifz Ur"},{"family":"Rahman","given":"Muhammad Aziz"},{"family":"Rai","given":"Rajesh Kumar"},{"family":"Rajsic","given":"Sasa"},{"family":"Ram","given":"Usha"},{"family":"Ranabhat","given":"Chhabi Lal"},{"family":"Ranjan","given":"Prabhat"},{"family":"Rao","given":"Puja C."},{"family":"Rawaf","given":"David Laith"},{"family":"Rawaf","given":"Salman"},{"family":"Razo-García","given":"Christian"},{"family":"Reddy","given":"K. Srinath"},{"family":"Reiner","given":"Robert C."},{"family":"Reitsma","given":"Marissa B."},{"family":"Remuzzi","given":"Giuseppe"},{"family":"Renzaho","given":"Andre M. N."},{"family":"Resnikoff","given":"Serge"},{"family":"Rezaei","given":"Satar"},{"family":"Rezaeian","given":"Shahab"},{"family":"Rezai","given":"Mohammad Sadegh"},{"family":"Riahi","given":"Seyed Mohammad"},{"family":"Ribeiro","given":"Antonio Luiz P."},{"family":"Rios-Blancas","given":"Maria Jesus"},{"family":"Roba","given":"Kedir Teji"},{"family":"Roberts","given":"Nicholas L. S."},{"family":"Robinson","given":"Stephen R."},{"family":"Roever","given":"Leonardo"},{"family":"Ronfani","given":"Luca"},{"family":"Roshandel","given":"Gholamreza"},{"family":"Rostami","given":"Ali"},{"family":"Rothenbacher","given":"Dietrich"},{"family":"Roy","given":"Ambuj"},{"family":"Rubagotti","given":"Enrico"},{"family":"Sachdev","given":"Perminder S."},{"family":"Saddik","given":"Basema"},{"family":"Sadeghi","given":"Ehsan"},{"family":"Safari","given":"Hosein"},{"family":"Safdarian","given":"Mahdi"},{"family":"Safi","given":"Sare"},{"family":"Safiri","given":"Saeid"},{"family":"Sagar","given":"Rajesh"},{"family":"Sahebkar","given":"Amirhossein"},{"family":"Sahraian","given":"Mohammad Ali"},{"family":"Salam","given":"Nasir"},{"family":"Salama","given":"Joseph S."},{"family":"Salamati","given":"Payman"},{"family":"Saldanha","given":"Raphael De Freitas"},{"family":"Saleem","given":"Zikria"},{"family":"Salimi","given":"Yahya"},{"family":"Salvi","given":"Sundeep Santosh"},{"family":"Salz","given":"Inbal"},{"family":"Sambala","given":"Evanson Zondani"},{"family":"Samy","given":"Abdallah M."},{"family":"Sanabria","given":"Juan"},{"family":"Sanchez-Niño","given":"Maria Dolores"},{"family":"Santomauro","given":"Damian Francesco"},{"family":"Santos","given":"Itamar S."},{"family":"Santos","given":"João Vasco"},{"family":"Milicevic","given":"Milena M. Santric"},{"family":"Jose","given":"Bruno Piassi Sao"},{"family":"Sarker","given":"Abdur Razzaque"},{"family":"Sarmiento-Suárez","given":"Rodrigo"},{"family":"Sarrafzadegan","given":"Nizal"},{"family":"Sartorius","given":"Benn"},{"family":"Sarvi","given":"Shahabeddin"},{"family":"Sathian","given":"Brijesh"},{"family":"Satpathy","given":"Maheswar"},{"family":"Sawant","given":"Arundhati R."},{"family":"Sawhney","given":"Monika"},{"family":"Saxena","given":"Sonia"},{"family":"Sayyah","given":"Mehdi"},{"family":"Schaeffner","given":"Elke"},{"family":"Schmidt","given":"Maria Inês"},{"family":"Schneider","given":"Ione J. C."},{"family":"Schöttker","given":"Ben"},{"family":"Schutte","given":"Aletta Elisabeth"},{"family":"Schwebel","given":"David C."},{"family":"Schwendicke","given":"Falk"},{"family":"Scott","given":"James G."},{"family":"Sekerija","given":"Mario"},{"family":"Sepanlou","given":"Sadaf G."},{"family":"Serván-Mori","given":"Edson"},{"family":"Seyedmousavi","given":"Seyedmojtaba"},{"family":"Shabaninejad","given":"Hosein"},{"family":"Shackelford","given":"Katya Anne"},{"family":"Shafieesabet","given":"Azadeh"},{"family":"Shahbazi","given":"Mehdi"},{"family":"Shaheen","given":"Amira A."},{"family":"Shaikh","given":"Masood Ali"},{"family":"Shams-Beyranvand","given":"Mehran"},{"family":"Shamsi","given":"Mohammadbagher"},{"family":"Shamsizadeh","given":"Morteza"},{"family":"Sharafi","given":"Kiomars"},{"family":"Sharif","given":"Mehdi"},{"family":"Sharif-Alhoseini","given":"Mahdi"},{"family":"Sharma","given":"Rajesh"},{"family":"She","given":"Jun"},{"family":"Sheikh","given":"Aziz"},{"family":"Shi","given":"Peilin"},{"family":"Shiferaw","given":"Mekonnen Sisay"},{"family":"Shigematsu","given":"Mika"},{"family":"Shiri","given":"Rahman"},{"family":"Shirkoohi","given":"Reza"},{"family":"Shiue","given":"Ivy"},{"family":"Shokraneh","given":"Farhad"},{"family":"Shrime","given":"Mark G."},{"family":"Si","given":"Si"},{"family":"Siabani","given":"Soraya"},{"family":"Siddiqi","given":"Tariq J."},{"family":"Sigfusdottir","given":"Inga Dora"},{"family":"Sigurvinsdottir","given":"Rannveig"},{"family":"Silberberg","given":"Donald H."},{"family":"Silva","given":"Diego Augusto Santos"},{"family":"Silva","given":"João Pedro"},{"family":"Silva","given":"Natacha Torres Da"},{"family":"Silveira","given":"Dayane Gabriele Alves"},{"family":"Singh","given":"Jasvinder A."},{"family":"Singh","given":"Narinder Pal"},{"family":"Singh","given":"Prashant Kumar"},{"family":"Singh","given":"Virendra"},{"family":"Sinha","given":"Dhirendra Narain"},{"family":"Sliwa","given":"Karen"},{"family":"Smith","given":"Mari"},{"family":"Sobaih","given":"Badr Hasan"},{"family":"Sobhani","given":"Soheila"},{"family":"Sobngwi","given":"Eugène"},{"family":"Soneji","given":"Samir S."},{"family":"Soofi","given":"Moslem"},{"family":"Sorensen","given":"Reed J. D."},{"family":"Soriano","given":"Joan B."},{"family":"Soyiri","given":"Ireneous N."},{"family":"Sposato","given":"Luciano A."},{"family":"Sreeramareddy","given":"Chandrashekhar T."},{"family":"Srinivasan","given":"Vinay"},{"family":"Stanaway","given":"Jeffrey D."},{"family":"Starodubov","given":"Vladimir I."},{"family":"Stathopoulou","given":"Vasiliki"},{"family":"Stein","given":"Dan J."},{"family":"Steiner","given":"Caitlyn"},{"family":"Stewart","given":"Leo G."},{"family":"Stokes","given":"Mark A."},{"family":"Subart","given":"Michelle L."},{"family":"Sudaryanto","given":"Agus"},{"family":"Sufiyan","given":"Mu'awiyyah Babale"},{"family":"Sur","given":"Patrick John"},{"family":"Sutradhar","given":"Ipsita"},{"family":"Sykes","given":"Bryan L."},{"family":"Sylaja","given":"P. N."},{"family":"Sylte","given":"Dillon O."},{"family":"Szoeke","given":"Cassandra E. I."},{"family":"Tabarés-Seisdedos","given":"Rafael"},{"family":"Tabuchi","given":"Takahiro"},{"family":"Tadakamadla","given":"Santosh Kumar"},{"family":"Takahashi","given":"Ken"},{"family":"Tandon","given":"Nikhil"},{"family":"Tassew","given":"Segen Gebremeskel"},{"family":"Taveira","given":"Nuno"},{"family":"Tehrani-Banihashemi","given":"Arash"},{"family":"Tekalign","given":"Tigist Gashaw"},{"family":"Tekle","given":"Merhawi Gebremedhin"},{"family":"Temsah","given":"Mohamad-Hani"},{"family":"Temsah","given":"Omar"},{"family":"Terkawi","given":"Abdullah Sulieman"},{"family":"Teshale","given":"Manaye Yihune"},{"family":"Tessema","given":"Belay"},{"family":"Tessema","given":"Gizachew Assefa"},{"family":"Thankappan","given":"Kavumpurathu Raman"},{"family":"Thirunavukkarasu","given":"Sathish"},{"family":"Thomas","given":"Nihal"},{"family":"Thrift","given":"Amanda G."},{"family":"Thurston","given":"George D."},{"family":"Tilahun","given":"Binyam"},{"family":"To","given":"Quyen G."},{"family":"Tobe-Gai","given":"Ruoyan"},{"family":"Tonelli","given":"Marcello"},{"family":"Topor-Madry","given":"Roman"},{"family":"Torre","given":"Anna E."},{"family":"Tortajada-Girbés","given":"Miguel"},{"family":"Touvier","given":"Mathilde"},{"family":"Tovani-Palone","given":"Marcos Roberto"},{"family":"Tran","given":"Bach Xuan"},{"family":"Tran","given":"Khanh Bao"},{"family":"Tripathi","given":"Suryakant"},{"family":"Troeger","given":"Christopher E."},{"family":"Truelsen","given":"Thomas Clement"},{"family":"Truong","given":"Nu Thi"},{"family":"Tsadik","given":"Afewerki Gebremeskel"},{"family":"Tsoi","given":"Derrick"},{"family":"Car","given":"Lorainne Tudor"},{"family":"Tuzcu","given":"E. Murat"},{"family":"Tyrovolas","given":"Stefanos"},{"family":"Ukwaja","given":"Kingsley N."},{"family":"Ullah","given":"Irfan"},{"family":"Undurraga","given":"Eduardo A."},{"family":"Updike","given":"Rachel L."},{"family":"Usman","given":"Muhammad Shariq"},{"family":"Uthman","given":"Olalekan A."},{"family":"Uzun","given":"Selen Begüm"},{"family":"Vaduganathan","given":"Muthiah"},{"family":"Vaezi","given":"Afsane"},{"family":"Vaidya","given":"Gaurang"},{"family":"Valdez","given":"Pascual R."},{"family":"Varavikova","given":"Elena"},{"family":"Vasankari","given":"Tommi Juhani"},{"family":"Venketasubramanian","given":"Narayanaswamy"},{"family":"Villafaina","given":"Santos"},{"family":"Violante","given":"Francesco S."},{"family":"Vladimirov","given":"Sergey Konstantinovitch"},{"family":"Vlassov","given":"Vasily"},{"family":"Vollset","given":"Stein Emil"},{"family":"Vos","given":"Theo"},{"family":"Wagner","given":"Gregory R."},{"family":"Wagnew","given":"Fasil Shiferaw"},{"family":"Waheed","given":"Yasir"},{"family":"Wallin","given":"Mitchell Taylor"},{"family":"Walson","given":"Judd L."},{"family":"Wang","given":"Yanping"},{"family":"Wang","given":"Yuan-Pang"},{"family":"Wassie","given":"Molla Mesele"},{"family":"Weiderpass","given":"Elisabete"},{"family":"Weintraub","given":"Robert G."},{"family":"Weldegebreal","given":"Fitsum"},{"family":"Weldegwergs","given":"Kidu Gidey"},{"family":"Werdecker","given":"Andrea"},{"family":"Werkneh","given":"Adhena Ayaliew"},{"family":"West","given":"T. Eoin"},{"family":"Westerman","given":"Ronny"},{"family":"Whiteford","given":"Harvey A."},{"family":"Widecka","given":"Justyna"},{"family":"Wilner","given":"Lauren B."},{"family":"Wilson","given":"Shadrach"},{"family":"Winkler","given":"Andrea Sylvia"},{"family":"Wiysonge","given":"Charles Shey"},{"family":"Wolfe","given":"Charles D. A."},{"family":"Wu","given":"Shouling"},{"family":"Wu","given":"Yun-Chun"},{"family":"Wyper","given":"Grant M. A."},{"family":"Xavier","given":"Denis"},{"family":"Xu","given":"Gelin"},{"family":"Yadgir","given":"Simon"},{"family":"Yadollahpour","given":"Ali"},{"family":"Jabbari","given":"Seyed Hossein Yahyazadeh"},{"family":"Yakob","given":"Bereket"},{"family":"Yan","given":"Lijing L."},{"family":"Yano","given":"Yuichiro"},{"family":"Yaseri","given":"Mehdi"},{"family":"Yasin","given":"Yasin Jemal"},{"family":"Yentür","given":"Gökalp Kadri"},{"family":"Yeshaneh","given":"Alex"},{"family":"Yimer","given":"Ebrahim M."},{"family":"Yip","given":"Paul"},{"family":"Yirsaw","given":"Biruck Desalegn"},{"family":"Yisma","given":"Engida"},{"family":"Yonemoto","given":"Naohiro"},{"family":"Yonga","given":"Gerald"},{"family":"Yoon","given":"Seok-Jun"},{"family":"Yotebieng","given":"Marcel"},{"family":"Younis","given":"Mustafa Z."},{"family":"Yousefifard","given":"Mahmoud"},{"family":"Yu","given":"Chuanhua"},{"family":"Zadnik","given":"Vesna"},{"family":"Zaidi","given":"Zoubida"},{"family":"Zaman","given":"Sojib Bin"},{"family":"Zamani","given":"Mohammad"},{"family":"Zare","given":"Zohreh"},{"family":"Zeleke","given":"Ayalew Jejaw"},{"family":"Zenebe","given":"Zerihun Menlkalew"},{"family":"Zhang","given":"Anthony Lin"},{"family":"Zhang","given":"Kai"},{"family":"Zhou","given":"Maigeng"},{"family":"Zodpey","given":"Sanjay"},{"family":"Zuhlke","given":"Liesl Joanna"},{"family":"Naghavi","given":"Mohsen"},{"family":"Murray","given":"Christopher J. L."}],"issued":{"date-parts":[["2018",11,10]]}}}],"schema":"https://github.com/citation-style-language/schema/raw/master/csl-citation.json"} </w:instrText>
      </w:r>
      <w:r w:rsidRPr="00C4280C">
        <w:rPr>
          <w:lang w:val="en-GB"/>
        </w:rPr>
        <w:fldChar w:fldCharType="separate"/>
      </w:r>
      <w:r w:rsidR="00BB7752" w:rsidRPr="00BB7752">
        <w:rPr>
          <w:szCs w:val="24"/>
          <w:vertAlign w:val="superscript"/>
        </w:rPr>
        <w:t>13</w:t>
      </w:r>
      <w:r w:rsidRPr="00C4280C">
        <w:fldChar w:fldCharType="end"/>
      </w:r>
      <w:r w:rsidRPr="00C4280C">
        <w:rPr>
          <w:lang w:val="en-GB"/>
        </w:rPr>
        <w:t xml:space="preserve">. </w:t>
      </w:r>
      <w:bookmarkStart w:id="8" w:name="_Hlk24311013"/>
      <w:r w:rsidRPr="00C4280C">
        <w:rPr>
          <w:lang w:val="en-GB"/>
        </w:rPr>
        <w:t xml:space="preserve">Baseline data on the weight distribution in each country were adopted from a pooled analysis of population-based measurements undertaken by the NCD Risk Factor Collaboration </w:t>
      </w:r>
      <w:r w:rsidRPr="00C4280C">
        <w:rPr>
          <w:lang w:val="en-GB"/>
        </w:rPr>
        <w:fldChar w:fldCharType="begin" w:fldLock="1"/>
      </w:r>
      <w:r w:rsidR="00BB7752">
        <w:rPr>
          <w:lang w:val="en-GB"/>
        </w:rPr>
        <w:instrText xml:space="preserve"> ADDIN ZOTERO_ITEM CSL_CITATION {"citationID":"hXXyLNhD","properties":{"formattedCitation":"\\super 14\\nosupersub{}","plainCitation":"14","noteIndex":0},"citationItems":[{"id":"9UZPP0Go/Tz9EcrHQ","uris":["http://www.mendeley.com/documents/?uuid=03c8b2c0-b4a7-46fe-8e27-12cc02e7d40a"],"uri":["http://www.mendeley.com/documents/?uuid=03c8b2c0-b4a7-46fe-8e27-12cc02e7d40a"],"itemData":{"DOI":"10.1016/S0140-6736(16)30054-X","ISSN":"0140-6736","abstract":"SummaryBackground Underweight and severe and morbid obesity are associated with highly elevated risks of adverse health outcomes. We estimated trends in mean body-mass index (BMI), which characterises its population distribution, and in the prevalences of a complete set of BMI categories for adults in all countries. Methods We analysed, with use of a consistent protocol, population-based studies that had measured height and weight in adults aged 18 years and older. We applied a Bayesian hierarchical model to these data to estimate trends from 1975 to 2014 in mean BMI and in the prevalences of BMI categories (&lt;18·5 kg/m2 [underweight], 18·5 kg/m2 to &lt;20 kg/m2, 20 kg/m2 to &lt;25 kg/m2, 25 kg/m2 to &lt;30 kg/m2, 30 kg/m2 to &lt;35 kg/m2, 35 kg/m2 to &lt;40 kg/m2, ≥40 kg/m2 [morbid obesity]), by sex in 200 countries and territories, organised in 21 regions. We calculated the posterior probability of meeting the target of halting by 2025 the rise in obesity at its 2010 levels, if post-2000 trends continue. Findings We used 1698 population-based data sources, with more than 19·2 million adult participants (9·9 million men and 9·3 million women) in 186 of 200 countries for which estimates were made. Global age-standardised mean BMI increased from 21·7 kg/m2 (95% credible interval 21·3–22·1) in 1975 to 24·2 kg/m2 (24·0–24·4) in 2014 in men, and from 22·1 kg/m2 (21·7–22·5) in 1975 to 24·4 kg/m2 (24·2–24·6) in 2014 in women. Regional mean BMIs in 2014 for men ranged from 21·4 kg/m2 in central Africa and south Asia to 29·2 kg/m2 (28·6–29·8) in Polynesia and Micronesia; for women the range was from 21·8 kg/m2 (21·4–22·3) in south Asia to 32·2 kg/m2 (31·5–32·8) in Polynesia and Micronesia. Over these four decades, age-standardised global prevalence of underweight decreased from 13·8% (10·5–17·4) to 8·8% (7·4–10·3) in men and from 14·6% (11·6–17·9) to 9·7% (8·3–11·1) in women. South Asia had the highest prevalence of underweight in 2014, 23·4% (17·8–29·2) in men and 24·0% (18·9–29·3) in women. Age-standardised prevalence of obesity increased from 3·2% (2·4–4·1) in 1975 to 10·8% (9·7–12·0) in 2014 in men, and from 6·4% (5·1–7·8) to 14·9% (13·6–16·1) in women. 2·3% (2·0–2·7) of the world's men and 5·0% (4·4–5·6) of women were severely obese (ie, have BMI ≥35 kg/m2). Globally, prevalence of morbid obesity was 0·64% (0·46–0·86) in men and 1·6% (1·3–1·9) in women. Interpretation If post-2000 trends continue, the probability of meeting the global obesity target is virtually zero. Rat…","author":[{"dropping-particle":"","family":"NCD Risk Factor Collaboration (NCD-RisC)","given":"","non-dropping-particle":"","parse-names":false,"suffix":""}],"container-title":"The Lancet","id":"ITEM-1","issue":"10026","issued":{"date-parts":[["2016","4","27"]]},"page":"1377-1396","title":"Trends in adult body-mass index in 200 countries from 1975 to 2014: a pooled analysis of 1698 population-based measurement studies with 19·2 million participants","type":"article-journal","volume":"387"}}],"schema":"https://github.com/citation-style-language/schema/raw/master/csl-citation.json"} </w:instrText>
      </w:r>
      <w:r w:rsidRPr="00C4280C">
        <w:rPr>
          <w:lang w:val="en-GB"/>
        </w:rPr>
        <w:fldChar w:fldCharType="separate"/>
      </w:r>
      <w:r w:rsidR="00BB7752" w:rsidRPr="00BB7752">
        <w:rPr>
          <w:szCs w:val="24"/>
          <w:vertAlign w:val="superscript"/>
        </w:rPr>
        <w:t>14</w:t>
      </w:r>
      <w:r w:rsidRPr="00C4280C">
        <w:fldChar w:fldCharType="end"/>
      </w:r>
      <w:r w:rsidRPr="00C4280C">
        <w:rPr>
          <w:lang w:val="en-GB"/>
        </w:rPr>
        <w:t xml:space="preserve"> and projected forward based on the statistical relationship between calorie availability and body weight </w:t>
      </w:r>
      <w:r w:rsidR="005B2674">
        <w:rPr>
          <w:lang w:val="en-GB"/>
        </w:rPr>
        <w:fldChar w:fldCharType="begin"/>
      </w:r>
      <w:r w:rsidR="00BB7752">
        <w:rPr>
          <w:lang w:val="en-GB"/>
        </w:rPr>
        <w:instrText xml:space="preserve"> ADDIN ZOTERO_ITEM CSL_CITATION {"citationID":"mvnekHTD","properties":{"formattedCitation":"\\super 15\\nosupersub{}","plainCitation":"15","noteIndex":0},"citationItems":[{"id":"9UZPP0Go/7IxpLs7M","uris":["http://zotero.org/users/14122/items/5DBMB75R"],"uri":["http://zotero.org/users/14122/items/5DBMB75R"],"itemData":{"id":2069,"type":"article-journal","title":"Analysis and valuation of the health and climate change cobenefits of dietary change","container-title":"Proceedings of the National Academy of Sciences","page":"4146-4151","volume":"113","issue":"15","source":"www.pnas.org","abstract":"What we eat greatly influences our personal health and the environment we all share. Recent analyses have highlighted the likely dual health and environmental benefits of reducing the fraction of animal-sourced foods in our diets. Here, we couple for the first time, to our knowledge, a region-specific global health model based on dietary and weight-related risk factors with emissions accounting and economic valuation modules to quantify the linked health and environmental consequences of dietary changes. We find that the impacts of dietary changes toward less meat and more plant-based diets vary greatly among regions. The largest absolute environmental and health benefits result from diet shifts in developing countries whereas Western high-income and middle-income countries gain most in per capita terms. Transitioning toward more plant-based diets that are in line with standard dietary guidelines could reduce global mortality by 6–10% and food-related greenhouse gas emissions by 29–70% compared with a reference scenario in 2050. We find that the monetized value of the improvements in health would be comparable with, or exceed, the value of the environmental benefits although the exact valuation method used considerably affects the estimated amounts. Overall, we estimate the economic benefits of improving diets to be 1–31 trillion US dollars, which is equivalent to 0.4–13% of global gross domestic product (GDP) in 2050. However, significant changes in the global food system would be necessary for regional diets to match the dietary patterns studied here.","DOI":"10.1073/pnas.1523119113","ISSN":"0027-8424, 1091-6490","note":"PMID: 27001851","journalAbbreviation":"PNAS","language":"en","author":[{"family":"Springmann","given":"Marco"},{"family":"Godfray","given":"H. Charles J."},{"family":"Rayner","given":"Mike"},{"family":"Scarborough","given":"Peter"}],"issued":{"date-parts":[["2016",4,12]]}}}],"schema":"https://github.com/citation-style-language/schema/raw/master/csl-citation.json"} </w:instrText>
      </w:r>
      <w:r w:rsidR="005B2674">
        <w:rPr>
          <w:lang w:val="en-GB"/>
        </w:rPr>
        <w:fldChar w:fldCharType="separate"/>
      </w:r>
      <w:r w:rsidR="00BB7752" w:rsidRPr="00BB7752">
        <w:rPr>
          <w:szCs w:val="24"/>
          <w:vertAlign w:val="superscript"/>
        </w:rPr>
        <w:t>15</w:t>
      </w:r>
      <w:r w:rsidR="005B2674">
        <w:rPr>
          <w:lang w:val="en-GB"/>
        </w:rPr>
        <w:fldChar w:fldCharType="end"/>
      </w:r>
      <w:r w:rsidRPr="00C4280C">
        <w:rPr>
          <w:lang w:val="en-GB"/>
        </w:rPr>
        <w:t xml:space="preserve">. </w:t>
      </w:r>
      <w:bookmarkEnd w:id="8"/>
    </w:p>
    <w:p w14:paraId="5C32B6BD" w14:textId="77777777" w:rsidR="00C4280C" w:rsidRPr="00C4280C" w:rsidRDefault="00C4280C" w:rsidP="00416662">
      <w:pPr>
        <w:pStyle w:val="SMText"/>
        <w:spacing w:line="276" w:lineRule="auto"/>
        <w:rPr>
          <w:lang w:val="en-GB"/>
        </w:rPr>
      </w:pPr>
    </w:p>
    <w:p w14:paraId="209963FA" w14:textId="77F0B321" w:rsidR="00C4280C" w:rsidRPr="00C4280C" w:rsidRDefault="00C4280C" w:rsidP="00416662">
      <w:pPr>
        <w:pStyle w:val="SMText"/>
        <w:spacing w:line="276" w:lineRule="auto"/>
        <w:ind w:firstLine="0"/>
        <w:rPr>
          <w:lang w:val="en-GB"/>
        </w:rPr>
      </w:pPr>
      <w:r w:rsidRPr="00C4280C">
        <w:rPr>
          <w:lang w:val="en-GB"/>
        </w:rPr>
        <w:t>The relative risk estimates that relate the risk factors to the disease endpoints were adopted from meta-analyses of prospective cohort studies for dietary weight-related risks</w:t>
      </w:r>
      <w:r w:rsidR="00A05BAC">
        <w:rPr>
          <w:lang w:val="en-GB"/>
        </w:rPr>
        <w:t xml:space="preserve"> </w:t>
      </w:r>
      <w:r w:rsidRPr="00C4280C">
        <w:rPr>
          <w:lang w:val="en-GB"/>
        </w:rPr>
        <w:fldChar w:fldCharType="begin" w:fldLock="1"/>
      </w:r>
      <w:r w:rsidR="00BB7752">
        <w:rPr>
          <w:lang w:val="en-GB"/>
        </w:rPr>
        <w:instrText xml:space="preserve"> ADDIN ZOTERO_ITEM CSL_CITATION {"citationID":"a2omf49I","properties":{"formattedCitation":"\\super 16\\uc0\\u8211{}23\\nosupersub{}","plainCitation":"16–23","noteIndex":0},"citationItems":[{"id":"9UZPP0Go/sWShzIfQ","uris":["http://www.mendeley.com/documents/?uuid=007ce9ce-2a59-4b24-9fe2-67169e1122b4"],"uri":["http://www.mendeley.com/documents/?uuid=007ce9ce-2a59-4b24-9fe2-67169e1122b4"],"itemData":{"DOI":"10.1080/10408398.2017.1392288","ISSN":"1040-8398","abstract":"ABSTRACTBackground: Despite growing evidence for food-based dietary patterns' potential to reduce cardiovascular disease risk, knowledge about the amounts of food associated with the greatest change in risk of specific cardiovascular outcomes and about the quality of meta-evidence is limited. Therefore, the aim of this meta-analysis was to synthesize the knowledge about the relation between intake of 12 major food groups (whole grains, refined grains, vegetables, fruits, nuts, legumes, eggs, dairy, fish, red meat, processed meat, and sugar-sweetened beverages [SSB]) and the risk of coronary heart disease (CHD), stroke and heart failure (HF).Methods: We conducted a systematic search in PubMed and Embase up to March 2017 for prospective studies. Summary risk ratios (RRs) and 95% confidence intervals (95% CI) were estimated using a random effects model for highest versus lowest intake categories, as well as for linear and non-linear relationships.Results: Overall, 123 reports were included in the meta-analys...","author":[{"dropping-particle":"","family":"Bechthold","given":"Angela","non-dropping-particle":"","parse-names":false,"suffix":""},{"dropping-particle":"","family":"Boeing","given":"Heiner","non-dropping-particle":"","parse-names":false,"suffix":""},{"dropping-particle":"","family":"Schwedhelm","given":"Carolina","non-dropping-particle":"","parse-names":false,"suffix":""},{"dropping-particle":"","family":"Hoffmann","given":"Georg","non-dropping-particle":"","parse-names":false,"suffix":""},{"dropping-particle":"","family":"Knüppel","given":"Sven","non-dropping-particle":"","parse-names":false,"suffix":""},{"dropping-particle":"","family":"Iqbal","given":"Khalid","non-dropping-particle":"","parse-names":false,"suffix":""},{"dropping-particle":"","family":"Henauw","given":"Stefaan","non-dropping-particle":"De","parse-names":false,"suffix":""},{"dropping-particle":"","family":"Michels","given":"Nathalie","non-dropping-particle":"","parse-names":false,"suffix":""},{"dropping-particle":"","family":"Devleesschauwer","given":"Brecht","non-dropping-particle":"","parse-names":false,"suffix":""},{"dropping-particle":"","family":"Schlesinger","given":"Sabrina","non-dropping-particle":"","parse-names":false,"suffix":""},{"dropping-particle":"","family":"Schwingshackl","given":"Lukas","non-dropping-particle":"","parse-names":false,"suffix":""}],"container-title":"Critical Reviews in Food Science and Nutrition","id":"DNBsr0kA/nOEvKTJo","issue":"7","issued":{"date-parts":[["2019","10"]]},"page":"1071-1090","publisher":"Taylor &amp; Francis","title":"Food groups and risk of coronary heart disease, stroke and heart failure: A systematic review and dose-response meta-analysis of prospective studies","type":"article-journal","volume":"59"}},{"id":"9UZPP0Go/ySPPL052","uris":["http://zotero.org/users/14122/items/NJZHZIVS"],"uri":["http://zotero.org/users/14122/items/NJZHZIVS"],"itemData":{"id":2437,"type":"article-journal","title":"Consumption of nuts and legumes and risk of incident ischemic heart disease, stroke, and diabetes: a systematic review and meta-analysis","container-title":"The American Journal of Clinical Nutrition","page":"278-288","volume":"100","issue":"1","source":"PubMed","abstract":"BACKGROUND: Relations between the consumption of nuts and legumes and risk of ischemic heart disease (IHD), stroke, and diabetes have not been well established.\nOBJECTIVE: We systematically investigated and quantified associations of nut and legume consumption with incident IHD, stroke, and diabetes.\nDESIGN: We systematically searched multiple databases to identify randomized controlled trials or observational studies that examined the relations. Studies were excluded if they reported only intermediate physiologic measures, soft cardiovascular outcomes, or crude risk estimates. Data were extracted independently and in duplicate. We assessed pooled dose-response relations by using a generalized least-squares trend estimation, and prespecified sources of heterogeneity were assessed by using metaregression. The potential for publication bias was explored by using funnel plots, Begg's and Egger's tests, and Duval and Tweedie trim-and-fill methods.\nRESULTS: Of 3851 abstracts, 25 observational studies (23 prospective and 2 retrospective studies) and 2 trial reports met inclusion criteria and comprised 501,791 unique individuals and 11,869 IHD, 8244 stroke, and 14,449 diabetes events. The consumption of nuts was inversely associated with fatal IHD (6 studies; 6749 events; RR per 4 weekly 28.4-g servings: 0.76; 95% CI: 0.69, 0.84; I(2) = 28%), nonfatal IHD (4 studies; 2101 events; RR: 0.78; 0.67, 0.92; I(2) = 0%), and diabetes (6 studies; 13,308 events; RR: 0.87; 0.81,0.94; I(2) = 22%) but not stroke (4 studies; 5544 events). Legume consumption was inversely associated with total IHD (5 studies; 6514 events; RR per 4 weekly 100-g servings: 0.86; 0.78, 0.94; I(2) = 0%) but not significantly associated with stroke (6 studies; 6690 events) or diabetes (2 studies; 2746 events). A meta-regression did not identify the effect modification by age, duration of follow-up, study location, or study quality. Mixed evidence was seen for publication bias, but analyses by using the Duval and Tweedie trim-and-fill method did not appreciably alter results.\nCONCLUSION: This systematic review supports inverse associations between eating nuts and incident IHD and diabetes and eating legumes and incident IHD.","DOI":"10.3945/ajcn.113.076901","ISSN":"1938-3207","note":"PMID: 24898241\nPMCID: PMC4144102","shortTitle":"Consumption of nuts and legumes and risk of incident ischemic heart disease, stroke, and diabetes","journalAbbreviation":"Am. J. Clin. Nutr.","language":"eng","author":[{"family":"Afshin","given":"Ashkan"},{"family":"Micha","given":"Renata"},{"family":"Khatibzadeh","given":"Shahab"},{"family":"Mozaffarian","given":"Dariush"}],"issued":{"date-parts":[["2014",7]]}}},{"id":"9UZPP0Go/dL9KagN1","uris":["http://www.mendeley.com/documents/?uuid=144acf9b-ae9f-41be-895a-8b8e4bbf1c41"],"uri":["http://www.mendeley.com/documents/?uuid=144acf9b-ae9f-41be-895a-8b8e4bbf1c41"],"itemData":{"DOI":"10.1186/s12916-016-0730-3","ISSN":"1741-7015","abstract":"BACKGROUND: Although nut consumption has been associated with a reduced risk of cardiovascular disease and all-cause mortality, data on less common causes of death has not been systematically assessed. Previous reviews missed several studies and additional studies have since been published. We therefore conducted a systematic review and meta-analysis of nut consumption and risk of cardiovascular disease, total cancer, and all-cause and cause-specific mortality. METHODS: PubMed and Embase were searched for prospective studies of nut consumption and risk of cardiovascular disease, total cancer, and all-cause and cause-specific mortality in adult populations published up to July 19, 2016. Summary relative risks (RRs) and 95% confidence intervals (CIs) were calculated using random-effects models. The burden of mortality attributable to low nut consumption was calculated for selected regions. RESULTS: Twenty studies (29 publications) were included in the meta-analysis. The summary RRs per 28 grams/day increase in nut intake was for coronary heart disease, 0.71 (95% CI: 0.63-0.80, I(2) = 47%, n = 11), stroke, 0.93 (95% CI: 0.83-1.05, I(2) = 14%, n = 11), cardiovascular disease, 0.79 (95% CI: 0.70-0.88, I(2) = 60%, n = 12), total cancer, 0.85 (95% CI: 0.76-0.94, I(2) = 42%, n = 8), all-cause mortality, 0.78 (95% CI: 0.72-0.84, I(2) = 66%, n = 15), and for mortality from respiratory disease, 0.48 (95% CI: 0.26-0.89, I(2) = 61%, n = 3), diabetes, 0.61 (95% CI: 0.43-0.88, I(2) = 0%, n = 4), neurodegenerative disease, 0.65 (95% CI: 0.40-1.08, I(2) = 5.9%, n = 3), infectious disease, 0.25 (95% CI: 0.07-0.85, I(2) = 54%, n = 2), and kidney disease, 0.27 (95% CI: 0.04-1.91, I(2) = 61%, n = 2). The results were similar for tree nuts and peanuts. If the associations are causal, an estimated 4.4 million premature deaths in the America, Europe, Southeast Asia, and Western Pacific would be attributable to a nut intake below 20 grams per day in 2013. CONCLUSIONS: Higher nut intake is associated with reduced risk of cardiovascular disease, total cancer and all-cause mortality, and mortality from respiratory disease, diabetes, and infections.","author":[{"dropping-particle":"","family":"Aune","given":"Dagfinn","non-dropping-particle":"","parse-names":false,"suffix":""},{"dropping-particle":"","family":"Keum","given":"NaNa","non-dropping-particle":"","parse-names":false,"suffix":""},{"dropping-particle":"","family":"Giovannucci","given":"Edward","non-dropping-particle":"","parse-names":false,"suffix":""},{"dropping-particle":"","family":"Fadnes","given":"Lars T","non-dropping-particle":"","parse-names":false,"suffix":""},{"dropping-particle":"","family":"Boffetta","given":"Paolo","non-dropping-particle":"","parse-names":false,"suffix":""},{"dropping-particle":"","family":"Greenwood","given":"Darren C","non-dropping-particle":"","parse-names":false,"suffix":""},{"dropping-particle":"","family":"Tonstad","given":"Serena","non-dropping-particle":"","parse-names":false,"suffix":""},{"dropping-particle":"","family":"Vatten","given":"Lars J","non-dropping-particle":"","parse-names":false,"suffix":""},{"dropping-particle":"","family":"Riboli","given":"Elio","non-dropping-particle":"","parse-names":false,"suffix":""},{"dropping-particle":"","family":"Norat","given":"Teresa","non-dropping-particle":"","parse-names":false,"suffix":""}],"container-title":"BMC medicine","id":"DNBsr0kA/qMsl7qSw","issue":"1","issued":{"date-parts":[["2016"]]},"language":"eng","page":"207","title":"Nut consumption and risk of cardiovascular disease, total cancer, all-cause and cause-specific mortality: a systematic review and dose-response meta-analysis of prospective studies","type":"article-journal","volume":"14"}},{"id":"9UZPP0Go/JnTJVF2I","uris":["http://www.mendeley.com/documents/?uuid=41a1412e-fd91-4471-b9d5-043119c08674"],"uri":["http://www.mendeley.com/documents/?uuid=41a1412e-fd91-4471-b9d5-043119c08674"],"itemData":{"author":[{"dropping-particle":"","family":"Aune","given":"D","non-dropping-particle":"","parse-names":false,"suffix":""},{"dropping-particle":"","family":"Giovannucci","given":"E","non-dropping-particle":"","parse-names":false,"suffix":""},{"dropping-particle":"","family":"Boffetta","given":"P","non-dropping-particle":"","parse-names":false,"suffix":""},{"dropping-particle":"","family":"Fadnes","given":"L T","non-dropping-particle":"","parse-names":false,"suffix":""},{"dropping-particle":"","family":"Keum","given":"N","non-dropping-particle":"","parse-names":false,"suffix":""},{"dropping-particle":"","family":"Norat","given":"T","non-dropping-particle":"","parse-names":false,"suffix":""},{"dropping-particle":"","family":"Greenwood","given":"D C","non-dropping-particle":"","parse-names":false,"suffix":""},{"dropping-particle":"","family":"Riboli","given":"E","non-dropping-particle":"","parse-names":false,"suffix":""},{"dropping-particle":"","family":"Vatten","given":"L J","non-dropping-particle":"","parse-names":false,"suffix":""},{"dropping-particle":"","family":"Tonstad","given":"S","non-dropping-particle":"","parse-names":false,"suffix":""}],"container-title":"International Journal of Epidemiology","id":"ITEM-3","issued":{"date-parts":[["2016","3","18"]]},"title":"Fruit and vegetable intake and the risk of cardiovascular disease, total cancer and all-cause mortality–a systematic review and dose-response meta-analysis of prospective studies","type":"article-journal"}},{"id":"9UZPP0Go/fEUAUI8W","uris":["http://www.mendeley.com/documents/?uuid=bdd9c8da-ff28-31d3-9ce7-abf0cba8378b"],"uri":["http://www.mendeley.com/documents/?uuid=bdd9c8da-ff28-31d3-9ce7-abf0cba8378b"],"itemData":{"DOI":"10.1002/ijc.31198","ISSN":"10970215","PMID":"29210053","abstract":"The aim of this systematic review and meta-analysis was to summarize the evidence on the relationship between intake of 12 major food groups, including whole grains, refined grains, vegetables, fruit, nuts, legumes, eggs, dairy, fish, red meat, processed meat and sugar-sweetened beverages with risk of colorectal cancer (CRC). We conducted a systematic search in PubMed and Embase for prospective studies investigating the association between these 12 food groups and risk of CRC until April 2017. Summary risk ratios (RRs) and 95% confidence intervals (95% CI) were estimated using a random effects model for high vs. low intake categories, as well as for linear and nonlinear relationships. An inverse association was observed for whole grains (RR30g/d: 0.95, 95% CI 0.93, 0.97; n = 9 studies), vegetables (RR100g/d: 0.97, 95% CI 0.96, 0.98; n = 15), fruit (RR100g/d: 0.97, 95% CI 0.95, 0.99; n = 16) and dairy (RR200g/d: 0.93, 95% CI 0.91, 0.94; n = 15), while a positive association for red meat (RR100g/d: 1.12, 95% CI 1.06, 1.19; n = 21) and processed meat (RR50g/d: 1.17, 95% CI 1.10, 1.23; n = 16), was seen in the linear dose-response meta-analysis. Some evidence for nonlinear relationships was observed between vegetables, fruit and dairy and risk of colorectal cancer. Findings of this meta-analysis showed that a diet characterized by high intake of whole grains, vegetables, fruit and dairy products and low amounts of red meat and processed meat was associated with lower risk of CRC.","author":[{"dropping-particle":"","family":"Schwingshackl","given":"Lukas","non-dropping-particle":"","parse-names":false,"suffix":""},{"dropping-particle":"","family":"Schwedhelm","given":"Carolina","non-dropping-particle":"","parse-names":false,"suffix":""},{"dropping-particle":"","family":"Hoffmann","given":"Georg","non-dropping-particle":"","parse-names":false,"suffix":""},{"dropping-particle":"","family":"Knüppel","given":"Sven","non-dropping-particle":"","parse-names":false,"suffix":""},{"dropping-particle":"","family":"Laure Preterre","given":"Anne","non-dropping-particle":"","parse-names":false,"suffix":""},{"dropping-particle":"","family":"Iqbal","given":"Khalid","non-dropping-particle":"","parse-names":false,"suffix":""},{"dropping-particle":"","family":"Bechthold","given":"Angela","non-dropping-particle":"","parse-names":false,"suffix":""},{"dropping-particle":"","family":"Henauw","given":"Stefaan","non-dropping-particle":"De","parse-names":false,"suffix":""},{"dropping-particle":"","family":"Michels","given":"Nathalie","non-dropping-particle":"","parse-names":false,"suffix":""},{"dropping-particle":"","family":"Devleesschauwer","given":"Brecht","non-dropping-particle":"","parse-names":false,"suffix":""},{"dropping-particle":"","family":"Boeing","given":"Heiner","non-dropping-particle":"","parse-names":false,"suffix":""},{"dropping-particle":"","family":"Schlesinger","given":"Sabrina","non-dropping-particle":"","parse-names":false,"suffix":""}],"container-title":"International Journal of Cancer","id":"ITEM-6","issue":"9","issued":{"date-parts":[["2018","5","1"]]},"page":"1748-1758","publisher":"Wiley-Liss Inc.","title":"Food groups and risk of colorectal cancer","type":"article-journal","volume":"142"}},{"id":"9UZPP0Go/EJ92l2md","uris":["http://www.mendeley.com/documents/?uuid=ba4fcacc-f1c5-3030-ade7-aa63e34b8ebb"],"uri":["http://www.mendeley.com/documents/?uuid=ba4fcacc-f1c5-3030-ade7-aa63e34b8ebb"],"itemData":{"DOI":"10.1007/s10654-017-0246-y","ISSN":"15737284","PMID":"28397016","abstract":"The aim of this systematic review and meta-analysis was to synthesize the knowledge about the relation between intake of 12 major food groups and risk of type 2 diabetes (T2D). We conducted a systematic search in PubMed, Embase, Medline (Ovid), Cochrane Central, and Google Scholar for prospective studies investigating the association between whole grains, refined grains, vegetables, fruits, nuts, legumes, eggs, dairy, fish, red meat, processed meat, and sugar-sweetened beverages (SSB) on risk of T2D. Summary relative risks were estimated using a random effects model by contrasting categories, and for linear and non-linear dose–response relationships. Six out of the 12 food-groups showed a significant relation with risk of T2D, three of them a decrease of risk with increasing consumption (whole grains, fruits, and dairy), and three an increase of risk with increasing consumption (red meat, processed meat, and SSB) in the linear dose–response meta-analysis. There was evidence of a non-linear relationship between fruits, vegetables, processed meat, whole grains, and SSB and T2D risk. Optimal consumption of risk-decreasing foods resulted in a 42% reduction, and consumption of risk-increasing foods was associated with a threefold T2D risk, compared to non-consumption. The meta-evidence was graded “low” for legumes and nuts; “moderate” for refined grains, vegetables, fruit, eggs, dairy, and fish; and “high” for processed meat, red meat, whole grains, and SSB. Among the investigated food groups, selecting specific optimal intakes can lead to a considerable change in risk of T2D.","author":[{"dropping-particle":"","family":"Schwingshackl","given":"Lukas","non-dropping-particle":"","parse-names":false,"suffix":""},{"dropping-particle":"","family":"Hoffmann","given":"Georg","non-dropping-particle":"","parse-names":false,"suffix":""},{"dropping-particle":"","family":"Lampousi","given":"Anna Maria","non-dropping-particle":"","parse-names":false,"suffix":""},{"dropping-particle":"","family":"Knüppel","given":"Sven","non-dropping-particle":"","parse-names":false,"suffix":""},{"dropping-particle":"","family":"Iqbal","given":"Khalid","non-dropping-particle":"","parse-names":false,"suffix":""},{"dropping-particle":"","family":"Schwedhelm","given":"Carolina","non-dropping-particle":"","parse-names":false,"suffix":""},{"dropping-particle":"","family":"Bechthold","given":"Angela","non-dropping-particle":"","parse-names":false,"suffix":""},{"dropping-particle":"","family":"Schlesinger","given":"Sabrina","non-dropping-particle":"","parse-names":false,"suffix":""},{"dropping-particle":"","family":"Boeing","given":"Heiner","non-dropping-particle":"","parse-names":false,"suffix":""}],"container-title":"European Journal of Epidemiology","id":"ITEM-5","issue":"5","issued":{"date-parts":[["2017","5","1"]]},"page":"363-375","publisher":"Springer Netherlands","title":"Food groups and risk of type 2 diabetes mellitus: a systematic review and meta-analysis of prospective studies","type":"article-journal","volume":"32"}},{"id":"9UZPP0Go/JHXfnxfi","uris":["http://www.mendeley.com/documents/?uuid=ac74996d-8158-4e11-b11b-2ed4d98d54a6"],"uri":["http://www.mendeley.com/documents/?uuid=ac74996d-8158-4e11-b11b-2ed4d98d54a6"],"itemData":{"DOI":"10.1017/S1368980011002254","ISSN":"1475-2727","abstract":"OBJECTIVE: Results of studies on fish consumption and CHD mortality are inconsistent. The present updated meta-analysis was conducted to investigate the up-to-date pooling effects. DESIGN: A random-effects model was used to pool the risk estimates. Generalized least-squares regression and restricted cubic splines were used to assess the possible dose-response relationship. Subgroup analyses were conducted to examine the sources of heterogeneity. SETTING: PubMed and ISI Web of Science databases up to September 2010 were searched and secondary referencing qualified for inclusion in the study. SUBJECTS: Seventeen cohorts with 315,812 participants and average follow-up period of 15·9 years were identified. RESULTS: Compared with the lowest fish intake (&lt;1 serving/month or 1-3 servings/month), the pooled relative risk (RR) of fish intake on CHD mortality was 0·84 (95% CI 0·75, 0·95) for low fish intake (1 serving/week), 0·79 (95% CI 0·67, 0·92) for moderate fish intake (2-4 servings/week) and 0·83 (95% CI 0·68, 1·01) for high fish intake (&gt;5 servings/week). The dose-response analysis indicated that every 15 g/d increment of fish intake decreased the risk of CHD mortality by 6% (RR = 0·94; 95% CI 0·90, 0·98). The method of dietary assessment, gender and energy adjustment affected the results remarkably. CONCLUSIONS: Our results indicate that either low (1 serving/week) or moderate fish consumption (2-4 servings/week) has a significantly beneficial effect on the prevention of CHD mortality. High fish consumption (&gt;5 servings/week) possesses only a marginally protective effect on CHD mortality, possibly due to the limited studies included in this group.","author":[{"dropping-particle":"","family":"Zheng","given":"Jusheng","non-dropping-particle":"","parse-names":false,"suffix":""},{"dropping-particle":"","family":"Huang","given":"Tao","non-dropping-particle":"","parse-names":false,"suffix":""},{"dropping-particle":"","family":"Yu","given":"Yinghua","non-dropping-particle":"","parse-names":false,"suffix":""},{"dropping-particle":"","family":"Hu","given":"Xiaojie","non-dropping-particle":"","parse-names":false,"suffix":""},{"dropping-particle":"","family":"Yang","given":"Bin","non-dropping-particle":"","parse-names":false,"suffix":""},{"dropping-particle":"","family":"Li","given":"Duo","non-dropping-particle":"","parse-names":false,"suffix":""}],"container-title":"Public Health Nutrition","id":"ITEM-7","issue":"4","issued":{"date-parts":[["2012"]]},"language":"eng","page":"725-737","title":"Fish consumption and CHD mortality: an updated meta-analysis of seventeen cohort studies","type":"article-journal","volume":"15"}},{"id":7270,"uris":["http://zotero.org/users/14122/items/RU7RLZVN"],"uri":["http://zotero.org/users/14122/items/RU7RLZVN"],"itemData":{"id":7270,"type":"article-journal","abstract":"BACKGROUND Overweight and obesity are increasing worldwide. To help assess their relevance to mortality in different populations we conducted individual-participant data meta-analyses of prospective studies of body-mass index (BMI), limiting confounding and reverse causality by restricting analyses to never-smokers and excluding pre-existing disease and the first 5 years of follow-up. METHODS Of 10 625 411 participants in Asia, Australia and New Zealand, Europe, and North America from 239 prospective studies (median follow-up 13·7 years, IQR 11·4-14·7), 3 951 455 people in 189 studies were never-smokers without chronic diseases at recruitment who survived 5 years, of whom 385 879 died. The primary analyses are of these deaths, and study, age, and sex adjusted hazard ratios (HRs), relative to BMI 22·5-&lt;25·0 kg/m(2). FINDINGS All-cause mortality was minimal at 20·0-25·0 kg/m(2) (HR 1·00, 95% CI 0·98-1·02 for BMI 20·0-&lt;22·5 kg/m(2); 1·00, 0·99-1·01 for BMI 22·5-&lt;25·0 kg/m(2)), and increased significantly both just below this range (1·13, 1·09-1·17 for BMI 18·5-&lt;20·0 kg/m(2); 1·51, 1·43-1·59 for BMI 15·0-&lt;18·5) and throughout the overweight range (1·07, 1·07-1·08 for BMI 25·0-&lt;27·5 kg/m(2); 1·20, 1·18-1·22 for BMI 27·5-&lt;30·0 kg/m(2)). The HR for obesity grade 1 (BMI 30·0-&lt;35·0 kg/m(2)) was 1·45, 95% CI 1·41-1·48; the HR for obesity grade 2 (35·0-&lt;40·0 kg/m(2)) was 1·94, 1·87-2·01; and the HR for obesity grade 3 (40·0-&lt;60·0 kg/m(2)) was 2·76, 2·60-2·92. For BMI over 25·0 kg/m(2), mortality increased approximately log-linearly with BMI; the HR per 5 kg/m(2) units higher BMI was 1·39 (1·34-1·43) in Europe, 1·29 (1·26-1·32) in North America, 1·39 (1·34-1·44) in east Asia, and 1·31 (1·27-1·35) in Australia and New Zealand. This HR per 5 kg/m(2) units higher BMI (for BMI over 25 kg/m(2)) was greater in younger than older people (1·52, 95% CI 1·47-1·56, for BMI measured at 35-49 years vs 1·21, 1·17-1·25, for BMI measured at 70-89 years; pheterogeneity&lt;0·0001), greater in men than women (1·51, 1·46-1·56, vs 1·30, 1·26-1·33; pheterogeneity&lt;0·0001), but similar in studies with self-reported and measured BMI. INTERPRETATION The associations of both overweight and obesity with higher all-cause mortality were broadly consistent in four continents. This finding supports strategies to combat the entire spectrum of excess adiposity in many populations. FUNDING UK Medical Research Council, British Heart Foundation, National Institute for Health Research, US National Institu…","container-title":"The Lancet","issue":"10046","page":"776-86","title":"Body-mass index and all-cause mortality: individual-participant-data meta-analysis of 239 prospective studies in four continents","volume":"388","author":[{"family":"Global BMI Mortality Collaboration","given":""},{"family":"Angelantonio","given":"Emanuele Di"},{"family":"Bhupathiraju","given":"Shilpa"},{"family":"Wormser","given":"David"},{"family":"Gao","given":"Pei"},{"family":"Kaptoge","given":"Stephen"},{"family":"Gonzalez","given":"Amy Berrington","dropping-particle":"de"},{"family":"Cairns","given":"Benjamin"},{"family":"Huxley","given":"Rachel"},{"family":"Jackson","given":"Chandra"},{"family":"Joshy","given":"Grace"},{"family":"Lewington","given":"Sarah"},{"family":"Manson","given":"JoAnn"},{"family":"Murphy","given":"Neil"},{"family":"Patel","given":"Alpa"},{"family":"Samet","given":"Jonathan"},{"family":"Woodward","given":"Mark"},{"family":"Zheng","given":"Wei"},{"family":"Zhou","given":"Maigen"},{"family":"Bansal","given":"Narinder"},{"family":"Barricarte","given":"Aurelio"},{"family":"Carter","given":"Brian"},{"family":"Cerhan","given":"James"},{"family":"Smith","given":"George"},{"family":"Fang","given":"Xianghua"},{"family":"Franco","given":"Oscar"},{"family":"Green","given":"Jane"},{"family":"Halsey","given":"Jim"},{"family":"Hildebrand","given":"Janet"},{"family":"Jung","given":"Keum"},{"family":"Korda","given":"Rosemary"},{"family":"McLerran","given":"Dale"},{"family":"Moore","given":"Steven"},{"family":"O'Keeffe","given":"Linda"},{"family":"Paige","given":"Ellie"},{"family":"Ramond","given":"Anna"},{"family":"Reeves","given":"Gillian"},{"family":"Rolland","given":"Betsy"},{"family":"Sacerdote","given":"Carlotta"},{"family":"Sattar","given":"Naveed"},{"family":"Sofianopoulou","given":"Eleni"},{"family":"Stevens","given":"June"},{"family":"Thun","given":"Michael"},{"family":"Ueshima","given":"Hirotsugu"},{"family":"Yang","given":"Ling"},{"family":"Yun","given":"Young"},{"family":"Willeit","given":"Peter"},{"family":"Banks","given":"Emily"},{"family":"Beral","given":"Valerie"},{"family":"Chen","given":"Zhengming"},{"family":"Gapstur","given":"Susan"},{"family":"Gunter","given":"Marc"},{"family":"Hartge","given":"Patricia"},{"family":"Jee","given":"Sun"},{"family":"Lam","given":"Tai-Hing"},{"family":"Peto","given":"Richard"},{"family":"Potter","given":"John"},{"family":"Willett","given":"Walter"},{"family":"Thompson","given":"Simon"},{"family":"Danesh","given":"John"},{"family":"Hu","given":"Frank"}],"issued":{"date-parts":[["2016"]]}}}],"schema":"https://github.com/citation-style-language/schema/raw/master/csl-citation.json"} </w:instrText>
      </w:r>
      <w:r w:rsidRPr="00C4280C">
        <w:rPr>
          <w:lang w:val="en-GB"/>
        </w:rPr>
        <w:fldChar w:fldCharType="separate"/>
      </w:r>
      <w:r w:rsidR="00BB7752" w:rsidRPr="00BB7752">
        <w:rPr>
          <w:szCs w:val="24"/>
          <w:vertAlign w:val="superscript"/>
        </w:rPr>
        <w:t>16–23</w:t>
      </w:r>
      <w:r w:rsidRPr="00C4280C">
        <w:fldChar w:fldCharType="end"/>
      </w:r>
      <w:r w:rsidR="005B2674">
        <w:t>.</w:t>
      </w:r>
      <w:r w:rsidRPr="00C4280C">
        <w:rPr>
          <w:lang w:val="en-GB"/>
        </w:rPr>
        <w:t xml:space="preserve"> In line with the meta-analyses, we included non-linear dose-response relationships for fruits and vegetables, nuts and seeds, and fish, and assumed linear dose-response relationships for the remaining risk factors. As our analysis was primarily focused on mortality from chronic diseases, we focused on adults aged 20 year or older, and we adjusted the relative-risk estimates for attenuation with age based on a pooled analysis of cohort studies focussed on </w:t>
      </w:r>
      <w:r w:rsidRPr="00C4280C">
        <w:rPr>
          <w:lang w:val="en-GB"/>
        </w:rPr>
        <w:lastRenderedPageBreak/>
        <w:t>metabolic risk factors</w:t>
      </w:r>
      <w:r w:rsidR="005B2674">
        <w:rPr>
          <w:lang w:val="en-GB"/>
        </w:rPr>
        <w:t xml:space="preserve"> </w:t>
      </w:r>
      <w:r w:rsidRPr="00C4280C">
        <w:rPr>
          <w:lang w:val="en-GB"/>
        </w:rPr>
        <w:fldChar w:fldCharType="begin" w:fldLock="1"/>
      </w:r>
      <w:r w:rsidR="00BB7752">
        <w:rPr>
          <w:lang w:val="en-GB"/>
        </w:rPr>
        <w:instrText xml:space="preserve"> ADDIN ZOTERO_ITEM CSL_CITATION {"citationID":"t5Qbfwv6","properties":{"formattedCitation":"\\super 24\\nosupersub{}","plainCitation":"24","noteIndex":0},"citationItems":[{"id":"9UZPP0Go/UaTzCKUf","uris":["http://www.mendeley.com/documents/?uuid=94bfa5a5-c6bb-4f3b-929c-8f4e3ee9945b"],"uri":["http://www.mendeley.com/documents/?uuid=94bfa5a5-c6bb-4f3b-929c-8f4e3ee9945b"],"itemData":{"DOI":"10.1371/journal.pone.0065174","ISSN":"1932-6203","abstract":"Background The effects of systolic blood pressure (SBP), serum total cholesterol (TC), fasting plasma glucose (FPG), and body mass index (BMI) on the risk of cardiovascular diseases (CVD) have been established in epidemiological studies, but consistent estimates of effect sizes by age and sex are not available.  Methods We reviewed large cohort pooling projects, evaluating effects of baseline or usual exposure to metabolic risks on ischemic heart disease (IHD), hypertensive heart disease (HHD), stroke, diabetes, and, as relevant selected other CVDs, after adjusting for important confounders. We pooled all data to estimate relative risks (RRs) for each risk factor and examined effect modification by age or other factors, using random effects models.  Results Across all risk factors, an average of 123 cohorts provided data on 1.4 million individuals and 52,000 CVD events. Each metabolic risk factor was robustly related to CVD. At the baseline age of 55–64 years, the RR for 10 mmHg higher SBP was largest for HHD (2.16; 95% CI 2.09–2.24), followed by effects on both stroke subtypes (1.66; 1.39–1.98 for hemorrhagic stroke and 1.63; 1.57–1.69 for ischemic stroke). In the same age group, RRs for 1 mmol/L higher TC were 1.44 (1.29–1.61) for IHD and 1.20 (1.15–1.25) for ischemic stroke. The RRs for 5 kg/m2 higher BMI for ages 55–64 ranged from 2.32 (2.04–2.63) for diabetes, to 1.44 (1.40–1.48) for IHD. For 1 mmol/L higher FPG, RRs in this age group were 1.18 (1.08–1.29) for IHD and 1.14 (1.01–1.29) for total stroke. For all risk factors, proportional effects declined with age, were generally consistent by sex, and differed by region in only a few age groups for certain risk factor-disease pairs.  Conclusion Our results provide robust, comparable and precise estimates of the effects of major metabolic risk factors on CVD and diabetes by age group.","author":[{"dropping-particle":"","family":"Singh","given":"Gitanjali M","non-dropping-particle":"","parse-names":false,"suffix":""},{"dropping-particle":"","family":"Danaei","given":"Goodarz","non-dropping-particle":"","parse-names":false,"suffix":""},{"dropping-particle":"","family":"Farzadfar","given":"Farshad","non-dropping-particle":"","parse-names":false,"suffix":""},{"dropping-particle":"","family":"Stevens","given":"Gretchen A","non-dropping-particle":"","parse-names":false,"suffix":""},{"dropping-particle":"","family":"Woodward","given":"Mark","non-dropping-particle":"","parse-names":false,"suffix":""},{"dropping-particle":"","family":"Wormser","given":"David","non-dropping-particle":"","parse-names":false,"suffix":""},{"dropping-particle":"","family":"Kaptoge","given":"Stephen","non-dropping-particle":"","parse-names":false,"suffix":""},{"dropping-particle":"","family":"Whitlock","given":"Gary","non-dropping-particle":"","parse-names":false,"suffix":""},{"dropping-particle":"","family":"Qiao","given":"Qing","non-dropping-particle":"","parse-names":false,"suffix":""},{"dropping-particle":"","family":"Lewington","given":"Sarah","non-dropping-particle":"","parse-names":false,"suffix":""},{"dropping-particle":"Di","family":"Angelantonio","given":"Emanuele","non-dropping-particle":"","parse-names":false,"suffix":""},{"dropping-particle":"vander","family":"Hoorn","given":"Stephen","non-dropping-particle":"","parse-names":false,"suffix":""},{"dropping-particle":"","family":"Lawes","given":"Carlene M M","non-dropping-particle":"","parse-names":false,"suffix":""},{"dropping-particle":"","family":"Ali","given":"Mohammed K","non-dropping-particle":"","parse-names":false,"suffix":""},{"dropping-particle":"","family":"Mozaffarian","given":"Dariush","non-dropping-particle":"","parse-names":false,"suffix":""},{"dropping-particle":"","family":"Ezzati","given":"Majid","non-dropping-particle":"","parse-names":false,"suffix":""},{"dropping-particle":"","family":"Group","given":"Global Burden of Metabolic Risk Factors of Chronic Diseases Collaborating","non-dropping-particle":"","parse-names":false,"suffix":""},{"dropping-particle":"","family":"(apcsc)","given":"Asia-Pacific Cohort Studies Collaboration","non-dropping-particle":"","parse-names":false,"suffix":""},{"dropping-particle":"","family":"(decode)","given":"Diabetes Epidemiology: Collaborative analysis of Diagnostic criteria in Europe","non-dropping-particle":"","parse-names":false,"suffix":""},{"dropping-particle":"","family":"(erfc)","given":"Emerging Risk Factor Collaboration","non-dropping-particle":"","parse-names":false,"suffix":""},{"dropping-particle":"","family":"(psc)","given":"Prospective Studies Collaboration","non-dropping-particle":"","parse-names":false,"suffix":""}],"container-title":"PLOS ONE","id":"ITEM-1","issue":"7","issued":{"date-parts":[["2013","10","3"]]},"page":"e65174","title":"The Age-Specific Quantitative Effects of Metabolic Risk Factors on Cardiovascular Diseases and Diabetes: A Pooled Analysis","type":"article-journal","volume":"8"}}],"schema":"https://github.com/citation-style-language/schema/raw/master/csl-citation.json"} </w:instrText>
      </w:r>
      <w:r w:rsidRPr="00C4280C">
        <w:rPr>
          <w:lang w:val="en-GB"/>
        </w:rPr>
        <w:fldChar w:fldCharType="separate"/>
      </w:r>
      <w:r w:rsidR="00BB7752" w:rsidRPr="00BB7752">
        <w:rPr>
          <w:szCs w:val="24"/>
          <w:vertAlign w:val="superscript"/>
        </w:rPr>
        <w:t>24</w:t>
      </w:r>
      <w:r w:rsidRPr="00C4280C">
        <w:fldChar w:fldCharType="end"/>
      </w:r>
      <w:r w:rsidR="005B2674">
        <w:t>,</w:t>
      </w:r>
      <w:r w:rsidRPr="00C4280C">
        <w:rPr>
          <w:lang w:val="en-GB"/>
        </w:rPr>
        <w:t xml:space="preserve"> in line with other assessments</w:t>
      </w:r>
      <w:r w:rsidR="005B2674">
        <w:rPr>
          <w:lang w:val="en-GB"/>
        </w:rPr>
        <w:t xml:space="preserve"> </w:t>
      </w:r>
      <w:r w:rsidRPr="00C4280C">
        <w:rPr>
          <w:lang w:val="en-GB"/>
        </w:rPr>
        <w:fldChar w:fldCharType="begin" w:fldLock="1"/>
      </w:r>
      <w:r w:rsidR="00BB7752">
        <w:rPr>
          <w:lang w:val="en-GB"/>
        </w:rPr>
        <w:instrText xml:space="preserve"> ADDIN ZOTERO_ITEM CSL_CITATION {"citationID":"IRtFqbz5","properties":{"formattedCitation":"\\super 25,26\\nosupersub{}","plainCitation":"25,26","noteIndex":0},"citationItems":[{"id":"9UZPP0Go/2FwxoRE0","uris":["http://www.mendeley.com/documents/?uuid=11cafc6e-5f23-3007-938c-b7787245d837","http://www.mendeley.com/documents/?uuid=93fe7f2e-0878-45e5-b823-96d99d11096d"],"uri":["http://www.mendeley.com/documents/?uuid=11cafc6e-5f23-3007-938c-b7787245d837","http://www.mendeley.com/documents/?uuid=93fe7f2e-0878-45e5-b823-96d99d11096d"],"itemData":{"DOI":"10.1016/S0140-6736(18)32225-6","ISSN":"1474-547X","PMID":"30496105","abstract":"BACKGROUND The Global Burden of Diseases, Injuries, and Risk Factors Study (GBD) 2017 comparative risk assessment (CRA) is a comprehensive approach to risk factor quantification that offers a useful tool for synthesising evidence on risks and risk-outcome associations. With each annual GBD study, we update the GBD CRA to incorporate improved methods, new risks and risk-outcome pairs, and new data on risk exposure levels and risk-outcome associations. METHODS We used the CRA framework developed for previous iterations of GBD to estimate levels and trends in exposure, attributable deaths, and attributable disability-adjusted life-years (DALYs), by age group, sex, year, and location for 84 behavioural, environmental and occupational, and metabolic risks or groups of risks from 1990 to 2017. This study included 476 risk-outcome pairs that met the GBD study criteria for convincing or probable evidence of causation. We extracted relative risk and exposure estimates from 46 749 randomised controlled trials, cohort studies, household surveys, census data, satellite data, and other sources. We used statistical models to pool data, adjust for bias, and incorporate covariates. Using the counterfactual scenario of theoretical minimum risk exposure level (TMREL), we estimated the portion of deaths and DALYs that could be attributed to a given risk. We explored the relationship between development and risk exposure by modelling the relationship between the Socio-demographic Index (SDI) and risk-weighted exposure prevalence and estimated expected levels of exposure and risk-attributable burden by SDI. Finally, we explored temporal changes in risk-attributable DALYs by decomposing those changes into six main component drivers of change as follows: (1) population growth; (2) changes in population age structures; (3) changes in exposure to environmental and occupational risks; (4) changes in exposure to behavioural risks; (5) changes in exposure to metabolic risks; and (6) changes due to all other factors, approximated as the risk-deleted death and DALY rates, where the risk-deleted rate is the rate that would be observed had we reduced the exposure levels to the TMREL for all risk factors included in GBD 2017. FINDINGS In 2017, 34·1 million (95% uncertainty interval [UI] 33·3-35·0) deaths and 1·21 billion (1·14-1·28) DALYs were attributable to GBD risk factors. Globally, 61·0% (59·6-62·4) of deaths and 48·3% (46·3-50·2) of DALYs were attributed to the GBD 2017 risk fact…","author":[{"dropping-particle":"","family":"GBD 2017 Risk Factor Collaborators","given":"","non-dropping-particle":"","parse-names":false,"suffix":""},{"dropping-particle":"","family":"Afshin","given":"Ashkan","non-dropping-particle":"","parse-names":false,"suffix":""},{"dropping-particle":"","family":"Gakidou","given":"Emmanuela","non-dropping-particle":"","parse-names":false,"suffix":""},{"dropping-particle":"","family":"Lim","given":"Stephen S","non-dropping-particle":"","parse-names":false,"suffix":""},{"dropping-particle":"","family":"Abate","given":"Degu","non-dropping-particle":"","parse-names":false,"suffix":""},{"dropping-particle":"","family":"Abate","given":"Kalkidan Hassen","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Molla","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Niguse","non-dropping-particle":"","parse-names":false,"suffix":""},{"dropping-particle":"","family":"Abrham","given":"Aklilu Roba","non-dropping-particle":"","parse-names":false,"suffix":""},{"dropping-particle":"","family":"Abu-Raddad","given":"Laith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damu","given":"Abdu A","non-dropping-particle":"","parse-names":false,"suffix":""},{"dropping-particle":"","family":"Adane","given":"Akilew Awoke","non-dropping-particle":"","parse-names":false,"suffix":""},{"dropping-particle":"","family":"Adebayo","given":"Oladimeji M","non-dropping-particle":"","parse-names":false,"suffix":""},{"dropping-particle":"","family":"Adedoyin","given":"Rufus Adesoji","non-dropping-particle":"","parse-names":false,"suffix":""},{"dropping-particle":"","family":"Adekanmbi","given":"Victor","non-dropping-particle":"","parse-names":false,"suffix":""},{"dropping-particle":"","family":"Ademi","given":"Zanfina","non-dropping-particle":"","parse-names":false,"suffix":""},{"dropping-particle":"","family":"Adetokunboh","given":"Olatunji O","non-dropping-particle":"","parse-names":false,"suffix":""},{"dropping-particle":"","family":"Adib","given":"Mina G","non-dropping-particle":"","parse-names":false,"suffix":""},{"dropping-particle":"","family":"Admasie","given":"Amha","non-dropping-particle":"","parse-names":false,"suffix":""},{"dropping-particle":"","family":"Adsuar","given":"Jose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garwal","given":"Gina","non-dropping-particle":"","parse-names":false,"suffix":""},{"dropping-particle":"","family":"Aggarwal","given":"Anju","non-dropping-particle":"","parse-names":false,"suffix":""},{"dropping-particle":"","family":"Aghayan","given":"Sargis Aghasi","non-dropping-particle":"","parse-names":false,"suffix":""},{"dropping-particle":"","family":"Agrawal","given":"Anurag","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Eddine","non-dropping-particle":"","parse-names":false,"suffix":""},{"dropping-particle":"","family":"Akbari","given":"Mohammad Esmaeil","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ahdab","given":"Fares","non-dropping-particle":"","parse-names":false,"suffix":""},{"dropping-particle":"","family":"Alam","given":"Khurshid","non-dropping-particle":"","parse-names":false,"suffix":""},{"dropping-particle":"","family":"Alam","given":"Samiah","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Addis","non-dropping-particle":"","parse-names":false,"suffix":""},{"dropping-particle":"","family":"Ali","given":"Komal","non-dropping-particle":"","parse-names":false,"suffix":""},{"dropping-particle":"","family":"Ali","given":"Syed Mustafa","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sharif","given":"Uba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T","non-dropping-particle":"","parse-names":false,"suffix":""},{"dropping-particle":"","family":"Ammar","given":"Walid","non-dropping-particle":"","parse-names":false,"suffix":""},{"dropping-particle":"","family":"Anber","given":"Nahla Hamed","non-dropping-particle":"","parse-names":false,"suffix":""},{"dropping-particle":"","family":"Anderson","given":"Jason A","non-dropping-particle":"","parse-names":false,"suffix":""},{"dropping-particle":"","family":"Andrei","given":"Catalina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Geleto","non-dropping-particle":"","parse-names":false,"suffix":""},{"dropping-particle":"","family":"Antó","given":"Josep M","non-dropping-particle":"","parse-names":false,"suffix":""},{"dropping-particle":"","family":"Antonio","given":"Carl Abelardo T","non-dropping-particle":"","parse-names":false,"suffix":""},{"dropping-particle":"","family":"Anwari","given":"Palwasha","non-dropping-particle":"","parse-names":false,"suffix":""},{"dropping-particle":"","family":"Appiah","given":"Lambert Tetteh","non-dropping-particle":"","parse-names":false,"suffix":""},{"dropping-particle":"","family":"Appiah","given":"Seth Christopher Yaw","non-dropping-particle":"","parse-names":false,"suffix":""},{"dropping-particle":"","family":"Arabloo","given":"Jalal","non-dropping-particle":"","parse-names":false,"suffix":""},{"dropping-particle":"","family":"Aremu","given":"Olatunde","non-dropping-particle":"","parse-names":false,"suffix":""},{"dropping-particle":"","family":"Ärnlöv","given":"Johan","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taro","given":"Zerihun","non-dropping-particle":"","parse-names":false,"suffix":""},{"dropping-particle":"","family":"Ausloos","given":"Marcel","non-dropping-particle":"","parse-names":false,"suffix":""},{"dropping-particle":"","family":"Avokpaho","given":"Euripide F G A","non-dropping-particle":"","parse-names":false,"suffix":""},{"dropping-particle":"","family":"Awasthi","given":"Ashish","non-dropping-particle":"","parse-names":false,"suffix":""},{"dropping-particle":"","family":"Quintanilla","given":"Beatriz Paulina Ayala","non-dropping-particle":"","parse-names":false,"suffix":""},{"dropping-particle":"","family":"Ayer","given":"Rakesh","non-dropping-particle":"","parse-names":false,"suffix":""},{"dropping-particle":"","family":"Ayuk","given":"Tambe B","non-dropping-particle":"","parse-names":false,"suffix":""},{"dropping-particle":"","family":"Azzopardi","given":"Peter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akrishnan","given":"Kalpana","non-dropping-particle":"","parse-names":false,"suffix":""},{"dropping-particle":"","family":"Bali","given":"Ayele Geleto","non-dropping-particle":"","parse-names":false,"suffix":""},{"dropping-particle":"","family":"Ball","given":"Kylie","non-dropping-particle":"","parse-names":false,"suffix":""},{"dropping-particle":"","family":"Ballew","given":"Shoshana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Mattar","non-dropping-particle":"","parse-names":false,"suffix":""},{"dropping-particle":"","family":"Barac","given":"Aleksandra","non-dropping-particle":"","parse-names":false,"suffix":""},{"dropping-particle":"","family":"Barker-Collo","given":"Suzanne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H","non-dropping-particle":"","parse-names":false,"suffix":""},{"dropping-particle":"","family":"Basu","given":"Sanjay","non-dropping-particle":"","parse-names":false,"suffix":""},{"dropping-particle":"","family":"Baune","given":"Bernhard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kele","given":"Bayu Begashaw","non-dropping-particle":"","parse-names":false,"suffix":""},{"dropping-particle":"","family":"Bekru","given":"Eyasu Tamru","non-dropping-particle":"","parse-names":false,"suffix":""},{"dropping-particle":"","family":"Belay","given":"Ezra","non-dropping-particle":"","parse-names":false,"suffix":""},{"dropping-particle":"","family":"Belay","given":"Yihalem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rgeron","given":"Gilles","non-dropping-particle":"","parse-names":false,"suffix":""},{"dropping-particle":"","family":"Berhane","given":"Adugnaw","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lla","given":"Ashish","non-dropping-particle":"","parse-names":false,"suffix":""},{"dropping-particle":"","family":"Bhattarai","given":"Suraj","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Bin","family":"Sayeed","given":"Muhammad Shahdaat","non-dropping-particle":"","parse-names":false,"suffix":""},{"dropping-particle":"","family":"Bisanzio","given":"Donal","non-dropping-particle":"","parse-names":false,"suffix":""},{"dropping-particle":"","family":"Biswas","given":"Tuhin","non-dropping-particle":"","parse-names":false,"suffix":""},{"dropping-particle":"","family":"Bjørge","given":"Tone","non-dropping-particle":"","parse-names":false,"suffix":""},{"dropping-particle":"","family":"Blacker","given":"Brigette F","non-dropping-particle":"","parse-names":false,"suffix":""},{"dropping-particle":"","family":"Bleyer","given":"Archie","non-dropping-particle":"","parse-names":false,"suffix":""},{"dropping-particle":"","family":"Borschmann","given":"Rohan","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uer","given":"Michael","non-dropping-particle":"","parse-names":false,"suffix":""},{"dropping-particle":"","family":"Brazinova","given":"Alexandra","non-dropping-particle":"","parse-names":false,"suffix":""},{"dropping-particle":"","family":"Breitborde","given":"Nicholas J K","non-dropping-particle":"","parse-names":false,"suffix":""},{"dropping-particle":"","family":"Brenner","given":"Hermann","non-dropping-particle":"","parse-names":false,"suffix":""},{"dropping-particle":"","family":"Briko","given":"Andrey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rnett","given":"Richard T","non-dropping-particle":"","parse-names":false,"suffix":""},{"dropping-particle":"","family":"Busse","given":"Reinhard","non-dropping-particle":"","parse-names":false,"suffix":""},{"dropping-particle":"","family":"Butt","given":"Zahid A","non-dropping-particle":"","parse-names":false,"suffix":""},{"dropping-particle":"","family":"Cahill","given":"Leah E","non-dropping-particle":"","parse-names":false,"suffix":""},{"dropping-particle":"","family":"Cahuana-Hurtado","given":"Lucero","non-dropping-particle":"","parse-names":false,"suffix":""},{"dropping-particle":"","family":"Campos-Nonato","given":"Ismael R","non-dropping-particle":"","parse-names":false,"suffix":""},{"dropping-particle":"","family":"Cárdenas","given":"Rosario","non-dropping-particle":"","parse-names":false,"suffix":""},{"dropping-particle":"","family":"Carreras","given":"Giulia","non-dropping-particle":"","parse-names":false,"suffix":""},{"dropping-particle":"","family":"Carrero","given":"Juan J","non-dropping-particle":"","parse-names":false,"suffix":""},{"dropping-particle":"","family":"Carvalho","given":"Félix","non-dropping-particle":"","parse-names":false,"suffix":""},{"dropping-particle":"","family":"Castañeda-Orjuela","given":"Carlos A","non-dropping-particle":"","parse-names":false,"suffix":""},{"dropping-particle":"","family":"Rivas","given":"Jacqueline Castillo","non-dropping-particle":"","parse-names":false,"suffix":""},{"dropping-particle":"","family":"Castro","given":"Franz","non-dropping-particle":"","parse-names":false,"suffix":""},{"dropping-particle":"","family":"Catalá-López","given":"Ferrán","non-dropping-particle":"","parse-names":false,"suffix":""},{"dropping-particle":"","family":"Causey","given":"Kate","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Hsing-Yi","non-dropping-particle":"","parse-names":false,"suffix":""},{"dropping-particle":"","family":"Chang","given":"Jung-Chen","non-dropping-particle":"","parse-names":false,"suffix":""},{"dropping-particle":"","family":"Chang","given":"Kai-La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Kumar","non-dropping-particle":"","parse-names":false,"suffix":""},{"dropping-particle":"","family":"Chee","given":"Miao Li","non-dropping-particle":"","parse-names":false,"suffix":""},{"dropping-particle":"","family":"Cheng","given":"Ching-Yu","non-dropping-particle":"","parse-names":false,"suffix":""},{"dropping-particle":"","family":"Chew","given":"Adrienne","non-dropping-particle":"","parse-names":false,"suffix":""},{"dropping-particle":"","family":"Chiang","given":"Peggy Pei-Chia","non-dropping-particle":"","parse-names":false,"suffix":""},{"dropping-particle":"","family":"Chimed-Ochir","given":"Odgerel","non-dropping-particle":"","parse-names":false,"suffix":""},{"dropping-particle":"","family":"Chin","given":"Ken Lee","non-dropping-particle":"","parse-names":false,"suffix":""},{"dropping-particle":"","family":"Chitheer","given":"Abdulaal","non-dropping-particle":"","parse-names":false,"suffix":""},{"dropping-particle":"","family":"Choi","given":"Jee-Young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J","non-dropping-particle":"","parse-names":false,"suffix":""},{"dropping-particle":"","family":"Chung","given":"Sheng-Chia","non-dropping-particle":"","parse-names":false,"suffix":""},{"dropping-particle":"","family":"Cicuttini","given":"Flavia M","non-dropping-particle":"","parse-names":false,"suffix":""},{"dropping-particle":"","family":"Cirillo","given":"Massimo","non-dropping-particle":"","parse-names":false,"suffix":""},{"dropping-particle":"","family":"Cohen","given":"Aaron J","non-dropping-particle":"","parse-names":false,"suffix":""},{"dropping-particle":"","family":"Collado-Mateo","given":"Daniel","non-dropping-particle":"","parse-names":false,"suffix":""},{"dropping-particle":"","family":"Cooper","given":"Cyrus","non-dropping-particle":"","parse-names":false,"suffix":""},{"dropping-particle":"","family":"Cooper","given":"Owen R","non-dropping-particle":"","parse-names":false,"suffix":""},{"dropping-particle":"","family":"Coresh","given":"Josef","non-dropping-particle":"","parse-names":false,"suffix":""},{"dropping-particle":"","family":"Cornaby","given":"Leslie","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A","non-dropping-particle":"","parse-names":false,"suffix":""},{"dropping-particle":"","family":"Cundiff","given":"David K","non-dropping-particle":"","parse-names":false,"suffix":""},{"dropping-particle":"","family":"Daba","given":"Alemneh Kabeta","non-dropping-particle":"","parse-names":false,"suffix":""},{"dropping-particle":"","family":"Dachew","given":"Berihun Assefa","non-dropping-particle":"","parse-names":false,"suffix":""},{"dropping-particle":"","family":"Dadi","given":"Abel Fekadu","non-dropping-particle":"","parse-names":false,"suffix":""},{"dropping-particle":"","family":"Damasceno","given":"Albertino Antonio Moura","non-dropping-particle":"","parse-names":false,"suffix":""},{"dropping-particle":"","family":"Dandona","given":"Lalit","non-dropping-particle":"","parse-names":false,"suffix":""},{"dropping-particle":"","family":"Dandona","given":"Rakhi","non-dropping-particle":"","parse-names":false,"suffix":""},{"dropping-particle":"","family":"Darby","given":"Sarah C","non-dropping-particle":"","parse-names":false,"suffix":""},{"dropping-particle":"","family":"Dargan","given":"Paul I","non-dropping-particle":"","parse-names":false,"suffix":""},{"dropping-particle":"","family":"Daryani","given":"Ahmad","non-dropping-particle":"","parse-names":false,"suffix":""},{"dropping-particle":"Das","family":"Gupta","given":"Rajat","non-dropping-particle":"","parse-names":false,"suffix":""},{"dropping-particle":"Das","family":"Neves","given":"José","non-dropping-particle":"","parse-names":false,"suffix":""},{"dropping-particle":"","family":"Dasa","given":"Tamirat Tesfaye","non-dropping-particle":"","parse-names":false,"suffix":""},{"dropping-particle":"","family":"Dash","given":"Aditya Prasad","non-dropping-particle":"","parse-names":false,"suffix":""},{"dropping-particle":"","family":"Davitoiu","given":"Dragos Virgil","non-dropping-particle":"","parse-names":false,"suffix":""},{"dropping-particle":"","family":"Davletov","given":"Kairat","non-dropping-particle":"","parse-names":false,"suffix":""},{"dropping-particle":"la","family":"Cruz-Góngora","given":"Vanessa De","non-dropping-particle":"","parse-names":false,"suffix":""},{"dropping-particle":"La","family":"Hoz","given":"Fernando Pio De","non-dropping-particle":"","parse-names":false,"suffix":""},{"dropping-particle":"De","family":"Leo","given":"Diego","non-dropping-particle":"","parse-names":false,"suffix":""},{"dropping-particle":"De","family":"Neve","given":"Jan-Walter","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nova-Gutiérrez","given":"Edgar","non-dropping-particle":"","parse-names":false,"suffix":""},{"dropping-particle":"","family":"Deribe","given":"Kebede","non-dropping-particle":"","parse-names":false,"suffix":""},{"dropping-particle":"","family":"Dervenis","given":"Nikolaos","non-dropping-particle":"","parse-names":false,"suffix":""},{"dropping-particle":"","family":"Deshpande","given":"Aniruddha","non-dropping-particle":"","parse-names":false,"suffix":""},{"dropping-particle":"Des","family":"Jarlais","given":"Don C","non-dropping-particle":"","parse-names":false,"suffix":""},{"dropping-particle":"","family":"Dessie","given":"Getenet Ayalew","non-dropping-particle":"","parse-names":false,"suffix":""},{"dropping-particle":"","family":"Deveber","given":"Gabrielle Aline","non-dropping-particle":"","parse-names":false,"suffix":""},{"dropping-particle":"","family":"Dey","given":"Subhojit","non-dropping-particle":"","parse-names":false,"suffix":""},{"dropping-particle":"","family":"Dharmaratne","given":"Samath Dhamminda","non-dropping-particle":"","parse-names":false,"suffix":""},{"dropping-particle":"","family":"Dhimal","given":"Meghnath","non-dropping-particle":"","parse-names":false,"suffix":""},{"dropping-particle":"","family":"Dinberu","given":"Mesfin Tadese","non-dropping-particle":"","parse-names":false,"suffix":""},{"dropping-particle":"","family":"Ding","given":"Eric L","non-dropping-particle":"","parse-names":false,"suffix":""},{"dropping-particle":"","family":"Diro","given":"Helen Derara","non-dropping-particle":"","parse-names":false,"suffix":""},{"dropping-particle":"","family":"Djalalinia","given":"Shirin","non-dropping-particle":"","parse-names":false,"suffix":""},{"dropping-particle":"","family":"Do","given":"Huyen Phuc","non-dropping-particle":"","parse-names":false,"suffix":""},{"dropping-particle":"","family":"Dokova","given":"Klara","non-dropping-particle":"","parse-names":false,"suffix":""},{"dropping-particle":"","family":"Doku","given":"David Teye","non-dropping-particle":"","parse-names":false,"suffix":""},{"dropping-particle":"","family":"Doyle","given":"Kerrie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ert","given":"Natalie","non-dropping-particle":"","parse-names":false,"suffix":""},{"dropping-particle":"","family":"Ebrahimi","given":"Hedyeh","non-dropping-particle":"","parse-names":false,"suffix":""},{"dropping-particle":"","family":"Ebrahimpour","given":"Soheil","non-dropping-particle":"","parse-names":false,"suffix":""},{"dropping-particle":"","family":"Edvardsson","given":"David","non-dropping-particle":"","parse-names":false,"suffix":""},{"dropping-particle":"","family":"Effiong","given":"Andem","non-dropping-particle":"","parse-names":false,"suffix":""},{"dropping-particle":"","family":"Eggen","given":"Anne Elise","non-dropping-particle":"","parse-names":false,"suffix":""},{"dropping-particle":"El","family":"Bcheraoui","given":"Charbel","non-dropping-particle":"","parse-names":false,"suffix":""},{"dropping-particle":"","family":"El-Khatib","given":"Ziad","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khim","given":"Hamed","non-dropping-particle":"","parse-names":false,"suffix":""},{"dropping-particle":"","family":"Faramarzi","given":"Mahbobeh","non-dropping-particle":"","parse-names":false,"suffix":""},{"dropping-particle":"","family":"Fareed","given":"Mohammad","non-dropping-particle":"","parse-names":false,"suffix":""},{"dropping-particle":"","family":"Farid","given":"Talha A","non-dropping-particle":"","parse-names":false,"suffix":""},{"dropping-particle":"","family":"Farinha","given":"Carla Sofia E 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S","non-dropping-particle":"","parse-names":false,"suffix":""},{"dropping-particle":"","family":"Farzaei","given":"Mohammad Hosein","non-dropping-particle":"","parse-names":false,"suffix":""},{"dropping-particle":"","family":"Fatima","given":"Batool","non-dropping-particle":"","parse-names":false,"suffix":""},{"dropping-particle":"","family":"Fay","given":"Kairsten A","non-dropping-particle":"","parse-names":false,"suffix":""},{"dropping-particle":"","family":"Fazaeli","given":"Ali Akbar","non-dropping-particle":"","parse-names":false,"suffix":""},{"dropping-particle":"","family":"Feigin","given":"Valery L","non-dropping-particle":"","parse-names":false,"suffix":""},{"dropping-particle":"","family":"Feigl","given":"Andrea B","non-dropping-particle":"","parse-names":false,"suffix":""},{"dropping-particle":"","family":"Fereshtehnejad","given":"Seyed-Mohammad","non-dropping-particle":"","parse-names":false,"suffix":""},{"dropping-particle":"","family":"Fernandes","given":"Eduarda","non-dropping-particle":"","parse-names":false,"suffix":""},{"dropping-particle":"","family":"Fernandes","given":"Joao C","non-dropping-particle":"","parse-names":false,"suffix":""},{"dropping-particle":"","family":"Ferrara","given":"Giannina","non-dropping-particle":"","parse-names":false,"suffix":""},{"dropping-particle":"","family":"Ferrari","given":"Alize J","non-dropping-particle":"","parse-names":false,"suffix":""},{"dropping-particle":"","family":"Ferreira","given":"Manuela L","non-dropping-particle":"","parse-names":false,"suffix":""},{"dropping-particle":"","family":"Filip","given":"Irina","non-dropping-particle":"","parse-names":false,"suffix":""},{"dropping-particle":"","family":"Finger","given":"Jonas David","non-dropping-particle":"","parse-names":false,"suffix":""},{"dropping-particle":"","family":"Fischer","given":"Florian","non-dropping-particle":"","parse-names":false,"suffix":""},{"dropping-particle":"","family":"Foigt","given":"Nataliya A","non-dropping-particle":"","parse-names":false,"suffix":""},{"dropping-particle":"","family":"Foreman","given":"Kyle J","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llus","given":"Silvano","non-dropping-particle":"","parse-names":false,"suffix":""},{"dropping-particle":"","family":"Gamkrelidze","given":"Amiran","non-dropping-particle":"","parse-names":false,"suffix":""},{"dropping-particle":"","family":"Ganji","given":"Morsaleh","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mi","given":"Reza","non-dropping-particle":"","parse-names":false,"suffix":""},{"dropping-particle":"","family":"Ghadiri","given":"Keyghobad","non-dropping-particle":"","parse-names":false,"suffix":""},{"dropping-particle":"","family":"Falavarjani","given":"Khalil Ghasemi","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K","non-dropping-particle":"","parse-names":false,"suffix":""},{"dropping-particle":"","family":"Gillum","given":"Richard F","non-dropping-particle":"","parse-names":false,"suffix":""},{"dropping-particle":"","family":"Ginawi","given":"Ibrahim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dwin","given":"William W","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Vali","non-dropping-particle":"","parse-names":false,"suffix":""},{"dropping-particle":"","family":"Goulart","given":"Alessandra C","non-dropping-particle":"","parse-names":false,"suffix":""},{"dropping-particle":"","family":"Grada","given":"Ayman","non-dropping-particle":"","parse-names":false,"suffix":""},{"dropping-particle":"","family":"Grams","given":"Morgan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tiérrez","given":"Reyna Alma","non-dropping-particle":"","parse-names":false,"suffix":""},{"dropping-particle":"","family":"Gutiérrez-Torres","given":"Daniela S","non-dropping-particle":"","parse-names":false,"suffix":""},{"dropping-particle":"","family":"Haagsma","given":"Juanita A","non-dropping-particle":"","parse-names":false,"suffix":""},{"dropping-particle":"","family":"Habtewold","given":"Tesfa Dejenie","non-dropping-particle":"","parse-names":false,"suffix":""},{"dropping-particle":"","family":"Hachinski","given":"Vladimir","non-dropping-particle":"","parse-names":false,"suffix":""},{"dropping-particle":"","family":"Hafezi-Nejad","given":"Nima","non-dropping-particle":"","parse-names":false,"suffix":""},{"dropping-particle":"","family":"Hagos","given":"Tekleberhan B","non-dropping-particle":"","parse-names":false,"suffix":""},{"dropping-particle":"","family":"Hailegiyorgis","given":"Tewodros Tesfa","non-dropping-particle":"","parse-names":false,"suffix":""},{"dropping-particle":"","family":"Hailu","given":"Gessessew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idari","given":"Behnam","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redia-Pi","given":"Ileana","non-dropping-particle":"","parse-names":false,"suffix":""},{"dropping-particle":"","family":"Herteliu","given":"Claudiu","non-dropping-particle":"","parse-names":false,"suffix":""},{"dropping-particle":"","family":"Heydarpour","given":"Fatemeh","non-dropping-particle":"","parse-names":false,"suffix":""},{"dropping-particle":"","family":"Heydarpour","given":"Sousan","non-dropping-particle":"","parse-names":false,"suffix":""},{"dropping-particle":"","family":"Hibstu","given":"Desalegn T","non-dropping-particle":"","parse-names":false,"suffix":""},{"dropping-particle":"","family":"Higazi","given":"Tarig B","non-dropping-particle":"","parse-names":false,"suffix":""},{"dropping-particle":"","family":"Hilawe","given":"Esayas Haregot","non-dropping-particle":"","parse-names":false,"suffix":""},{"dropping-particle":"","family":"Hoek","given":"Hans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K","non-dropping-particle":"","parse-names":false,"suffix":""},{"dropping-particle":"","family":"Rad","given":"Enayatollah Homaie","non-dropping-particle":"","parse-names":false,"suffix":""},{"dropping-particle":"","family":"Hoogar","given":"Praveen","non-dropping-particle":"","parse-names":false,"suffix":""},{"dropping-particle":"","family":"Hosgood","given":"H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y","given":"Damian G","non-dropping-particle":"","parse-names":false,"suffix":""},{"dropping-particle":"","family":"Hsairi","given":"Mohamed","non-dropping-particle":"","parse-names":false,"suffix":""},{"dropping-particle":"","family":"Hsiao","given":"Thomas","non-dropping-particle":"","parse-names":false,"suffix":""},{"dropping-particle":"","family":"Hu","given":"Guoqing","non-dropping-particle":"","parse-names":false,"suffix":""},{"dropping-particle":"","family":"Hu","given":"Howard","non-dropping-particle":"","parse-names":false,"suffix":""},{"dropping-particle":"","family":"Huang","given":"John J","non-dropping-particle":"","parse-names":false,"suffix":""},{"dropping-particle":"","family":"Hussen","given":"Mamusha Aman","non-dropping-particle":"","parse-names":false,"suffix":""},{"dropping-particle":"","family":"Huynh","given":"Chantal K","non-dropping-particle":"","parse-names":false,"suffix":""},{"dropping-particle":"","family":"Iburg","given":"Kim Moesgaard","non-dropping-particle":"","parse-names":false,"suffix":""},{"dropping-particle":"","family":"Ikeda","given":"Nayu","non-dropping-particle":"","parse-names":false,"suffix":""},{"dropping-particle":"","family":"Ilesanmi","given":"Olayinka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Shariful","non-dropping-particle":"","parse-names":false,"suffix":""},{"dropping-particle":"","family":"Islami","given":"Farhad","non-dropping-particle":"","parse-names":false,"suffix":""},{"dropping-particle":"","family":"Jackson","given":"Maria 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Kumar","non-dropping-particle":"","parse-names":false,"suffix":""},{"dropping-particle":"","family":"Jakovljevic","given":"Mihajlo","non-dropping-particle":"","parse-names":false,"suffix":""},{"dropping-particle":"","family":"James","given":"Spencer L","non-dropping-particle":"","parse-names":false,"suffix":""},{"dropping-particle":"","family":"Jassal","given":"Simerjot K","non-dropping-particle":"","parse-names":false,"suffix":""},{"dropping-particle":"","family":"Jayatilleke","given":"Achala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S","non-dropping-particle":"","parse-names":false,"suffix":""},{"dropping-particle":"","family":"Jonas","given":"Jost B","non-dropping-particle":"","parse-names":false,"suffix":""},{"dropping-particle":"","family":"Jonnagaddala","given":"Jitendra","non-dropping-particle":"","parse-names":false,"suffix":""},{"dropping-particle":"","family":"Shushtari","given":"Zahra Jorjoran","non-dropping-particle":"","parse-names":false,"suffix":""},{"dropping-particle":"","family":"Joshi","given":"Ankur","non-dropping-particle":"","parse-names":false,"suffix":""},{"dropping-particle":"","family":"Jozwiak","given":"Jacek Jerzy","non-dropping-particle":"","parse-names":false,"suffix":""},{"dropping-particle":"","family":"Jürisson","given":"Mikk","non-dropping-particle":"","parse-names":false,"suffix":""},{"dropping-particle":"","family":"Kabir","given":"Zubair","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nt","given":"Surya","non-dropping-particle":"","parse-names":false,"suffix":""},{"dropping-particle":"","family":"Kar","given":"Chittaranjan","non-dropping-particle":"","parse-names":false,"suffix":""},{"dropping-particle":"","family":"Karami","given":"Manoochehr","non-dropping-particle":"","parse-names":false,"suffix":""},{"dropping-particle":"","family":"Matin","given":"Behzad Karami","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azemi","given":"Zhila","non-dropping-particle":"","parse-names":false,"suffix":""},{"dropping-particle":"","family":"Karyani","given":"Ali Kazemi","non-dropping-particle":"","parse-names":false,"suffix":""},{"dropping-particle":"","family":"Kefale","given":"Adane Teshome","non-dropping-particle":"","parse-names":false,"suffix":""},{"dropping-particle":"","family":"Keiyoro","given":"Peter Njenga","non-dropping-particle":"","parse-names":false,"suffix":""},{"dropping-particle":"","family":"Kemp","given":"Grant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A","non-dropping-particle":"","parse-names":false,"suffix":""},{"dropping-particle":"","family":"Khan","given":"Gulfaraz","non-dropping-particle":"","parse-names":false,"suffix":""},{"dropping-particle":"","family":"Khan","given":"Muhammad Shahzeb","non-dropping-particle":"","parse-names":false,"suffix":""},{"dropping-particle":"","family":"Khan","given":"Muhammad Ali","non-dropping-particle":"","parse-names":false,"suffix":""},{"dropping-particle":"","family":"Khang","given":"Young-Ho","non-dropping-particle":"","parse-names":false,"suffix":""},{"dropping-particle":"","family":"Khater","given":"Mona M","non-dropping-particle":"","parse-names":false,"suffix":""},{"dropping-particle":"","family":"Khazaei","given":"Mohammad","non-dropping-particle":"","parse-names":false,"suffix":""},{"dropping-particle":"","family":"Khazaie","given":"Habibolah","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family":"Kim","given":"Cho-Il","non-dropping-particle":"","parse-names":false,"suffix":""},{"dropping-particle":"","family":"Kim","given":"Daniel","non-dropping-particle":"","parse-names":false,"suffix":""},{"dropping-particle":"","family":"Kim","given":"Young-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ibbs","given":"Luke D","non-dropping-particle":"","parse-names":false,"suffix":""},{"dropping-particle":"","family":"Knudsen","given":"Ann Kristin Skrindo","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J","non-dropping-particle":"","parse-names":false,"suffix":""},{"dropping-particle":"","family":"Kromhout","given":"Hans","non-dropping-particle":"","parse-names":false,"suffix":""},{"dropping-particle":"","family":"Defo","given":"Barthelemy Kuate","non-dropping-particle":"","parse-names":false,"suffix":""},{"dropping-particle":"","family":"Bicer","given":"Burcu Kucuk","non-dropping-particle":"","parse-names":false,"suffix":""},{"dropping-particle":"","family":"Kumar","given":"G Anil","non-dropping-particle":"","parse-names":false,"suffix":""},{"dropping-particle":"","family":"Kumar","given":"Manasi","non-dropping-particle":"","parse-names":false,"suffix":""},{"dropping-particle":"","family":"Kuzin","given":"Igor","non-dropping-particle":"","parse-names":false,"suffix":""},{"dropping-particle":"","family":"Kyu","given":"Hmwe Hmwe","non-dropping-particle":"","parse-names":false,"suffix":""},{"dropping-particle":"","family":"Lachat","given":"Carl","non-dropping-particle":"","parse-names":false,"suffix":""},{"dropping-particle":"","family":"Lad","given":"Deepesh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Hasan","non-dropping-particle":"","parse-names":false,"suffix":""},{"dropping-particle":"","family":"Lang","given":"Justin J","non-dropping-particle":"","parse-names":false,"suffix":""},{"dropping-particle":"","family":"Lansingh","given":"Van C","non-dropping-particle":"","parse-names":false,"suffix":""},{"dropping-particle":"","family":"Larson","given":"Samantha Leigh","non-dropping-particle":"","parse-names":false,"suffix":""},{"dropping-particle":"","family":"Latifi","given":"Arman","non-dropping-particle":"","parse-names":false,"suffix":""},{"dropping-particle":"V","family":"Lazarus","given":"Jeffrey","non-dropping-particle":"","parse-names":false,"suffix":""},{"dropping-particle":"","family":"Lee","given":"Paul H","non-dropping-particle":"","parse-names":false,"suffix":""},{"dropping-particle":"","family":"Leigh","given":"James","non-dropping-particle":"","parse-names":false,"suffix":""},{"dropping-particle":"","family":"Leili","given":"Mostafa","non-dropping-particle":"","parse-names":false,"suffix":""},{"dropping-particle":"","family":"Leshargie","given":"Cheru Tesema","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ng","given":"Juan","non-dropping-particle":"","parse-names":false,"suffix":""},{"dropping-particle":"","family":"Liang","given":"Xiaofeng","non-dropping-particle":"","parse-names":false,"suffix":""},{"dropping-particle":"","family":"Liao","given":"Yu","non-dropping-particle":"","parse-names":false,"suffix":""},{"dropping-particle":"","family":"Liben","given":"Misgan Legesse","non-dropping-particle":"","parse-names":false,"suffix":""},{"dropping-particle":"","family":"Lim","given":"Lee-Ling","non-dropping-particle":"","parse-names":false,"suffix":""},{"dropping-particle":"","family":"Linn","given":"Shai","non-dropping-particle":"","parse-names":false,"suffix":""},{"dropping-particle":"","family":"Liu","given":"Shiwei","non-dropping-particle":"","parse-names":false,"suffix":""},{"dropping-particle":"","family":"Lodha","given":"Rakesh","non-dropping-particle":"","parse-names":false,"suffix":""},{"dropping-particle":"","family":"Logroscino","given":"Giancarlo","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A","non-dropping-particle":"","parse-names":false,"suffix":""},{"dropping-particle":"","family":"Lozano","given":"Rafael","non-dropping-particle":"","parse-names":false,"suffix":""},{"dropping-particle":"","family":"Lucas","given":"Tim C D","non-dropping-particle":"","parse-names":false,"suffix":""},{"dropping-particle":"","family":"Lunevicius","given":"Raimundas","non-dropping-particle":"","parse-names":false,"suffix":""},{"dropping-particle":"","family":"Ma","given":"Stefan","non-dropping-particle":"","parse-names":false,"suffix":""},{"dropping-particle":"","family":"Macarayan","given":"Erlyn Rachelle King","non-dropping-particle":"","parse-names":false,"suffix":""},{"dropping-particle":"","family":"Machado","given":"Ísis Eloah","non-dropping-particle":"","parse-names":false,"suffix":""},{"dropping-particle":"","family":"Madotto","given":"Fabiana","non-dropping-particle":"","parse-names":false,"suffix":""},{"dropping-particle":"","family":"Mai","given":"Hue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Laura","non-dropping-particle":"","parse-names":false,"suffix":""},{"dropping-particle":"","family":"Manguerra","given":"Helena","non-dropping-particle":"","parse-names":false,"suffix":""},{"dropping-particle":"","family":"Mansournia","given":"Mohammad Ali","non-dropping-particle":"","parse-names":false,"suffix":""},{"dropping-particle":"","family":"Mantovani","given":"Lorenzo Giovanni","non-dropping-particle":"","parse-names":false,"suffix":""},{"dropping-particle":"","family":"Maravilla","given":"Joemer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V","family":"Martin","given":"Randall","non-dropping-particle":"","parse-names":false,"suffix":""},{"dropping-particle":"","family":"Martins","given":"Sheila C O","non-dropping-particle":"","parse-names":false,"suffix":""},{"dropping-particle":"","family":"Martins-Melo","given":"Francisco Rogerlândio","non-dropping-particle":"","parse-names":false,"suffix":""},{"dropping-particle":"","family":"März","given":"Winfried","non-dropping-particle":"","parse-names":false,"suffix":""},{"dropping-particle":"","family":"Marzan","given":"Melvin B","non-dropping-particle":"","parse-names":false,"suffix":""},{"dropping-particle":"","family":"Massenburg","given":"Benjamin Ballard","non-dropping-particle":"","parse-names":false,"suffix":""},{"dropping-particle":"","family":"Mathur","given":"Manu Raj","non-dropping-particle":"","parse-names":false,"suffix":""},{"dropping-particle":"","family":"Mathur","given":"Prashant","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ier","given":"Toni","non-dropping-particle":"","parse-names":false,"suffix":""},{"dropping-particle":"","family":"Mekonnen","given":"Fantahun Ayenew","non-dropping-particle":"","parse-names":false,"suffix":""},{"dropping-particle":"","family":"Melaku","given":"Yohannes A","non-dropping-particle":"","parse-names":false,"suffix":""},{"dropping-particle":"","family":"Melese","given":"Addisu","non-dropping-particle":"","parse-names":false,"suffix":""},{"dropping-particle":"","family":"Melku","given":"Mulugeta","non-dropping-particle":"","parse-names":false,"suffix":""},{"dropping-particle":"","family":"Memiah","given":"Peter T 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Tadese","non-dropping-particle":"","parse-names":false,"suffix":""},{"dropping-particle":"","family":"Mensah","given":"George A","non-dropping-particle":"","parse-names":false,"suffix":""},{"dropping-particle":"","family":"Mensink","given":"Gert B M","non-dropping-particle":"","parse-names":false,"suffix":""},{"dropping-particle":"","family":"Mereta","given":"Seid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J","non-dropping-particle":"","parse-names":false,"suffix":""},{"dropping-particle":"","family":"Mestrovic","given":"Tomislav","non-dropping-particle":"","parse-names":false,"suffix":""},{"dropping-particle":"","family":"Mezgebe","given":"Haftay Berhane","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R","non-dropping-particle":"","parse-names":false,"suffix":""},{"dropping-particle":"","family":"Miller-Petrie","given":"Molly Katherine","non-dropping-particle":"","parse-names":false,"suffix":""},{"dropping-particle":"","family":"Mini","given":"G K","non-dropping-particle":"","parse-names":false,"suffix":""},{"dropping-particle":"","family":"Mirarefin","given":"Mojde","non-dropping-particle":"","parse-names":false,"suffix":""},{"dropping-particle":"","family":"Mirica","given":"Andreea","non-dropping-particle":"","parse-names":false,"suffix":""},{"dropping-particle":"","family":"Mirrakhimov","given":"Erkin M","non-dropping-particle":"","parse-names":false,"suffix":""},{"dropping-particle":"","family":"Misganaw","given":"Awoke Temesgen","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given":"Moslem","non-dropping-particle":"","parse-names":false,"suffix":""},{"dropping-particle":"","family":"Mohammadifard","given":"Noushin","non-dropping-particle":"","parse-names":false,"suffix":""},{"dropping-particle":"","family":"Mohammadnia-Afrouzi","given":"Mousa","non-dropping-particle":"","parse-names":false,"suffix":""},{"dropping-particle":"","family":"Mohammed","given":"Shafiu","non-dropping-particle":"","parse-names":false,"suffix":""},{"dropping-particle":"","family":"Mohebi","given":"Farnam","non-dropping-particle":"","parse-names":false,"suffix":""},{"dropping-particle":"","family":"Mokdad","given":"Ali H","non-dropping-particle":"","parse-names":false,"suffix":""},{"dropping-particle":"","family":"Molokhia","given":"Mariam","non-dropping-particle":"","parse-names":false,"suffix":""},{"dropping-particle":"","family":"Momeniha","given":"Fatemeh","non-dropping-particle":"","parse-names":false,"suffix":""},{"dropping-particle":"","family":"Monasta","given":"Lorenzo","non-dropping-particle":"","parse-names":false,"suffix":""},{"dropping-particle":"","family":"Moodley","given":"Yoshan","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M","non-dropping-particle":"","parse-names":false,"suffix":""},{"dropping-particle":"","family":"Mouodi","given":"Simin","non-dropping-particle":"","parse-names":false,"suffix":""},{"dropping-particle":"","family":"Mousavi","given":"Seyyed Meysam","non-dropping-particle":"","parse-names":false,"suffix":""},{"dropping-particle":"","family":"Mozaffarian","given":"Dariush","non-dropping-particle":"","parse-names":false,"suffix":""},{"dropping-particle":"","family":"Mruts","given":"Kalayu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eal","given":"Bruce","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Quynh","non-dropping-particle":"","parse-names":false,"suffix":""},{"dropping-particle":"","family":"Nguyen","given":"Grant","non-dropping-particle":"","parse-names":false,"suffix":""},{"dropping-particle":"","family":"Nguyen","given":"Ha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Thanh","non-dropping-particle":"","parse-names":false,"suffix":""},{"dropping-particle":"","family":"Nguyen","given":"Minh","non-dropping-particle":"","parse-names":false,"suffix":""},{"dropping-particle":"","family":"Nguyen","given":"Nam Ba","non-dropping-particle":"","parse-names":false,"suffix":""},{"dropping-particle":"","family":"Nichols","given":"Emma","non-dropping-particle":"","parse-names":false,"suffix":""},{"dropping-particle":"","family":"Nie","given":"Jing","non-dropping-particle":"","parse-names":false,"suffix":""},{"dropping-particle":"","family":"Ningrum","given":"Dina Nur Anggraini","non-dropping-particle":"","parse-names":false,"suffix":""},{"dropping-particle":"","family":"Nirayo","given":"Yirga Legesse","non-dropping-particle":"","parse-names":false,"suffix":""},{"dropping-particle":"","family":"Nishi","given":"Nobuo","non-dropping-particle":"","parse-names":false,"suffix":""},{"dropping-particle":"","family":"Nixon","given":"Molly R","non-dropping-particle":"","parse-names":false,"suffix":""},{"dropping-particle":"","family":"Nojomi","given":"Marzieh","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Reza","non-dropping-particle":"","parse-names":false,"suffix":""},{"dropping-particle":"","family":"Shiadeh","given":"Malihe Nourollahpour","non-dropping-particle":"","parse-names":false,"suffix":""},{"dropping-particle":"","family":"Nowroozi","given":"Mohammad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S","non-dropping-particle":"","parse-names":false,"suffix":""},{"dropping-particle":"","family":"Obermeyer","given":"Carla M","non-dropping-particle":"","parse-names":false,"suffix":""},{"dropping-particle":"","family":"Odell","given":"Christopher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Olubukunola","non-dropping-particle":"","parse-names":false,"suffix":""},{"dropping-particle":"","family":"Olusanya","given":"Jacob Olusegun","non-dropping-particle":"","parse-names":false,"suffix":""},{"dropping-particle":"","family":"Ong","given":"Kanyin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King","non-dropping-particle":"","parse-names":false,"suffix":""},{"dropping-particle":"","family":"Oren","given":"Eyal","non-dropping-particle":"","parse-names":false,"suffix":""},{"dropping-particle":"","family":"Orpana","given":"Heather M","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Ojo","non-dropping-particle":"","parse-names":false,"suffix":""},{"dropping-particle":"","family":"A","given":"Mahesh P","non-dropping-particle":"","parse-names":false,"suffix":""},{"dropping-particle":"","family":"Pacella","given":"Rosana","non-dropping-particle":"","parse-names":false,"suffix":""},{"dropping-particle":"","family":"Pakhare","given":"Abhijit P","non-dropping-particle":"","parse-names":false,"suffix":""},{"dropping-particle":"","family":"Pakpour","given":"Amir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k","given":"Eun-Kee","non-dropping-particle":"","parse-names":false,"suffix":""},{"dropping-particle":"","family":"Parry","given":"Charles D H","non-dropping-particle":"","parse-names":false,"suffix":""},{"dropping-particle":"","family":"Parsian","given":"Hadi","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C","non-dropping-particle":"","parse-names":false,"suffix":""},{"dropping-particle":"","family":"Paudel","given":"Deepak","non-dropping-particle":"","parse-names":false,"suffix":""},{"dropping-particle":"","family":"Paulson","given":"Katherine R","non-dropping-particle":"","parse-names":false,"suffix":""},{"dropping-particle":"","family":"Ballesteros","given":"Wayra Citlali Paz","non-dropping-particle":"","parse-names":false,"suffix":""},{"dropping-particle":"","family":"Pearce","given":"Neil","non-dropping-particle":"","parse-names":false,"suffix":""},{"dropping-particle":"","family":"Pereira","given":"Alexandre","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am","given":"Hai Quang","non-dropping-particle":"","parse-names":false,"suffix":""},{"dropping-particle":"","family":"Phillips","given":"Michael R","non-dropping-particle":"","parse-names":false,"suffix":""},{"dropping-particle":"","family":"Pillay","given":"Julian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chon","given":"Tobias","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lkinghorne","given":"Kevan R","non-dropping-particle":"","parse-names":false,"suffix":""},{"dropping-particle":"","family":"Postma","given":"Maarten J","non-dropping-particle":"","parse-names":false,"suffix":""},{"dropping-particle":"","family":"Poulton","given":"Richie","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sad","given":"Narayan","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Zohreh","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Aziz","non-dropping-particle":"","parse-names":false,"suffix":""},{"dropping-particle":"","family":"Rai","given":"Rajesh Kumar","non-dropping-particle":"","parse-names":false,"suffix":""},{"dropping-particle":"","family":"Rajati","given":"Fatemeh","non-dropping-particle":"","parse-names":false,"suffix":""},{"dropping-particle":"","family":"Rajsic","given":"Sasa","non-dropping-particle":"","parse-names":false,"suffix":""},{"dropping-particle":"","family":"Raju","given":"Sree Bhushan","non-dropping-particle":"","parse-names":false,"suffix":""},{"dropping-particle":"","family":"Ram","given":"Usha","non-dropping-particle":"","parse-names":false,"suffix":""},{"dropping-particle":"","family":"Ranabhat","given":"Chhabi Lal","non-dropping-particle":"","parse-names":false,"suffix":""},{"dropping-particle":"","family":"Ranjan","given":"Prabhat","non-dropping-particle":"","parse-names":false,"suffix":""},{"dropping-particle":"","family":"Rath","given":"Goura Kishor","non-dropping-particle":"","parse-names":false,"suffix":""},{"dropping-particle":"","family":"Rawaf","given":"David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Srinath","non-dropping-particle":"","parse-names":false,"suffix":""},{"dropping-particle":"","family":"Rehm","given":"Colin D","non-dropping-particle":"","parse-names":false,"suffix":""},{"dropping-particle":"","family":"Rehm","given":"Jürgen","non-dropping-particle":"","parse-names":false,"suffix":""},{"dropping-particle":"","family":"Reiner","given":"Robert C","non-dropping-particle":"","parse-names":false,"suffix":""},{"dropping-particle":"","family":"Reitsma","given":"Marissa B","non-dropping-particle":"","parse-names":false,"suffix":""},{"dropping-particle":"","family":"Remuzzi","given":"Giuseppe","non-dropping-particle":"","parse-names":false,"suffix":""},{"dropping-particle":"","family":"Renzaho","given":"Andre M N","non-dropping-particle":"","parse-names":false,"suffix":""},{"dropping-particle":"","family":"Resnikoff","given":"Serge","non-dropping-particle":"","parse-names":false,"suffix":""},{"dropping-particle":"","family":"Reynales-Shigematsu","given":"Luz Myriam","non-dropping-particle":"","parse-names":false,"suffix":""},{"dropping-particle":"","family":"Rezaei","given":"Satar","non-dropping-particle":"","parse-names":false,"suffix":""},{"dropping-particle":"","family":"Ribeiro","given":"Antonio Luiz P","non-dropping-particle":"","parse-names":false,"suffix":""},{"dropping-particle":"","family":"Rivera","given":"Juan A","non-dropping-particle":"","parse-names":false,"suffix":""},{"dropping-particle":"","family":"Roba","given":"Kedir Teji","non-dropping-particle":"","parse-names":false,"suffix":""},{"dropping-particle":"","family":"Rodríguez-Ramírez","given":"Sonia","non-dropping-particle":"","parse-names":false,"suffix":""},{"dropping-particle":"","family":"Roever","given":"Leonardo","non-dropping-particle":"","parse-names":false,"suffix":""},{"dropping-particle":"","family":"Román","given":"Yesenia","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thenbacher","given":"Dietrich","non-dropping-particle":"","parse-names":false,"suffix":""},{"dropping-particle":"","family":"Roy","given":"Ambuj","non-dropping-particle":"","parse-names":false,"suffix":""},{"dropping-particle":"","family":"Rubagotti","given":"Enrico","non-dropping-particle":"","parse-names":false,"suffix":""},{"dropping-particle":"","family":"Rushton","given":"Lesley","non-dropping-particle":"","parse-names":false,"suffix":""},{"dropping-particle":"","family":"Sabanayagam","given":"Charumathi","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Moghaddam","given":"Sahar Saeedi","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ti","given":"Payman","non-dropping-particle":"","parse-names":false,"suffix":""},{"dropping-particle":"","family":"Saleem","given":"Zikria","non-dropping-particle":"","parse-names":false,"suffix":""},{"dropping-particle":"","family":"Salimi","given":"Yahya","non-dropping-particle":"","parse-names":false,"suffix":""},{"dropping-particle":"","family":"Salimzadeh","given":"Hamideh","non-dropping-particle":"","parse-names":false,"suffix":""},{"dropping-particle":"","family":"Salomon","given":"Joshua A","non-dropping-particle":"","parse-names":false,"suffix":""},{"dropping-particle":"","family":"Salvi","given":"Devashri Digvijay","non-dropping-particle":"","parse-names":false,"suffix":""},{"dropping-particle":"","family":"Salz","given":"Inbal","non-dropping-particle":"","parse-names":false,"suffix":""},{"dropping-particle":"","family":"Samy","given":"Abdallah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M","non-dropping-particle":"","parse-names":false,"suffix":""},{"dropping-particle":"","family":"Sanabria","given":"Juan","non-dropping-particle":"","parse-names":false,"suffix":""},{"dropping-particle":"","family":"Sanchez-Niño","given":"Maria Dolores","non-dropping-particle":"","parse-names":false,"suffix":""},{"dropping-particle":"","family":"Sánchez-Pimienta","given":"Tania G","non-dropping-particle":"","parse-names":false,"suffix":""},{"dropping-particle":"","family":"Sanders","given":"Tare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Vasco","non-dropping-particle":"","parse-names":false,"suffix":""},{"dropping-particle":"","family":"Milicevic","given":"Milena M Santric","non-dropping-particle":"","parse-names":false,"suffix":""},{"dropping-particle":"","family":"Jose","given":"Bruno Piassi Sao","non-dropping-particle":"","parse-names":false,"suffix":""},{"dropping-particle":"","family":"Sardana","given":"Mayank","non-dropping-particle":"","parse-names":false,"suffix":""},{"dropping-particle":"","family":"Sarker","given":"Abdur Razzaque","non-dropping-particle":"","parse-names":false,"suffix":""},{"dropping-particle":"","family":"Sarmiento-Suárez","given":"Rodrigo","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ylan","given":"Mete","non-dropping-particle":"","parse-names":false,"suffix":""},{"dropping-particle":"","family":"Sayyah","given":"Mehdi","non-dropping-particle":"","parse-names":false,"suffix":""},{"dropping-particle":"","family":"Schaeffner","given":"Elke","non-dropping-particle":"","parse-names":false,"suffix":""},{"dropping-particle":"","family":"Schmidt","given":"Maria Inês","non-dropping-particle":"","parse-names":false,"suffix":""},{"dropping-particle":"","family":"Schneider","given":"Ione J C","non-dropping-particle":"","parse-names":false,"suffix":""},{"dropping-particle":"","family":"Schöttker","given":"Ben","non-dropping-particle":"","parse-names":false,"suffix":""},{"dropping-particle":"","family":"Schutte","given":"Aletta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edat","given":"Soraya","non-dropping-particle":"","parse-names":false,"suffix":""},{"dropping-particle":"","family":"Sekerija","given":"Mario","non-dropping-particle":"","parse-names":false,"suffix":""},{"dropping-particle":"","family":"Sepanlou","given":"Sadaf G","non-dropping-particle":"","parse-names":false,"suffix":""},{"dropping-particle":"","family":"Serre","given":"Marc L","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ddick","given":"Gav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Ali","non-dropping-particle":"","parse-names":false,"suffix":""},{"dropping-particle":"","family":"Levy","given":"Teresa Shamah","non-dropping-particle":"","parse-names":false,"suffix":""},{"dropping-particle":"","family":"Shams-Beyranvand","given":"Mehran","non-dropping-particle":"","parse-names":false,"suffix":""},{"dropping-particle":"","family":"Shamsi","given":"Mohammadbagher","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ifi","given":"Hamid","non-dropping-particle":"","parse-names":false,"suffix":""},{"dropping-particle":"","family":"Sharma","given":"Jayendra","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feraw","given":"Mekonnen Sisay","non-dropping-particle":"","parse-names":false,"suffix":""},{"dropping-particle":"","family":"Shigematsu","given":"Mika","non-dropping-particle":"","parse-names":false,"suffix":""},{"dropping-particle":"","family":"Shin","given":"Min-Jeong","non-dropping-particle":"","parse-names":false,"suffix":""},{"dropping-particle":"","family":"Shiri","given":"Rahman","non-dropping-particle":"","parse-names":false,"suffix":""},{"dropping-particle":"","family":"Shirkoohi","given":"Reza","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G","non-dropping-particle":"","parse-names":false,"suffix":""},{"dropping-particle":"","family":"Shupler","given":"Matthew S","non-dropping-particle":"","parse-names":false,"suffix":""},{"dropping-particle":"","family":"Si","given":"Si","non-dropping-particle":"","parse-names":false,"suffix":""},{"dropping-particle":"","family":"Siabani","given":"Soraya","non-dropping-particle":"","parse-names":false,"suffix":""},{"dropping-particle":"","family":"Sibai","given":"Abla Mehio","non-dropping-particle":"","parse-names":false,"suffix":""},{"dropping-particle":"","family":"Siddiqi","given":"Tariq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mith","given":"David L","non-dropping-particle":"","parse-names":false,"suffix":""},{"dropping-particle":"","family":"Smith","given":"Mari","non-dropping-particle":"","parse-names":false,"suffix":""},{"dropping-particle":"","family":"Sobaih","given":"Badr Hasan","non-dropping-particle":"","parse-names":false,"suffix":""},{"dropping-particle":"","family":"Sobhani","given":"Soheila","non-dropping-particle":"","parse-names":false,"suffix":""},{"dropping-particle":"","family":"Somayaji","given":"Ranjani","non-dropping-particle":"","parse-names":false,"suffix":""},{"dropping-particle":"","family":"Soofi","given":"Moslem","non-dropping-particle":"","parse-names":false,"suffix":""},{"dropping-particle":"","family":"Sorensen","given":"Reed J D","non-dropping-particle":"","parse-names":false,"suffix":""},{"dropping-particle":"","family":"Soriano","given":"Joan B","non-dropping-particle":"","parse-names":false,"suffix":""},{"dropping-particle":"","family":"Soyiri","given":"Ireneous N","non-dropping-particle":"","parse-names":false,"suffix":""},{"dropping-particle":"","family":"Spinelli","given":"Angela","non-dropping-particle":"","parse-names":false,"suffix":""},{"dropping-particle":"","family":"Sposato","given":"Luciano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T","non-dropping-particle":"","parse-names":false,"suffix":""},{"dropping-particle":"","family":"Srinivasan","given":"Vinay","non-dropping-particle":"","parse-names":false,"suffix":""},{"dropping-particle":"","family":"Starodubov","given":"Vladimir I","non-dropping-particle":"","parse-names":false,"suffix":""},{"dropping-particle":"","family":"Steckling","given":"Nadine","non-dropping-particle":"","parse-names":false,"suffix":""},{"dropping-particle":"","family":"Stein","given":"Dan J","non-dropping-particle":"","parse-names":false,"suffix":""},{"dropping-particle":"","family":"Stein","given":"Murray B","non-dropping-particle":"","parse-names":false,"suffix":""},{"dropping-particle":"","family":"Stevanovic","given":"Goran","non-dropping-particle":"","parse-names":false,"suffix":""},{"dropping-particle":"","family":"Stockfelt","given":"Leo","non-dropping-particle":"","parse-names":false,"suffix":""},{"dropping-particle":"","family":"Stokes","given":"Mark A","non-dropping-particle":"","parse-names":false,"suffix":""},{"dropping-particle":"","family":"Sturua","given":"Lela","non-dropping-particle":"","parse-names":false,"suffix":""},{"dropping-particle":"","family":"Subart","given":"Michelle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Babale","non-dropping-particle":"","parse-names":false,"suffix":""},{"dropping-particle":"","family":"Sulo","given":"Gerhard","non-dropping-particle":"","parse-names":false,"suffix":""},{"dropping-particle":"","family":"Sunguya","given":"Bruno F","non-dropping-particle":"","parse-names":false,"suffix":""},{"dropping-particle":"","family":"Sur","given":"Patrick John","non-dropping-particle":"","parse-names":false,"suffix":""},{"dropping-particle":"","family":"Sykes","given":"Bryan L","non-dropping-particle":"","parse-names":false,"suffix":""},{"dropping-particle":"","family":"Szoeke","given":"Cassandra E I","non-dropping-particle":"","parse-names":false,"suffix":""},{"dropping-particle":"","family":"Tabarés-Seisdedos","given":"Rafael","non-dropping-particle":"","parse-names":false,"suffix":""},{"dropping-particle":"","family":"Tabuchi","given":"Takahiro","non-dropping-particle":"","parse-names":false,"suffix":""},{"dropping-particle":"","family":"Tadakamadla","given":"Santosh Kumar","non-dropping-particle":"","parse-names":false,"suffix":""},{"dropping-particle":"","family":"Takahashi","given":"Ke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Hani","non-dropping-particle":"","parse-names":false,"suffix":""},{"dropping-particle":"","family":"Temsah","given":"Omar","non-dropping-particle":"","parse-names":false,"suffix":""},{"dropping-particle":"","family":"Terkawi","given":"Abdullah Sulieman","non-dropping-particle":"","parse-names":false,"suffix":""},{"dropping-particle":"","family":"Tessema","given":"Belay","non-dropping-particle":"","parse-names":false,"suffix":""},{"dropping-particle":"","family":"Teweldemedhin","given":"Mebrahtu","non-dropping-particle":"","parse-names":false,"suffix":""},{"dropping-particle":"","family":"Thankappan","given":"Kavumpurathu Raman","non-dropping-particle":"","parse-names":false,"suffix":""},{"dropping-particle":"","family":"Theis","given":"Andrew","non-dropping-particle":"","parse-names":false,"suffix":""},{"dropping-particle":"","family":"Thirunavukkarasu","given":"Sathish","non-dropping-particle":"","parse-names":false,"suffix":""},{"dropping-particle":"","family":"Thomas","given":"Hannah J","non-dropping-particle":"","parse-names":false,"suffix":""},{"dropping-particle":"","family":"Thomas","given":"Matthew Lloyd","non-dropping-particle":"","parse-names":false,"suffix":""},{"dropping-particle":"","family":"Thomas","given":"Nihal","non-dropping-particle":"","parse-names":false,"suffix":""},{"dropping-particle":"","family":"Thurston","given":"George D","non-dropping-particle":"","parse-names":false,"suffix":""},{"dropping-particle":"","family":"Tilahun","given":"Binyam","non-dropping-particle":"","parse-names":false,"suffix":""},{"dropping-particle":"","family":"Tillmann","given":"Taavi","non-dropping-particle":"","parse-names":false,"suffix":""},{"dropping-particle":"","family":"To","given":"Quyen G","non-dropping-particle":"","parse-names":false,"suffix":""},{"dropping-particle":"","family":"Tobollik","given":"Myriam","non-dropping-particle":"","parse-names":false,"suffix":""},{"dropping-particle":"","family":"Tonelli","given":"Marcello","non-dropping-particle":"","parse-names":false,"suffix":""},{"dropping-particle":"","family":"Topor-Madry","given":"Roman","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Bao","non-dropping-particle":"","parse-names":false,"suffix":""},{"dropping-particle":"","family":"Truelsen","given":"Thomas Clement","non-dropping-particle":"","parse-names":false,"suffix":""},{"dropping-particle":"","family":"Truong","given":"Nu Thi","non-dropping-particle":"","parse-names":false,"suffix":""},{"dropping-particle":"","family":"Tsadik","given":"Afewerki Gebremeskel","non-dropping-particle":"","parse-names":false,"suffix":""},{"dropping-particle":"","family":"Car","given":"Lorainne Tudor","non-dropping-particle":"","parse-names":false,"suffix":""},{"dropping-particle":"","family":"Tuzcu","given":"E Murat","non-dropping-particle":"","parse-names":false,"suffix":""},{"dropping-particle":"","family":"Tymeson","given":"Hayley D","non-dropping-particle":"","parse-names":false,"suffix":""},{"dropping-particle":"","family":"Tyrovolas","given":"Stefanos","non-dropping-particle":"","parse-names":false,"suffix":""},{"dropping-particle":"","family":"Ukwaja","given":"Kingsley N","non-dropping-particle":"","parse-names":false,"suffix":""},{"dropping-particle":"","family":"Ullah","given":"Irfan","non-dropping-particle":"","parse-names":false,"suffix":""},{"dropping-particle":"","family":"Updike","given":"Rachel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Van","family":"Donkelaar","given":"Aaron","non-dropping-particle":"","parse-names":false,"suffix":""},{"dropping-particle":"","family":"Varavikova","given":"Elena","non-dropping-particle":"","parse-names":false,"suffix":""},{"dropping-particle":"","family":"Varughese","given":"Santosh","non-dropping-particle":"","parse-names":false,"suffix":""},{"dropping-particle":"","family":"Vasankari","given":"Tommi Juhani","non-dropping-particle":"","parse-names":false,"suffix":""},{"dropping-particle":"","family":"Venkateswaran","given":"Vidhya","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given":"Theo","non-dropping-particle":"","parse-names":false,"suffix":""},{"dropping-particle":"","family":"Vosoughi","given":"Kia","non-dropping-particle":"","parse-names":false,"suffix":""},{"dropping-particle":"","family":"Vu","given":"Giang Thu","non-dropping-particle":"","parse-names":false,"suffix":""},{"dropping-particle":"","family":"Vujcic","given":"Isidora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G","non-dropping-particle":"","parse-names":false,"suffix":""},{"dropping-particle":"","family":"Walson","given":"Judd L","non-dropping-particle":"","parse-names":false,"suffix":""},{"dropping-particle":"","family":"Wang","given":"Yafeng","non-dropping-particle":"","parse-names":false,"suffix":""},{"dropping-particle":"","family":"Wang","given":"Yanping","non-dropping-particle":"","parse-names":false,"suffix":""},{"dropping-particle":"","family":"Wang","given":"Yuan-Pang","non-dropping-particle":"","parse-names":false,"suffix":""},{"dropping-particle":"","family":"Weiderpass","given":"Elisabete","non-dropping-particle":"","parse-names":false,"suffix":""},{"dropping-particle":"","family":"Weintraub","given":"Robert G","non-dropping-particle":"","parse-names":false,"suffix":""},{"dropping-particle":"","family":"Weldegebreal","given":"Fitsum","non-dropping-particle":"","parse-names":false,"suffix":""},{"dropping-particle":"","family":"Werdecker","given":"Andrea","non-dropping-particle":"","parse-names":false,"suffix":""},{"dropping-particle":"","family":"Werkneh","given":"Adhena Ayaliew","non-dropping-particle":"","parse-names":false,"suffix":""},{"dropping-particle":"","family":"West","given":"J Jason","non-dropping-particle":"","parse-names":false,"suffix":""},{"dropping-particle":"","family":"Westerman","given":"Ronny","non-dropping-particle":"","parse-names":false,"suffix":""},{"dropping-particle":"","family":"Whiteford","given":"Harvey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 A","non-dropping-particle":"","parse-names":false,"suffix":""},{"dropping-particle":"","family":"Wong","given":"Tien Yin","non-dropping-particle":"","parse-names":false,"suffix":""},{"dropping-particle":"","family":"Wu","given":"Shouling","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Jabbari","given":"Seyed Hossein Yahyazadeh","non-dropping-particle":"","parse-names":false,"suffix":""},{"dropping-particle":"","family":"Yamada","given":"Tomohide","non-dropping-particle":"","parse-names":false,"suffix":""},{"dropping-particle":"","family":"Yan","given":"Lijing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vala-Arciniega","given":"Luis","non-dropping-particle":"","parse-names":false,"suffix":""},{"dropping-particle":"","family":"Zhang","given":"Anthony Lin","non-dropping-particle":"","parse-names":false,"suffix":""},{"dropping-particle":"","family":"Zhang","given":"Hao","non-dropping-particle":"","parse-names":false,"suffix":""},{"dropping-particle":"","family":"Zhang","given":"Kai","non-dropping-particle":"","parse-names":false,"suffix":""},{"dropping-particle":"","family":"Zhou","given":"Maigeng","non-dropping-particle":"","parse-names":false,"suffix":""},{"dropping-particle":"","family":"Zimsen","given":"Stephanie R M","non-dropping-particle":"","parse-names":false,"suffix":""},{"dropping-particle":"","family":"Zodpey","given":"Sanjay","non-dropping-particle":"","parse-names":false,"suffix":""},{"dropping-particle":"","family":"Murray","given":"Christopher J L","non-dropping-particle":"","parse-names":false,"suffix":""}],"container-title":"Lancet","id":"DNBsr0kA/9RYoi2Iy","issue":"10159","issued":{"date-parts":[["2018","11"]]},"page":"1923-1994","publisher":"Elsevier","title":"Global, regional, and national comparative risk assessment of 84 behavioural, environmental and occupational, and metabolic risks or clusters of risks for 195 countries and territories, 1990-2017: a systematic analysis for the Global Burden of Disease Stu","type":"article-journal","volume":"392"}},{"id":"9UZPP0Go/uQD09x7u","uris":["http://www.mendeley.com/documents/?uuid=0f067f83-2d4b-47d5-a28e-4332e6c44add"],"uri":["http://www.mendeley.com/documents/?uuid=0f067f83-2d4b-47d5-a28e-4332e6c44add"],"itemData":{"DOI":"10.1371/journal.pone.0175149","ISSN":"1932-6203","author":[{"dropping-particle":"","family":"Micha","given":"Renata","non-dropping-particle":"","parse-names":false,"suffix":""},{"dropping-particle":"","family":"Shulkin","given":"Masha L","non-dropping-particle":"","parse-names":false,"suffix":""},{"dropping-particle":"","family":"Peñalvo","given":"Jose L","non-dropping-particle":"","parse-names":false,"suffix":""},{"dropping-particle":"","family":"Khatibzadeh","given":"Shahab","non-dropping-particle":"","parse-names":false,"suffix":""},{"dropping-particle":"","family":"Singh","given":"Gitanjali M","non-dropping-particle":"","parse-names":false,"suffix":""},{"dropping-particle":"","family":"Rao","given":"Mayuree","non-dropping-particle":"","parse-names":false,"suffix":""},{"dropping-particle":"","family":"Fahimi","given":"Saman","non-dropping-particle":"","parse-names":false,"suffix":""},{"dropping-particle":"","family":"Powles","given":"John","non-dropping-particle":"","parse-names":false,"suffix":""},{"dropping-particle":"","family":"Mozaffarian","given":"Dariush","non-dropping-particle":"","parse-names":false,"suffix":""}],"container-title":"PLOS ONE","editor":[{"dropping-particle":"","family":"Kiechl","given":"Stefan","non-dropping-particle":"","parse-names":false,"suffix":""}],"id":"ITEM-1","issue":"4","issued":{"date-parts":[["2017","10","3"]]},"language":"en","page":"e0175149","title":"Etiologic effects and optimal intakes of foods and nutrients for risk of cardiovascular diseases and diabetes: Systematic reviews and meta-analyses from the Nutrition and Chronic Diseases Expert Group (NutriCoDE)","type":"article-journal","volume":"12"}}],"schema":"https://github.com/citation-style-language/schema/raw/master/csl-citation.json"} </w:instrText>
      </w:r>
      <w:r w:rsidRPr="00C4280C">
        <w:rPr>
          <w:lang w:val="en-GB"/>
        </w:rPr>
        <w:fldChar w:fldCharType="separate"/>
      </w:r>
      <w:r w:rsidR="00BB7752" w:rsidRPr="00BB7752">
        <w:rPr>
          <w:szCs w:val="24"/>
          <w:vertAlign w:val="superscript"/>
        </w:rPr>
        <w:t>25,26</w:t>
      </w:r>
      <w:r w:rsidRPr="00C4280C">
        <w:fldChar w:fldCharType="end"/>
      </w:r>
      <w:r w:rsidR="005B2674">
        <w:t>.</w:t>
      </w:r>
      <w:r w:rsidRPr="00C4280C">
        <w:rPr>
          <w:lang w:val="en-GB"/>
        </w:rPr>
        <w:t xml:space="preserve"> Table </w:t>
      </w:r>
      <w:r w:rsidR="00F05584">
        <w:rPr>
          <w:lang w:val="en-GB"/>
        </w:rPr>
        <w:t>S</w:t>
      </w:r>
      <w:r w:rsidRPr="00C4280C">
        <w:rPr>
          <w:lang w:val="en-GB"/>
        </w:rPr>
        <w:t>5 provides an overview of the relative-risk parameters used.</w:t>
      </w:r>
    </w:p>
    <w:p w14:paraId="379D3634" w14:textId="77777777" w:rsidR="00C4280C" w:rsidRPr="00C4280C" w:rsidRDefault="00C4280C" w:rsidP="00416662">
      <w:pPr>
        <w:pStyle w:val="SMText"/>
        <w:spacing w:line="276" w:lineRule="auto"/>
        <w:rPr>
          <w:lang w:val="en-GB"/>
        </w:rPr>
      </w:pPr>
    </w:p>
    <w:p w14:paraId="25352E34" w14:textId="1AA04262" w:rsidR="00C4280C" w:rsidRPr="00C4280C" w:rsidRDefault="00C4280C" w:rsidP="00416662">
      <w:pPr>
        <w:pStyle w:val="SMText"/>
        <w:spacing w:line="276" w:lineRule="auto"/>
        <w:ind w:firstLine="0"/>
        <w:rPr>
          <w:lang w:val="en-GB"/>
        </w:rPr>
      </w:pPr>
      <w:r w:rsidRPr="00C4280C">
        <w:rPr>
          <w:lang w:val="en-GB"/>
        </w:rPr>
        <w:t>The selection of risk-disease associations used in the health analysis was supported by available criteria used to judge the certainty of evidence, such as the Bradford-Hill criteria used by the Nutrition and Chronic Diseases Expert Group (</w:t>
      </w:r>
      <w:proofErr w:type="spellStart"/>
      <w:r w:rsidRPr="00C4280C">
        <w:rPr>
          <w:lang w:val="en-GB"/>
        </w:rPr>
        <w:t>NutriCoDE</w:t>
      </w:r>
      <w:proofErr w:type="spellEnd"/>
      <w:r w:rsidRPr="00C4280C">
        <w:rPr>
          <w:lang w:val="en-GB"/>
        </w:rPr>
        <w:t>)</w:t>
      </w:r>
      <w:r w:rsidR="005B2674">
        <w:rPr>
          <w:lang w:val="en-GB"/>
        </w:rPr>
        <w:t xml:space="preserve"> </w:t>
      </w:r>
      <w:r w:rsidRPr="00C4280C">
        <w:rPr>
          <w:lang w:val="en-GB"/>
        </w:rPr>
        <w:fldChar w:fldCharType="begin" w:fldLock="1"/>
      </w:r>
      <w:r w:rsidR="00BB7752">
        <w:rPr>
          <w:lang w:val="en-GB"/>
        </w:rPr>
        <w:instrText xml:space="preserve"> ADDIN ZOTERO_ITEM CSL_CITATION {"citationID":"8swflOUq","properties":{"formattedCitation":"\\super 26\\nosupersub{}","plainCitation":"26","noteIndex":0},"citationItems":[{"id":"9UZPP0Go/uQD09x7u","uris":["http://www.mendeley.com/documents/?uuid=0f067f83-2d4b-47d5-a28e-4332e6c44add"],"uri":["http://www.mendeley.com/documents/?uuid=0f067f83-2d4b-47d5-a28e-4332e6c44add"],"itemData":{"DOI":"10.1371/journal.pone.0175149","ISSN":"1932-6203","author":[{"dropping-particle":"","family":"Micha","given":"Renata","non-dropping-particle":"","parse-names":false,"suffix":""},{"dropping-particle":"","family":"Shulkin","given":"Masha L","non-dropping-particle":"","parse-names":false,"suffix":""},{"dropping-particle":"","family":"Peñalvo","given":"Jose L","non-dropping-particle":"","parse-names":false,"suffix":""},{"dropping-particle":"","family":"Khatibzadeh","given":"Shahab","non-dropping-particle":"","parse-names":false,"suffix":""},{"dropping-particle":"","family":"Singh","given":"Gitanjali M","non-dropping-particle":"","parse-names":false,"suffix":""},{"dropping-particle":"","family":"Rao","given":"Mayuree","non-dropping-particle":"","parse-names":false,"suffix":""},{"dropping-particle":"","family":"Fahimi","given":"Saman","non-dropping-particle":"","parse-names":false,"suffix":""},{"dropping-particle":"","family":"Powles","given":"John","non-dropping-particle":"","parse-names":false,"suffix":""},{"dropping-particle":"","family":"Mozaffarian","given":"Dariush","non-dropping-particle":"","parse-names":false,"suffix":""}],"container-title":"PLOS ONE","editor":[{"dropping-particle":"","family":"Kiechl","given":"Stefan","non-dropping-particle":"","parse-names":false,"suffix":""}],"id":"ITEM-1","issue":"4","issued":{"date-parts":[["2017","10","3"]]},"language":"en","page":"e0175149","title":"Etiologic effects and optimal intakes of foods and nutrients for risk of cardiovascular diseases and diabetes: Systematic reviews and meta-analyses from the Nutrition and Chronic Diseases Expert Group (NutriCoDE)","type":"article-journal","volume":"12"}}],"schema":"https://github.com/citation-style-language/schema/raw/master/csl-citation.json"} </w:instrText>
      </w:r>
      <w:r w:rsidRPr="00C4280C">
        <w:rPr>
          <w:lang w:val="en-GB"/>
        </w:rPr>
        <w:fldChar w:fldCharType="separate"/>
      </w:r>
      <w:r w:rsidR="00BB7752" w:rsidRPr="00BB7752">
        <w:rPr>
          <w:szCs w:val="24"/>
          <w:vertAlign w:val="superscript"/>
        </w:rPr>
        <w:t>26</w:t>
      </w:r>
      <w:r w:rsidRPr="00C4280C">
        <w:fldChar w:fldCharType="end"/>
      </w:r>
      <w:r w:rsidR="005B2674">
        <w:t>,</w:t>
      </w:r>
      <w:r w:rsidRPr="00C4280C">
        <w:rPr>
          <w:lang w:val="en-GB"/>
        </w:rPr>
        <w:t xml:space="preserve"> the World-Cancer-Research-Fund criteria used by the Global Burden of Disease project</w:t>
      </w:r>
      <w:r w:rsidR="00B36837">
        <w:rPr>
          <w:lang w:val="en-GB"/>
        </w:rPr>
        <w:t xml:space="preserve"> </w:t>
      </w:r>
      <w:r w:rsidR="00B36837">
        <w:rPr>
          <w:lang w:val="en-GB"/>
        </w:rPr>
        <w:fldChar w:fldCharType="begin"/>
      </w:r>
      <w:r w:rsidR="00BB7752">
        <w:rPr>
          <w:lang w:val="en-GB"/>
        </w:rPr>
        <w:instrText xml:space="preserve"> ADDIN ZOTERO_ITEM CSL_CITATION {"citationID":"RluJa0wu","properties":{"formattedCitation":"\\super 27\\nosupersub{}","plainCitation":"27","noteIndex":0},"citationItems":[{"id":7274,"uris":["http://zotero.org/users/14122/items/B8I7I3XD"],"uri":["http://zotero.org/users/14122/items/B8I7I3XD"],"itemData":{"id":7274,"type":"article-journal","abstract":"BACKGROUND Suboptimal diet is an important preventable risk factor for non-communicable diseases (NCDs); however, its impact on the burden of NCDs has not been systematically evaluated. This study aimed to evaluate the consumption of major foods and nutrients across 195 countries and to quantify the impact of their suboptimal intake on NCD mortality and morbidity. METHODS By use of a comparative risk assessment approach, we estimated the proportion of disease-specific burden attributable to each dietary risk factor (also referred to as population attributable fraction) among adults aged 25 years or older. The main inputs to this analysis included the intake of each dietary factor, the effect size of the dietary factor on disease endpoint, and the level of intake associated with the lowest risk of mortality. Then, by use of disease-specific population attributable fractions, mortality, and disability-adjusted life-years (DALYs), we calculated the number of deaths and DALYs attributable to diet for each disease outcome. FINDINGS In 2017, 11 million (95% uncertainty interval [UI] 10-12) deaths and 255 million (234-274) DALYs were attributable to dietary risk factors. High intake of sodium (3 million [1-5] deaths and 70 million [34-118] DALYs), low intake of whole grains (3 million [2-4] deaths and 82 million [59-109] DALYs), and low intake of fruits (2 million [1-4] deaths and 65 million [41-92] DALYs) were the leading dietary risk factors for deaths and DALYs globally and in many countries. Dietary data were from mixed sources and were not available for all countries, increasing the statistical uncertainty of our estimates. INTERPRETATION This study provides a comprehensive picture of the potential impact of suboptimal diet on NCD mortality and morbidity, highlighting the need for improving diet across nations. Our findings will inform implementation of evidence-based dietary interventions and provide a platform for evaluation of their impact on human health annually. FUNDING Bill &amp; Melinda Gates Foundation.","container-title":"The Lancet","issue":"0","title":"Health effects of dietary risks in 195 countries, 1990-2017: a systematic analysis for the Global Burden of Disease Study 2017","volume":"0","author":[{"family":"GBD 2017 Diet Collaborators","given":""},{"family":"Afshin","given":"Ashkan"},{"family":"Sur","given":"Patrick John"},{"family":"Fay","given":"Kairsten A."},{"family":"Cornaby","given":"Leslie"},{"family":"Ferrara","given":"Giannina"},{"family":"Salama","given":"Joseph S."},{"family":"Mullany","given":"Erin C."},{"family":"Abate","given":"Kalkidan Hassen"},{"family":"Abbafati","given":"Cristiana"},{"family":"Abebe","given":"Zegeye"},{"family":"Afarideh","given":"Mohsen"},{"family":"Aggarwal","given":"Anju"},{"family":"Agrawal","given":"Sutapa"},{"family":"Akinyemiju","given":"Tomi"},{"family":"Alahdab","given":"Fares"},{"family":"Bacha","given":"Umar"},{"family":"Bachman","given":"Victoria F."},{"family":"Badali","given":"Hamid"},{"family":"Badawi","given":"Alaa"},{"family":"Bensenor","given":"Isabela M."},{"family":"Bernabe","given":"Eduardo"},{"family":"Biadgilign","given":"Sibhatu Kassa K."},{"family":"Biryukov","given":"Stan H."},{"family":"Cahill","given":"Leah E."},{"family":"Carrero","given":"Juan J."},{"family":"Cercy","given":"Kelly M."},{"family":"Dandona","given":"Lalit"},{"family":"Dandona","given":"Rakhi"},{"family":"Dang","given":"Anh Kim"},{"family":"Degefa","given":"Meaza Girma"},{"family":"Zaki","given":"Maysaa El Sayed"},{"family":"Esteghamati","given":"Alireza"},{"family":"Esteghamati","given":"Sadaf"},{"family":"Fanzo","given":"Jessica"},{"family":"Farinha","given":"Carla Sofia e Sá"},{"family":"Farvid","given":"Maryam S."},{"family":"Farzadfar","given":"Farshad"},{"family":"Feigin","given":"Valery L."},{"family":"Fernandes","given":"Joao C."},{"family":"Flor","given":"Luisa Sorio"},{"family":"Foigt","given":"Nataliya A."},{"family":"Forouzanfar","given":"Mohammad H."},{"family":"Ganji","given":"Morsaleh"},{"family":"Geleijnse","given":"Johanna M."},{"family":"Gillum","given":"Richard F."},{"family":"Goulart","given":"Alessandra C."},{"family":"Grosso","given":"Giuseppe"},{"family":"Guessous","given":"Idris"},{"family":"Hamidi","given":"Samer"},{"family":"Hankey","given":"Graeme J."},{"family":"Harikrishnan","given":"Sivadasanpillai"},{"family":"Hassen","given":"Hamid Yimam"},{"family":"Hay","given":"Simon I."},{"family":"Hoang","given":"Chi Linh"},{"family":"Horino","given":"Masako"},{"family":"Islami","given":"Farhad"},{"family":"Jackson","given":"Maria D."},{"family":"James","given":"Spencer L."},{"family":"Johansson","given":"Lars"},{"family":"Jonas","given":"Jost B."},{"family":"Kasaeian","given":"Amir"},{"family":"Khader","given":"Yousef Saleh"},{"family":"Khalil","given":"Ibrahim A."},{"family":"Khang","given":"Young-Ho"},{"family":"Kimokoti","given":"Ruth W."},{"family":"Kokubo","given":"Yoshihiro"},{"family":"Kumar","given":"G. Anil"},{"family":"Lallukka","given":"Tea"},{"family":"Lopez","given":"Alan D."},{"family":"Lorkowski","given":"Stefan"},{"family":"Lotufo","given":"Paulo A."},{"family":"Lozano","given":"Rafael"},{"family":"Malekzadeh","given":"Reza"},{"family":"März","given":"Winfried"},{"family":"Meier","given":"Toni"},{"family":"Melaku","given":"Yohannes A."},{"family":"Mendoza","given":"Walter"},{"family":"Mensink","given":"Gert B. M."},{"family":"Micha","given":"Renata"},{"family":"Miller","given":"Ted R."},{"family":"Mirarefin","given":"Mojde"},{"family":"Mohan","given":"Viswanathan"},{"family":"Mokdad","given":"Ali H."},{"family":"Mozaffarian","given":"Dariush"},{"family":"Nagel","given":"Gabriele"},{"family":"Naghavi","given":"Mohsen"},{"family":"Nguyen","given":"Cuong Tat"},{"family":"Nixon","given":"Molly R."},{"family":"Ong","given":"Kanyin L."},{"family":"Pereira","given":"David M."},{"family":"Poustchi","given":"Hossein"},{"family":"Qorbani","given":"Mostafa"},{"family":"Rai","given":"Rajesh Kumar"},{"family":"Razo-García","given":"Christian"},{"family":"Rehm","given":"Colin D."},{"family":"Rivera","given":"Juan A."},{"family":"Rodríguez-Ramírez","given":"Sonia"},{"family":"Roshandel","given":"Gholamreza"},{"family":"Roth","given":"Gregory A."},{"family":"Sanabria","given":"Juan"},{"family":"Sánchez-Pimienta","given":"Tania G."},{"family":"Sartorius","given":"Benn"},{"family":"Schmidhuber","given":"Josef"},{"family":"Schutte","given":"Aletta Elisabeth"},{"family":"Sepanlou","given":"Sadaf G."},{"family":"Shin","given":"Min-Jeong"},{"family":"Sorensen","given":"Reed J. D."},{"family":"Springmann","given":"Marco"},{"family":"Szponar","given":"Lucjan"},{"family":"Thorne-Lyman","given":"Andrew L."},{"family":"Thrift","given":"Amanda G."},{"family":"Touvier","given":"Mathilde"},{"family":"Tran","given":"Bach Xuan"},{"family":"Tyrovolas","given":"Stefanos"},{"family":"Ukwaja","given":"Kingsley Nnanna"},{"family":"Ullah","given":"Irfan"},{"family":"Uthman","given":"Olalekan A."},{"family":"Vaezghasemi","given":"Masoud"},{"family":"Vasankari","given":"Tommi Juhani"},{"family":"Vollset","given":"Stein Emil"},{"family":"Vos","given":"Theo"},{"family":"Vu","given":"Giang Thu"},{"family":"Vu","given":"Linh Gia"},{"family":"Weiderpass","given":"Elisabete"},{"family":"Werdecker","given":"Andrea"},{"family":"Wijeratne","given":"Tissa"},{"family":"Willett","given":"Walter C."},{"family":"Wu","given":"Jason H."},{"family":"Xu","given":"Gelin"},{"family":"Yonemoto","given":"Naohiro"},{"family":"Yu","given":"Chuanhua"},{"family":"Murray","given":"Christopher J. L."}],"issued":{"date-parts":[["2019"]]}}}],"schema":"https://github.com/citation-style-language/schema/raw/master/csl-citation.json"} </w:instrText>
      </w:r>
      <w:r w:rsidR="00B36837">
        <w:rPr>
          <w:lang w:val="en-GB"/>
        </w:rPr>
        <w:fldChar w:fldCharType="separate"/>
      </w:r>
      <w:r w:rsidR="00BB7752" w:rsidRPr="00BB7752">
        <w:rPr>
          <w:szCs w:val="24"/>
          <w:vertAlign w:val="superscript"/>
        </w:rPr>
        <w:t>27</w:t>
      </w:r>
      <w:r w:rsidR="00B36837">
        <w:rPr>
          <w:lang w:val="en-GB"/>
        </w:rPr>
        <w:fldChar w:fldCharType="end"/>
      </w:r>
      <w:r w:rsidR="005B2674">
        <w:t>,</w:t>
      </w:r>
      <w:r w:rsidRPr="00C4280C">
        <w:rPr>
          <w:lang w:val="en-GB"/>
        </w:rPr>
        <w:t xml:space="preserve"> as well as </w:t>
      </w:r>
      <w:proofErr w:type="spellStart"/>
      <w:r w:rsidRPr="00C4280C">
        <w:rPr>
          <w:lang w:val="en-GB"/>
        </w:rPr>
        <w:t>NutriGrade</w:t>
      </w:r>
      <w:proofErr w:type="spellEnd"/>
      <w:r w:rsidRPr="00C4280C">
        <w:rPr>
          <w:lang w:val="en-GB"/>
        </w:rPr>
        <w:t xml:space="preserve"> (Table </w:t>
      </w:r>
      <w:r w:rsidR="00F05584">
        <w:rPr>
          <w:lang w:val="en-GB"/>
        </w:rPr>
        <w:t>S</w:t>
      </w:r>
      <w:r w:rsidRPr="00C4280C">
        <w:rPr>
          <w:lang w:val="en-GB"/>
        </w:rPr>
        <w:t>6)</w:t>
      </w:r>
      <w:r w:rsidR="005B2674">
        <w:rPr>
          <w:lang w:val="en-GB"/>
        </w:rPr>
        <w:t xml:space="preserve"> </w:t>
      </w:r>
      <w:r w:rsidRPr="00C4280C">
        <w:rPr>
          <w:lang w:val="en-GB"/>
        </w:rPr>
        <w:fldChar w:fldCharType="begin" w:fldLock="1"/>
      </w:r>
      <w:r w:rsidR="00BB7752">
        <w:rPr>
          <w:lang w:val="en-GB"/>
        </w:rPr>
        <w:instrText xml:space="preserve"> ADDIN ZOTERO_ITEM CSL_CITATION {"citationID":"sWaGfxqt","properties":{"formattedCitation":"\\super 28\\nosupersub{}","plainCitation":"28","noteIndex":0},"citationItems":[{"id":"9UZPP0Go/YJx8zjPJ","uris":["http://www.mendeley.com/documents/?uuid=1dcb1c7e-8b6c-3f44-9230-1b5c6d431659"],"uri":["http://www.mendeley.com/documents/?uuid=1dcb1c7e-8b6c-3f44-9230-1b5c6d431659"],"itemData":{"DOI":"10.3945/an.116.013052","ISSN":"2156-5376","abstract":"ï¿½ 2016 American Society for Nutrition. The objective of this study was to develop a scoring system (NutriGrade) to evaluate the quality of evidence of randomized controlled trial (RCT) and cohort study meta-analyses in nutrition research, building upon previous tools and expert recommendations. NutriGrade aims to assess the meta-evidence of an association or effect between different nutrition factors and outcomes, taking into account nutrition research-specific requirements not considered by other tools. In a pretest study, 6 randomly selected meta-analyses investigating diet-disease relations were evaluated with NutriGrade by 5 independent raters. After revision, NutriGrade was applied by the same raters to 30 randomly selected meta-analyses in the same thematic area. The reliability of ratings of NutriGrade items was calculated with the use of a multirater k, and reliability of the total (summed scores) was calculated with the use of intraclass correlation coefficients (ICCs). The following categories for meta-evidence evaluation were established: high (8-10), moderate (6-7.99), low (4-5.99), and very low (0-3.99). The NutriGrade scoring system (maximum of 10 points) comprises the following items: 1) risk of bias, study quality, and study limitations, 2) precision, 3) heterogeneity, 4) directness, 5) publication bias, 6) funding bias, 7) study design, 8) effect size, and 9) dose-response. The NutriGrade score varied between 2.9 (very lowmeta-evidence) and 8.8 (high meta-evidence) for meta-analyses of RCTs, and it ranged between 3.1 and 8.8 for meta-analyses of cohort studies. The k value of the ratings for each scoring item varied from 0.32 (95% CI: 0.22, 0.42) for risk of bias for cohort studies and 0.95 (95% CI: 0.91, 0.99) for study design, with a mean k of 0.66 (95% CI: 0.53, 0.79). The ICC of the total score was 0.81 (95% CI: 0.69, 0.90). The NutriGrade scoring system showed good agreement and reliability. The initial findings regarding the performance of this newly established scoring system need further evaluation in independent analyses.","author":[{"dropping-particle":"","family":"Schwingshackl","given":"Lukas","non-dropping-particle":"","parse-names":false,"suffix":""},{"dropping-particle":"","family":"Knüppel","given":"Sven","non-dropping-particle":"","parse-names":false,"suffix":""},{"dropping-particle":"","family":"Schwedhelm","given":"Carolina","non-dropping-particle":"","parse-names":false,"suffix":""},{"dropping-particle":"","family":"Hoffmann","given":"Georg","non-dropping-particle":"","parse-names":false,"suffix":""},{"dropping-particle":"","family":"Missbach","given":"Benjamin","non-dropping-particle":"","parse-names":false,"suffix":""},{"dropping-particle":"","family":"Stelmach-Mardas","given":"Marta","non-dropping-particle":"","parse-names":false,"suffix":""},{"dropping-particle":"","family":"Dietrich","given":"Stefan","non-dropping-particle":"","parse-names":false,"suffix":""},{"dropping-particle":"","family":"Eichelmann","given":"Fabian","non-dropping-particle":"","parse-names":false,"suffix":""},{"dropping-particle":"","family":"Kontopanteils","given":"Evangelos","non-dropping-particle":"","parse-names":false,"suffix":""},{"dropping-particle":"","family":"Iqbal","given":"Khalid","non-dropping-particle":"","parse-names":false,"suffix":""},{"dropping-particle":"","family":"Aleksandrova","given":"Krasimira","non-dropping-particle":"","parse-names":false,"suffix":""},{"dropping-particle":"","family":"Lorkowski","given":"Stefan","non-dropping-particle":"","parse-names":false,"suffix":""},{"dropping-particle":"","family":"Leitzmann","given":"Michael F","non-dropping-particle":"","parse-names":false,"suffix":""},{"dropping-particle":"","family":"Kroke","given":"Anja","non-dropping-particle":"","parse-names":false,"suffix":""},{"dropping-particle":"","family":"Boeing","given":"Heiner","non-dropping-particle":"","parse-names":false,"suffix":""}],"container-title":"Advances in Nutrition: An International Review Journal","id":"ITEM-1","issue":"6","issued":{"date-parts":[["2016","11"]]},"page":"994-1004","publisher":"Oxford University Press (OUP)","title":"Perspective: NutriGrade: A Scoring System to Assess and Judge the Meta-Evidence of Randomized Controlled Trials and Cohort Studies in Nutrition Research","type":"article-journal","volume":"7"}}],"schema":"https://github.com/citation-style-language/schema/raw/master/csl-citation.json"} </w:instrText>
      </w:r>
      <w:r w:rsidRPr="00C4280C">
        <w:rPr>
          <w:lang w:val="en-GB"/>
        </w:rPr>
        <w:fldChar w:fldCharType="separate"/>
      </w:r>
      <w:r w:rsidR="00BB7752" w:rsidRPr="00BB7752">
        <w:rPr>
          <w:szCs w:val="24"/>
          <w:vertAlign w:val="superscript"/>
        </w:rPr>
        <w:t>28</w:t>
      </w:r>
      <w:r w:rsidRPr="00C4280C">
        <w:fldChar w:fldCharType="end"/>
      </w:r>
      <w:r w:rsidR="005B2674">
        <w:t>.</w:t>
      </w:r>
      <w:r w:rsidRPr="00C4280C">
        <w:rPr>
          <w:lang w:val="en-GB"/>
        </w:rPr>
        <w:t xml:space="preserve"> </w:t>
      </w:r>
      <w:bookmarkStart w:id="9" w:name="_Hlk39674646"/>
      <w:r w:rsidRPr="00C4280C">
        <w:rPr>
          <w:lang w:val="en-GB"/>
        </w:rPr>
        <w:t xml:space="preserve">The certainty of evidence supporting the associations of dietary risks and disease outcomes as used here were graded as moderate or high with </w:t>
      </w:r>
      <w:proofErr w:type="spellStart"/>
      <w:r w:rsidRPr="00C4280C">
        <w:rPr>
          <w:lang w:val="en-GB"/>
        </w:rPr>
        <w:t>NutriGrade</w:t>
      </w:r>
      <w:proofErr w:type="spellEnd"/>
      <w:r w:rsidR="005B2674">
        <w:rPr>
          <w:lang w:val="en-GB"/>
        </w:rPr>
        <w:t xml:space="preserve"> </w:t>
      </w:r>
      <w:r w:rsidRPr="00C4280C">
        <w:rPr>
          <w:lang w:val="en-GB"/>
        </w:rPr>
        <w:fldChar w:fldCharType="begin" w:fldLock="1"/>
      </w:r>
      <w:r w:rsidR="00BB7752">
        <w:rPr>
          <w:lang w:val="en-GB"/>
        </w:rPr>
        <w:instrText xml:space="preserve"> ADDIN ZOTERO_ITEM CSL_CITATION {"citationID":"ZOKGXT1r","properties":{"formattedCitation":"\\super 16,20,21\\nosupersub{}","plainCitation":"16,20,21","noteIndex":0},"citationItems":[{"id":"9UZPP0Go/sWShzIfQ","uris":["http://www.mendeley.com/documents/?uuid=007ce9ce-2a59-4b24-9fe2-67169e1122b4"],"uri":["http://www.mendeley.com/documents/?uuid=007ce9ce-2a59-4b24-9fe2-67169e1122b4"],"itemData":{"DOI":"10.1080/10408398.2017.1392288","ISSN":"1040-8398","abstract":"ABSTRACTBackground: Despite growing evidence for food-based dietary patterns' potential to reduce cardiovascular disease risk, knowledge about the amounts of food associated with the greatest change in risk of specific cardiovascular outcomes and about the quality of meta-evidence is limited. Therefore, the aim of this meta-analysis was to synthesize the knowledge about the relation between intake of 12 major food groups (whole grains, refined grains, vegetables, fruits, nuts, legumes, eggs, dairy, fish, red meat, processed meat, and sugar-sweetened beverages [SSB]) and the risk of coronary heart disease (CHD), stroke and heart failure (HF).Methods: We conducted a systematic search in PubMed and Embase up to March 2017 for prospective studies. Summary risk ratios (RRs) and 95% confidence intervals (95% CI) were estimated using a random effects model for highest versus lowest intake categories, as well as for linear and non-linear relationships.Results: Overall, 123 reports were included in the meta-analys...","author":[{"dropping-particle":"","family":"Bechthold","given":"Angela","non-dropping-particle":"","parse-names":false,"suffix":""},{"dropping-particle":"","family":"Boeing","given":"Heiner","non-dropping-particle":"","parse-names":false,"suffix":""},{"dropping-particle":"","family":"Schwedhelm","given":"Carolina","non-dropping-particle":"","parse-names":false,"suffix":""},{"dropping-particle":"","family":"Hoffmann","given":"Georg","non-dropping-particle":"","parse-names":false,"suffix":""},{"dropping-particle":"","family":"Knüppel","given":"Sven","non-dropping-particle":"","parse-names":false,"suffix":""},{"dropping-particle":"","family":"Iqbal","given":"Khalid","non-dropping-particle":"","parse-names":false,"suffix":""},{"dropping-particle":"","family":"Henauw","given":"Stefaan","non-dropping-particle":"De","parse-names":false,"suffix":""},{"dropping-particle":"","family":"Michels","given":"Nathalie","non-dropping-particle":"","parse-names":false,"suffix":""},{"dropping-particle":"","family":"Devleesschauwer","given":"Brecht","non-dropping-particle":"","parse-names":false,"suffix":""},{"dropping-particle":"","family":"Schlesinger","given":"Sabrina","non-dropping-particle":"","parse-names":false,"suffix":""},{"dropping-particle":"","family":"Schwingshackl","given":"Lukas","non-dropping-particle":"","parse-names":false,"suffix":""}],"container-title":"Critical Reviews in Food Science and Nutrition","id":"DNBsr0kA/nOEvKTJo","issue":"7","issued":{"date-parts":[["2019","10"]]},"page":"1071-1090","publisher":"Taylor &amp; Francis","title":"Food groups and risk of coronary heart disease, stroke and heart failure: A systematic review and dose-response meta-analysis of prospective studies","type":"article-journal","volume":"59"}},{"id":"9UZPP0Go/fEUAUI8W","uris":["http://www.mendeley.com/documents/?uuid=bdd9c8da-ff28-31d3-9ce7-abf0cba8378b"],"uri":["http://www.mendeley.com/documents/?uuid=bdd9c8da-ff28-31d3-9ce7-abf0cba8378b"],"itemData":{"DOI":"10.1002/ijc.31198","ISSN":"10970215","PMID":"29210053","abstract":"The aim of this systematic review and meta-analysis was to summarize the evidence on the relationship between intake of 12 major food groups, including whole grains, refined grains, vegetables, fruit, nuts, legumes, eggs, dairy, fish, red meat, processed meat and sugar-sweetened beverages with risk of colorectal cancer (CRC). We conducted a systematic search in PubMed and Embase for prospective studies investigating the association between these 12 food groups and risk of CRC until April 2017. Summary risk ratios (RRs) and 95% confidence intervals (95% CI) were estimated using a random effects model for high vs. low intake categories, as well as for linear and nonlinear relationships. An inverse association was observed for whole grains (RR30g/d: 0.95, 95% CI 0.93, 0.97; n = 9 studies), vegetables (RR100g/d: 0.97, 95% CI 0.96, 0.98; n = 15), fruit (RR100g/d: 0.97, 95% CI 0.95, 0.99; n = 16) and dairy (RR200g/d: 0.93, 95% CI 0.91, 0.94; n = 15), while a positive association for red meat (RR100g/d: 1.12, 95% CI 1.06, 1.19; n = 21) and processed meat (RR50g/d: 1.17, 95% CI 1.10, 1.23; n = 16), was seen in the linear dose-response meta-analysis. Some evidence for nonlinear relationships was observed between vegetables, fruit and dairy and risk of colorectal cancer. Findings of this meta-analysis showed that a diet characterized by high intake of whole grains, vegetables, fruit and dairy products and low amounts of red meat and processed meat was associated with lower risk of CRC.","author":[{"dropping-particle":"","family":"Schwingshackl","given":"Lukas","non-dropping-particle":"","parse-names":false,"suffix":""},{"dropping-particle":"","family":"Schwedhelm","given":"Carolina","non-dropping-particle":"","parse-names":false,"suffix":""},{"dropping-particle":"","family":"Hoffmann","given":"Georg","non-dropping-particle":"","parse-names":false,"suffix":""},{"dropping-particle":"","family":"Knüppel","given":"Sven","non-dropping-particle":"","parse-names":false,"suffix":""},{"dropping-particle":"","family":"Laure Preterre","given":"Anne","non-dropping-particle":"","parse-names":false,"suffix":""},{"dropping-particle":"","family":"Iqbal","given":"Khalid","non-dropping-particle":"","parse-names":false,"suffix":""},{"dropping-particle":"","family":"Bechthold","given":"Angela","non-dropping-particle":"","parse-names":false,"suffix":""},{"dropping-particle":"","family":"Henauw","given":"Stefaan","non-dropping-particle":"De","parse-names":false,"suffix":""},{"dropping-particle":"","family":"Michels","given":"Nathalie","non-dropping-particle":"","parse-names":false,"suffix":""},{"dropping-particle":"","family":"Devleesschauwer","given":"Brecht","non-dropping-particle":"","parse-names":false,"suffix":""},{"dropping-particle":"","family":"Boeing","given":"Heiner","non-dropping-particle":"","parse-names":false,"suffix":""},{"dropping-particle":"","family":"Schlesinger","given":"Sabrina","non-dropping-particle":"","parse-names":false,"suffix":""}],"container-title":"International Journal of Cancer","id":"ITEM-3","issue":"9","issued":{"date-parts":[["2018","5","1"]]},"page":"1748-1758","publisher":"Wiley-Liss Inc.","title":"Food groups and risk of colorectal cancer","type":"article-journal","volume":"142"}},{"id":"9UZPP0Go/EJ92l2md","uris":["http://www.mendeley.com/documents/?uuid=ba4fcacc-f1c5-3030-ade7-aa63e34b8ebb"],"uri":["http://www.mendeley.com/documents/?uuid=ba4fcacc-f1c5-3030-ade7-aa63e34b8ebb"],"itemData":{"DOI":"10.1007/s10654-017-0246-y","ISSN":"15737284","PMID":"28397016","abstract":"The aim of this systematic review and meta-analysis was to synthesize the knowledge about the relation between intake of 12 major food groups and risk of type 2 diabetes (T2D). We conducted a systematic search in PubMed, Embase, Medline (Ovid), Cochrane Central, and Google Scholar for prospective studies investigating the association between whole grains, refined grains, vegetables, fruits, nuts, legumes, eggs, dairy, fish, red meat, processed meat, and sugar-sweetened beverages (SSB) on risk of T2D. Summary relative risks were estimated using a random effects model by contrasting categories, and for linear and non-linear dose–response relationships. Six out of the 12 food-groups showed a significant relation with risk of T2D, three of them a decrease of risk with increasing consumption (whole grains, fruits, and dairy), and three an increase of risk with increasing consumption (red meat, processed meat, and SSB) in the linear dose–response meta-analysis. There was evidence of a non-linear relationship between fruits, vegetables, processed meat, whole grains, and SSB and T2D risk. Optimal consumption of risk-decreasing foods resulted in a 42% reduction, and consumption of risk-increasing foods was associated with a threefold T2D risk, compared to non-consumption. The meta-evidence was graded “low” for legumes and nuts; “moderate” for refined grains, vegetables, fruit, eggs, dairy, and fish; and “high” for processed meat, red meat, whole grains, and SSB. Among the investigated food groups, selecting specific optimal intakes can lead to a considerable change in risk of T2D.","author":[{"dropping-particle":"","family":"Schwingshackl","given":"Lukas","non-dropping-particle":"","parse-names":false,"suffix":""},{"dropping-particle":"","family":"Hoffmann","given":"Georg","non-dropping-particle":"","parse-names":false,"suffix":""},{"dropping-particle":"","family":"Lampousi","given":"Anna Maria","non-dropping-particle":"","parse-names":false,"suffix":""},{"dropping-particle":"","family":"Knüppel","given":"Sven","non-dropping-particle":"","parse-names":false,"suffix":""},{"dropping-particle":"","family":"Iqbal","given":"Khalid","non-dropping-particle":"","parse-names":false,"suffix":""},{"dropping-particle":"","family":"Schwedhelm","given":"Carolina","non-dropping-particle":"","parse-names":false,"suffix":""},{"dropping-particle":"","family":"Bechthold","given":"Angela","non-dropping-particle":"","parse-names":false,"suffix":""},{"dropping-particle":"","family":"Schlesinger","given":"Sabrina","non-dropping-particle":"","parse-names":false,"suffix":""},{"dropping-particle":"","family":"Boeing","given":"Heiner","non-dropping-particle":"","parse-names":false,"suffix":""}],"container-title":"European Journal of Epidemiology","id":"ITEM-2","issue":"5","issued":{"date-parts":[["2017","5","1"]]},"page":"363-375","publisher":"Springer Netherlands","title":"Food groups and risk of type 2 diabetes mellitus: a systematic review and meta-analysis of prospective studies","type":"article-journal","volume":"32"}}],"schema":"https://github.com/citation-style-language/schema/raw/master/csl-citation.json"} </w:instrText>
      </w:r>
      <w:r w:rsidRPr="00C4280C">
        <w:rPr>
          <w:lang w:val="en-GB"/>
        </w:rPr>
        <w:fldChar w:fldCharType="separate"/>
      </w:r>
      <w:r w:rsidR="00BB7752" w:rsidRPr="00BB7752">
        <w:rPr>
          <w:szCs w:val="24"/>
          <w:vertAlign w:val="superscript"/>
        </w:rPr>
        <w:t>16,20,21</w:t>
      </w:r>
      <w:r w:rsidRPr="00C4280C">
        <w:fldChar w:fldCharType="end"/>
      </w:r>
      <w:r w:rsidR="005B2674">
        <w:t>,</w:t>
      </w:r>
      <w:r w:rsidRPr="00C4280C">
        <w:rPr>
          <w:lang w:val="en-GB"/>
        </w:rPr>
        <w:t xml:space="preserve"> and/or assessed as probable or convincing by the Nutrition and Chronic Diseases Expert Group</w:t>
      </w:r>
      <w:r w:rsidR="005B2674">
        <w:rPr>
          <w:lang w:val="en-GB"/>
        </w:rPr>
        <w:t xml:space="preserve"> </w:t>
      </w:r>
      <w:r w:rsidRPr="00C4280C">
        <w:rPr>
          <w:lang w:val="en-GB"/>
        </w:rPr>
        <w:fldChar w:fldCharType="begin" w:fldLock="1"/>
      </w:r>
      <w:r w:rsidR="00BB7752">
        <w:rPr>
          <w:lang w:val="en-GB"/>
        </w:rPr>
        <w:instrText xml:space="preserve"> ADDIN ZOTERO_ITEM CSL_CITATION {"citationID":"duOXFepV","properties":{"formattedCitation":"\\super 26\\nosupersub{}","plainCitation":"26","noteIndex":0},"citationItems":[{"id":"9UZPP0Go/uQD09x7u","uris":["http://www.mendeley.com/documents/?uuid=0f067f83-2d4b-47d5-a28e-4332e6c44add"],"uri":["http://www.mendeley.com/documents/?uuid=0f067f83-2d4b-47d5-a28e-4332e6c44add"],"itemData":{"DOI":"10.1371/journal.pone.0175149","ISSN":"1932-6203","author":[{"dropping-particle":"","family":"Micha","given":"Renata","non-dropping-particle":"","parse-names":false,"suffix":""},{"dropping-particle":"","family":"Shulkin","given":"Masha L","non-dropping-particle":"","parse-names":false,"suffix":""},{"dropping-particle":"","family":"Peñalvo","given":"Jose L","non-dropping-particle":"","parse-names":false,"suffix":""},{"dropping-particle":"","family":"Khatibzadeh","given":"Shahab","non-dropping-particle":"","parse-names":false,"suffix":""},{"dropping-particle":"","family":"Singh","given":"Gitanjali M","non-dropping-particle":"","parse-names":false,"suffix":""},{"dropping-particle":"","family":"Rao","given":"Mayuree","non-dropping-particle":"","parse-names":false,"suffix":""},{"dropping-particle":"","family":"Fahimi","given":"Saman","non-dropping-particle":"","parse-names":false,"suffix":""},{"dropping-particle":"","family":"Powles","given":"John","non-dropping-particle":"","parse-names":false,"suffix":""},{"dropping-particle":"","family":"Mozaffarian","given":"Dariush","non-dropping-particle":"","parse-names":false,"suffix":""}],"container-title":"PLOS ONE","editor":[{"dropping-particle":"","family":"Kiechl","given":"Stefan","non-dropping-particle":"","parse-names":false,"suffix":""}],"id":"ITEM-1","issue":"4","issued":{"date-parts":[["2017","10","3"]]},"language":"en","page":"e0175149","title":"Etiologic effects and optimal intakes of foods and nutrients for risk of cardiovascular diseases and diabetes: Systematic reviews and meta-analyses from the Nutrition and Chronic Diseases Expert Group (NutriCoDE)","type":"article-journal","volume":"12"}}],"schema":"https://github.com/citation-style-language/schema/raw/master/csl-citation.json"} </w:instrText>
      </w:r>
      <w:r w:rsidRPr="00C4280C">
        <w:rPr>
          <w:lang w:val="en-GB"/>
        </w:rPr>
        <w:fldChar w:fldCharType="separate"/>
      </w:r>
      <w:r w:rsidR="00BB7752" w:rsidRPr="00BB7752">
        <w:rPr>
          <w:szCs w:val="24"/>
          <w:vertAlign w:val="superscript"/>
        </w:rPr>
        <w:t>26</w:t>
      </w:r>
      <w:r w:rsidRPr="00C4280C">
        <w:fldChar w:fldCharType="end"/>
      </w:r>
      <w:r w:rsidR="005B2674">
        <w:t>,</w:t>
      </w:r>
      <w:r w:rsidRPr="00C4280C">
        <w:rPr>
          <w:lang w:val="en-GB"/>
        </w:rPr>
        <w:t xml:space="preserve"> and by the World Cancer Research</w:t>
      </w:r>
      <w:r w:rsidR="005B2674">
        <w:rPr>
          <w:lang w:val="en-GB"/>
        </w:rPr>
        <w:t xml:space="preserve"> </w:t>
      </w:r>
      <w:r w:rsidRPr="00C4280C">
        <w:rPr>
          <w:lang w:val="en-GB"/>
        </w:rPr>
        <w:fldChar w:fldCharType="begin" w:fldLock="1"/>
      </w:r>
      <w:r w:rsidR="00BB7752">
        <w:rPr>
          <w:lang w:val="en-GB"/>
        </w:rPr>
        <w:instrText xml:space="preserve"> ADDIN ZOTERO_ITEM CSL_CITATION {"citationID":"3TYT9SWe","properties":{"formattedCitation":"\\super 29\\nosupersub{}","plainCitation":"29","noteIndex":0},"citationItems":[{"id":"9UZPP0Go/cNYVjOaT","uris":["http://www.mendeley.com/documents/?uuid=f3f01bfb-0d50-32f1-a09f-ceec3af2993b"],"uri":["http://www.mendeley.com/documents/?uuid=f3f01bfb-0d50-32f1-a09f-ceec3af2993b"],"itemData":{"author":[{"dropping-particle":"","family":"World Cancer Research Fund/American Institute for Cancer Research","given":"","non-dropping-particle":"","parse-names":false,"suffix":""}],"id":"ITEM-1","issued":{"date-parts":[["2018"]]},"title":"Diet, Nutrition, Physical Activity and Cancer: A Global Perspective. Continuous Update Project Expert Report","type":"article-journal"}}],"schema":"https://github.com/citation-style-language/schema/raw/master/csl-citation.json"} </w:instrText>
      </w:r>
      <w:r w:rsidRPr="00C4280C">
        <w:rPr>
          <w:lang w:val="en-GB"/>
        </w:rPr>
        <w:fldChar w:fldCharType="separate"/>
      </w:r>
      <w:r w:rsidR="00BB7752" w:rsidRPr="00BB7752">
        <w:rPr>
          <w:szCs w:val="24"/>
          <w:vertAlign w:val="superscript"/>
        </w:rPr>
        <w:t>29</w:t>
      </w:r>
      <w:r w:rsidRPr="00C4280C">
        <w:fldChar w:fldCharType="end"/>
      </w:r>
      <w:bookmarkEnd w:id="9"/>
      <w:r w:rsidR="005B2674">
        <w:t>.</w:t>
      </w:r>
      <w:r w:rsidRPr="00C4280C">
        <w:rPr>
          <w:lang w:val="en-GB"/>
        </w:rPr>
        <w:t xml:space="preserve"> The certainty of evidence grading in each case relates to the general relationship between a risk factor and a health outcome, and not to a specific relative-risk value. </w:t>
      </w:r>
    </w:p>
    <w:p w14:paraId="043A350B" w14:textId="0B3D08F1" w:rsidR="00C4280C" w:rsidRDefault="00C4280C" w:rsidP="00416662">
      <w:pPr>
        <w:pStyle w:val="SMText"/>
        <w:spacing w:line="276" w:lineRule="auto"/>
        <w:rPr>
          <w:lang w:val="en-GB"/>
        </w:rPr>
      </w:pPr>
    </w:p>
    <w:p w14:paraId="15EAC479" w14:textId="7C4AEDAF" w:rsidR="00F05584" w:rsidRPr="00C4280C" w:rsidRDefault="00F05584" w:rsidP="00416662">
      <w:pPr>
        <w:pStyle w:val="SMText"/>
        <w:spacing w:line="276" w:lineRule="auto"/>
        <w:ind w:firstLine="0"/>
        <w:rPr>
          <w:lang w:val="en-GB"/>
        </w:rPr>
      </w:pPr>
      <w:r w:rsidRPr="00C4280C">
        <w:rPr>
          <w:lang w:val="en-GB"/>
        </w:rPr>
        <w:t xml:space="preserve">For the different </w:t>
      </w:r>
      <w:r w:rsidR="00481D83">
        <w:rPr>
          <w:lang w:val="en-GB"/>
        </w:rPr>
        <w:t>Brexit</w:t>
      </w:r>
      <w:r w:rsidRPr="00C4280C">
        <w:rPr>
          <w:lang w:val="en-GB"/>
        </w:rPr>
        <w:t xml:space="preserve"> scenarios, we calculated uncertainty intervals associated with changes in mortality based on standard methods of error propagation and the confidence intervals of the relative risk parameters. For the error propagation, we approximated the error distribution of the relative risks by a normal distribution and used that side of deviations from the mean which was largest. This method leads to conservative and potentially larger uncertainty intervals as probabilistic methods, such as Monte Carlo sampling, but it has significant computational advantages, and is justified for the magnitude of errors dealt with here (&lt;50%) (see </w:t>
      </w:r>
      <w:proofErr w:type="gramStart"/>
      <w:r w:rsidRPr="00C4280C">
        <w:rPr>
          <w:lang w:val="en-GB"/>
        </w:rPr>
        <w:t>e.g.</w:t>
      </w:r>
      <w:proofErr w:type="gramEnd"/>
      <w:r w:rsidRPr="00C4280C">
        <w:rPr>
          <w:lang w:val="en-GB"/>
        </w:rPr>
        <w:t xml:space="preserve"> IPCC Uncertainty Guidelines). </w:t>
      </w:r>
    </w:p>
    <w:p w14:paraId="3F8CC192" w14:textId="60A9167A" w:rsidR="00F05584" w:rsidRDefault="00F05584" w:rsidP="00416662">
      <w:pPr>
        <w:pStyle w:val="SMText"/>
        <w:spacing w:line="276" w:lineRule="auto"/>
        <w:rPr>
          <w:lang w:val="en-GB"/>
        </w:rPr>
      </w:pPr>
    </w:p>
    <w:p w14:paraId="51D02FD2" w14:textId="3AC75B8A" w:rsidR="00F05584" w:rsidRDefault="00F05584" w:rsidP="00416662">
      <w:pPr>
        <w:pStyle w:val="SMText"/>
        <w:spacing w:line="276" w:lineRule="auto"/>
        <w:rPr>
          <w:lang w:val="en-GB"/>
        </w:rPr>
      </w:pPr>
    </w:p>
    <w:p w14:paraId="0D0F8538" w14:textId="27765EC8" w:rsidR="00F05584" w:rsidRDefault="00F05584" w:rsidP="00416662">
      <w:pPr>
        <w:pStyle w:val="SMText"/>
        <w:spacing w:line="276" w:lineRule="auto"/>
        <w:rPr>
          <w:lang w:val="en-GB"/>
        </w:rPr>
      </w:pPr>
    </w:p>
    <w:p w14:paraId="031EE34B" w14:textId="53027668" w:rsidR="00F05584" w:rsidRDefault="00F05584" w:rsidP="00416662">
      <w:pPr>
        <w:pStyle w:val="SMText"/>
        <w:spacing w:line="276" w:lineRule="auto"/>
        <w:rPr>
          <w:lang w:val="en-GB"/>
        </w:rPr>
      </w:pPr>
    </w:p>
    <w:p w14:paraId="20855C89" w14:textId="373BBBB4" w:rsidR="00F05584" w:rsidRDefault="00F05584" w:rsidP="00416662">
      <w:pPr>
        <w:pStyle w:val="SMText"/>
        <w:spacing w:line="276" w:lineRule="auto"/>
        <w:rPr>
          <w:lang w:val="en-GB"/>
        </w:rPr>
      </w:pPr>
    </w:p>
    <w:p w14:paraId="099CAA42" w14:textId="5A3C4C7D" w:rsidR="00F05584" w:rsidRDefault="00F05584" w:rsidP="00416662">
      <w:pPr>
        <w:pStyle w:val="SMText"/>
        <w:spacing w:line="276" w:lineRule="auto"/>
        <w:rPr>
          <w:lang w:val="en-GB"/>
        </w:rPr>
      </w:pPr>
    </w:p>
    <w:p w14:paraId="564F3F2F" w14:textId="3937DDDE" w:rsidR="00F05584" w:rsidRDefault="00F05584" w:rsidP="00416662">
      <w:pPr>
        <w:pStyle w:val="SMText"/>
        <w:spacing w:line="276" w:lineRule="auto"/>
        <w:rPr>
          <w:lang w:val="en-GB"/>
        </w:rPr>
      </w:pPr>
    </w:p>
    <w:p w14:paraId="2F4767CA" w14:textId="61657790" w:rsidR="00F05584" w:rsidRDefault="00F05584" w:rsidP="00416662">
      <w:pPr>
        <w:pStyle w:val="SMText"/>
        <w:spacing w:line="276" w:lineRule="auto"/>
        <w:rPr>
          <w:lang w:val="en-GB"/>
        </w:rPr>
      </w:pPr>
    </w:p>
    <w:p w14:paraId="0CA8BE96" w14:textId="40A429DA" w:rsidR="00F05584" w:rsidRDefault="00F05584" w:rsidP="00416662">
      <w:pPr>
        <w:pStyle w:val="SMText"/>
        <w:spacing w:line="276" w:lineRule="auto"/>
        <w:rPr>
          <w:lang w:val="en-GB"/>
        </w:rPr>
      </w:pPr>
    </w:p>
    <w:p w14:paraId="74E67439" w14:textId="48059B5A" w:rsidR="00F05584" w:rsidRDefault="00F05584" w:rsidP="00416662">
      <w:pPr>
        <w:pStyle w:val="SMText"/>
        <w:spacing w:line="276" w:lineRule="auto"/>
        <w:rPr>
          <w:lang w:val="en-GB"/>
        </w:rPr>
      </w:pPr>
    </w:p>
    <w:p w14:paraId="1A25B439" w14:textId="1C3EC74B" w:rsidR="00F05584" w:rsidRDefault="00F05584" w:rsidP="00416662">
      <w:pPr>
        <w:pStyle w:val="SMText"/>
        <w:spacing w:line="276" w:lineRule="auto"/>
        <w:rPr>
          <w:lang w:val="en-GB"/>
        </w:rPr>
      </w:pPr>
    </w:p>
    <w:p w14:paraId="2F705413" w14:textId="03562FDA" w:rsidR="00E97167" w:rsidRDefault="00E97167" w:rsidP="00416662">
      <w:pPr>
        <w:pStyle w:val="SMText"/>
        <w:spacing w:line="276" w:lineRule="auto"/>
        <w:rPr>
          <w:lang w:val="en-GB"/>
        </w:rPr>
      </w:pPr>
    </w:p>
    <w:p w14:paraId="1C767499" w14:textId="0763C01E" w:rsidR="00E97167" w:rsidRDefault="00E97167" w:rsidP="00416662">
      <w:pPr>
        <w:pStyle w:val="SMText"/>
        <w:spacing w:line="276" w:lineRule="auto"/>
        <w:rPr>
          <w:lang w:val="en-GB"/>
        </w:rPr>
      </w:pPr>
    </w:p>
    <w:p w14:paraId="18CDEAA9" w14:textId="77777777" w:rsidR="00E97167" w:rsidRDefault="00E97167" w:rsidP="00416662">
      <w:pPr>
        <w:pStyle w:val="SMText"/>
        <w:spacing w:line="276" w:lineRule="auto"/>
        <w:rPr>
          <w:lang w:val="en-GB"/>
        </w:rPr>
      </w:pPr>
    </w:p>
    <w:p w14:paraId="44B9BD03" w14:textId="2494E705" w:rsidR="00F05584" w:rsidRDefault="00F05584" w:rsidP="00416662">
      <w:pPr>
        <w:pStyle w:val="SMText"/>
        <w:spacing w:line="276" w:lineRule="auto"/>
        <w:rPr>
          <w:lang w:val="en-GB"/>
        </w:rPr>
      </w:pPr>
    </w:p>
    <w:p w14:paraId="4AB41B9C" w14:textId="7A94180B" w:rsidR="00F05584" w:rsidRDefault="00F05584" w:rsidP="00416662">
      <w:pPr>
        <w:pStyle w:val="SMText"/>
        <w:spacing w:line="276" w:lineRule="auto"/>
        <w:rPr>
          <w:lang w:val="en-GB"/>
        </w:rPr>
      </w:pPr>
    </w:p>
    <w:p w14:paraId="1E6B5F2D" w14:textId="182EFA85" w:rsidR="00F05584" w:rsidRDefault="00F05584" w:rsidP="00416662">
      <w:pPr>
        <w:pStyle w:val="SMText"/>
        <w:spacing w:line="276" w:lineRule="auto"/>
        <w:rPr>
          <w:lang w:val="en-GB"/>
        </w:rPr>
      </w:pPr>
    </w:p>
    <w:p w14:paraId="5D4D8A7E" w14:textId="02C6FD3C" w:rsidR="00F05584" w:rsidRDefault="00F05584" w:rsidP="00416662">
      <w:pPr>
        <w:pStyle w:val="SMText"/>
        <w:spacing w:line="276" w:lineRule="auto"/>
        <w:rPr>
          <w:lang w:val="en-GB"/>
        </w:rPr>
      </w:pPr>
    </w:p>
    <w:p w14:paraId="26EDAB22" w14:textId="06CB0402" w:rsidR="00F05584" w:rsidRDefault="00F05584" w:rsidP="00416662">
      <w:pPr>
        <w:pStyle w:val="SMText"/>
        <w:spacing w:line="276" w:lineRule="auto"/>
        <w:rPr>
          <w:lang w:val="en-GB"/>
        </w:rPr>
      </w:pPr>
    </w:p>
    <w:p w14:paraId="3565843D" w14:textId="128EE4E4" w:rsidR="00F05584" w:rsidRDefault="00F05584" w:rsidP="00416662">
      <w:pPr>
        <w:pStyle w:val="SMText"/>
        <w:spacing w:line="276" w:lineRule="auto"/>
        <w:rPr>
          <w:lang w:val="en-GB"/>
        </w:rPr>
      </w:pPr>
    </w:p>
    <w:p w14:paraId="3A401901" w14:textId="16DAA159" w:rsidR="00F05584" w:rsidRDefault="00F05584" w:rsidP="00416662">
      <w:pPr>
        <w:pStyle w:val="SMHeading"/>
        <w:spacing w:line="276" w:lineRule="auto"/>
      </w:pPr>
      <w:bookmarkStart w:id="10" w:name="_Toc58791051"/>
      <w:r>
        <w:lastRenderedPageBreak/>
        <w:t>Table S5.</w:t>
      </w:r>
      <w:bookmarkEnd w:id="10"/>
    </w:p>
    <w:p w14:paraId="513B07DA" w14:textId="403CE02A" w:rsidR="00F05584" w:rsidRDefault="00F05584" w:rsidP="00416662">
      <w:pPr>
        <w:pStyle w:val="SMcaption"/>
        <w:spacing w:line="276" w:lineRule="auto"/>
      </w:pPr>
      <w:r w:rsidRPr="00C4280C">
        <w:rPr>
          <w:lang w:val="en-GB"/>
        </w:rPr>
        <w:t>Relative risk parameters (mean and low and high values of 95% confidence intervals) for dietary risks and weight-related risks</w:t>
      </w:r>
      <w:r>
        <w:t>.</w:t>
      </w:r>
    </w:p>
    <w:p w14:paraId="4811AAA8" w14:textId="6A8025E7" w:rsidR="00C4280C" w:rsidRPr="00C4280C" w:rsidRDefault="00C4280C" w:rsidP="00416662">
      <w:pPr>
        <w:pStyle w:val="SMcaption"/>
        <w:spacing w:line="276" w:lineRule="auto"/>
        <w:rPr>
          <w:lang w:val="en-GB"/>
        </w:rPr>
      </w:pPr>
      <w:r w:rsidRPr="00C4280C">
        <w:rPr>
          <w:noProof/>
          <w:lang w:val="en-GB"/>
        </w:rPr>
        <w:drawing>
          <wp:inline distT="0" distB="0" distL="0" distR="0" wp14:anchorId="700970F1" wp14:editId="353EC450">
            <wp:extent cx="5731510" cy="6193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193155"/>
                    </a:xfrm>
                    <a:prstGeom prst="rect">
                      <a:avLst/>
                    </a:prstGeom>
                    <a:noFill/>
                    <a:ln>
                      <a:noFill/>
                    </a:ln>
                  </pic:spPr>
                </pic:pic>
              </a:graphicData>
            </a:graphic>
          </wp:inline>
        </w:drawing>
      </w:r>
    </w:p>
    <w:p w14:paraId="68CCC9B1" w14:textId="47395E13" w:rsidR="00C4280C" w:rsidRDefault="00C4280C" w:rsidP="00416662">
      <w:pPr>
        <w:pStyle w:val="SMText"/>
        <w:spacing w:line="276" w:lineRule="auto"/>
        <w:rPr>
          <w:lang w:val="en-GB"/>
        </w:rPr>
      </w:pPr>
    </w:p>
    <w:p w14:paraId="7EDAEC85" w14:textId="2FB0A08E" w:rsidR="00F05584" w:rsidRDefault="00F05584" w:rsidP="00416662">
      <w:pPr>
        <w:pStyle w:val="SMText"/>
        <w:spacing w:line="276" w:lineRule="auto"/>
        <w:rPr>
          <w:lang w:val="en-GB"/>
        </w:rPr>
      </w:pPr>
    </w:p>
    <w:p w14:paraId="260C3357" w14:textId="3D1A5C95" w:rsidR="00F05584" w:rsidRDefault="00F05584" w:rsidP="00416662">
      <w:pPr>
        <w:pStyle w:val="SMText"/>
        <w:spacing w:line="276" w:lineRule="auto"/>
        <w:rPr>
          <w:lang w:val="en-GB"/>
        </w:rPr>
      </w:pPr>
    </w:p>
    <w:p w14:paraId="375EA103" w14:textId="4453C49C" w:rsidR="00F05584" w:rsidRDefault="00F05584" w:rsidP="00416662">
      <w:pPr>
        <w:pStyle w:val="SMText"/>
        <w:spacing w:line="276" w:lineRule="auto"/>
        <w:rPr>
          <w:lang w:val="en-GB"/>
        </w:rPr>
      </w:pPr>
    </w:p>
    <w:p w14:paraId="5CAA6A50" w14:textId="2EB00BDE" w:rsidR="00F05584" w:rsidRDefault="00F05584" w:rsidP="00416662">
      <w:pPr>
        <w:pStyle w:val="SMText"/>
        <w:spacing w:line="276" w:lineRule="auto"/>
        <w:rPr>
          <w:lang w:val="en-GB"/>
        </w:rPr>
      </w:pPr>
    </w:p>
    <w:p w14:paraId="32C41F83" w14:textId="77777777" w:rsidR="00E97167" w:rsidRDefault="00E97167" w:rsidP="00416662">
      <w:pPr>
        <w:pStyle w:val="SMText"/>
        <w:spacing w:line="276" w:lineRule="auto"/>
        <w:rPr>
          <w:lang w:val="en-GB"/>
        </w:rPr>
      </w:pPr>
    </w:p>
    <w:p w14:paraId="4E91DEDA" w14:textId="4D1F30CE" w:rsidR="00F05584" w:rsidRDefault="00F05584" w:rsidP="00416662">
      <w:pPr>
        <w:pStyle w:val="SMText"/>
        <w:spacing w:line="276" w:lineRule="auto"/>
        <w:rPr>
          <w:lang w:val="en-GB"/>
        </w:rPr>
      </w:pPr>
    </w:p>
    <w:p w14:paraId="2CB71DF1" w14:textId="7F9C6E3B" w:rsidR="00F05584" w:rsidRDefault="00F05584" w:rsidP="00416662">
      <w:pPr>
        <w:pStyle w:val="SMHeading"/>
        <w:spacing w:line="276" w:lineRule="auto"/>
      </w:pPr>
      <w:bookmarkStart w:id="11" w:name="_Toc58791052"/>
      <w:r>
        <w:lastRenderedPageBreak/>
        <w:t>Table S6.</w:t>
      </w:r>
      <w:bookmarkEnd w:id="11"/>
    </w:p>
    <w:p w14:paraId="01F15101" w14:textId="3C753296" w:rsidR="00F05584" w:rsidRDefault="00F05584" w:rsidP="00416662">
      <w:pPr>
        <w:pStyle w:val="SMcaption"/>
        <w:spacing w:line="276" w:lineRule="auto"/>
      </w:pPr>
      <w:r w:rsidRPr="00C4280C">
        <w:rPr>
          <w:lang w:val="en-GB"/>
        </w:rPr>
        <w:t>Overview of existing ratings on the certainty of evidence for a statistically significant association between a risk factor and a disease endpoint. The ratings include those of the Nutrition and Chronic Diseases Expert Group (</w:t>
      </w:r>
      <w:proofErr w:type="spellStart"/>
      <w:r w:rsidRPr="00C4280C">
        <w:rPr>
          <w:lang w:val="en-GB"/>
        </w:rPr>
        <w:t>NutriCoDE</w:t>
      </w:r>
      <w:proofErr w:type="spellEnd"/>
      <w:r w:rsidRPr="00C4280C">
        <w:rPr>
          <w:lang w:val="en-GB"/>
        </w:rPr>
        <w:t xml:space="preserve">), the World Cancer Research Fund, and </w:t>
      </w:r>
      <w:proofErr w:type="spellStart"/>
      <w:r w:rsidRPr="00C4280C">
        <w:rPr>
          <w:lang w:val="en-GB"/>
        </w:rPr>
        <w:t>NutriGrade</w:t>
      </w:r>
      <w:proofErr w:type="spellEnd"/>
      <w:r w:rsidRPr="00C4280C">
        <w:rPr>
          <w:lang w:val="en-GB"/>
        </w:rPr>
        <w:t xml:space="preserve">. </w:t>
      </w:r>
      <w:r>
        <w:t xml:space="preserve"> </w:t>
      </w:r>
    </w:p>
    <w:p w14:paraId="04E5E6DB" w14:textId="5757DF7F" w:rsidR="00C4280C" w:rsidRPr="00C4280C" w:rsidRDefault="00C4280C" w:rsidP="00416662">
      <w:pPr>
        <w:pStyle w:val="SMcaption"/>
        <w:spacing w:line="276" w:lineRule="auto"/>
        <w:rPr>
          <w:lang w:val="en-GB"/>
        </w:rPr>
      </w:pPr>
      <w:r w:rsidRPr="00C4280C">
        <w:rPr>
          <w:noProof/>
          <w:lang w:val="en-GB"/>
        </w:rPr>
        <w:drawing>
          <wp:inline distT="0" distB="0" distL="0" distR="0" wp14:anchorId="43FE0728" wp14:editId="0365580F">
            <wp:extent cx="5731510" cy="38328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32860"/>
                    </a:xfrm>
                    <a:prstGeom prst="rect">
                      <a:avLst/>
                    </a:prstGeom>
                    <a:noFill/>
                    <a:ln>
                      <a:noFill/>
                    </a:ln>
                  </pic:spPr>
                </pic:pic>
              </a:graphicData>
            </a:graphic>
          </wp:inline>
        </w:drawing>
      </w:r>
    </w:p>
    <w:p w14:paraId="02D62073" w14:textId="77777777" w:rsidR="00C4280C" w:rsidRPr="00C4280C" w:rsidRDefault="00C4280C" w:rsidP="00416662">
      <w:pPr>
        <w:pStyle w:val="SMText"/>
        <w:spacing w:line="276" w:lineRule="auto"/>
        <w:rPr>
          <w:lang w:val="en-GB"/>
        </w:rPr>
      </w:pPr>
    </w:p>
    <w:p w14:paraId="6BA79ACA" w14:textId="77777777" w:rsidR="00C4280C" w:rsidRPr="00C4280C" w:rsidRDefault="00C4280C" w:rsidP="00416662">
      <w:pPr>
        <w:pStyle w:val="SMText"/>
        <w:spacing w:line="276" w:lineRule="auto"/>
        <w:rPr>
          <w:lang w:val="en-GB"/>
        </w:rPr>
      </w:pPr>
    </w:p>
    <w:p w14:paraId="0E01CE27" w14:textId="77777777" w:rsidR="00C4280C" w:rsidRPr="00C4280C" w:rsidRDefault="00C4280C" w:rsidP="00416662">
      <w:pPr>
        <w:pStyle w:val="SMText"/>
        <w:spacing w:line="276" w:lineRule="auto"/>
        <w:rPr>
          <w:lang w:val="en-GB"/>
        </w:rPr>
      </w:pPr>
    </w:p>
    <w:p w14:paraId="764E6743" w14:textId="77777777" w:rsidR="00C4280C" w:rsidRPr="00C4280C" w:rsidRDefault="00C4280C" w:rsidP="00416662">
      <w:pPr>
        <w:pStyle w:val="SMText"/>
        <w:spacing w:line="276" w:lineRule="auto"/>
        <w:rPr>
          <w:lang w:val="en-GB"/>
        </w:rPr>
      </w:pPr>
    </w:p>
    <w:p w14:paraId="1A903ADF" w14:textId="2A2F4DB6" w:rsidR="00C4280C" w:rsidRPr="00C4280C" w:rsidRDefault="00C4280C" w:rsidP="00416662">
      <w:pPr>
        <w:pStyle w:val="SMText"/>
        <w:spacing w:line="276" w:lineRule="auto"/>
        <w:rPr>
          <w:lang w:val="en-GB"/>
        </w:rPr>
      </w:pPr>
    </w:p>
    <w:p w14:paraId="73C50AA4" w14:textId="726993F3" w:rsidR="00C4280C" w:rsidRDefault="00C4280C" w:rsidP="00416662">
      <w:pPr>
        <w:pStyle w:val="SMText"/>
        <w:spacing w:line="276" w:lineRule="auto"/>
      </w:pPr>
    </w:p>
    <w:p w14:paraId="575DCA83" w14:textId="442ED988" w:rsidR="00F05584" w:rsidRDefault="00F05584" w:rsidP="00416662">
      <w:pPr>
        <w:pStyle w:val="SMText"/>
        <w:spacing w:line="276" w:lineRule="auto"/>
      </w:pPr>
    </w:p>
    <w:p w14:paraId="545C1D5B" w14:textId="59F7D585" w:rsidR="00F05584" w:rsidRDefault="00F05584" w:rsidP="00416662">
      <w:pPr>
        <w:pStyle w:val="SMText"/>
        <w:spacing w:line="276" w:lineRule="auto"/>
      </w:pPr>
    </w:p>
    <w:p w14:paraId="13C73A64" w14:textId="5D17D775" w:rsidR="00F05584" w:rsidRDefault="00F05584" w:rsidP="00416662">
      <w:pPr>
        <w:pStyle w:val="SMText"/>
        <w:spacing w:line="276" w:lineRule="auto"/>
      </w:pPr>
    </w:p>
    <w:p w14:paraId="76B18821" w14:textId="13C05805" w:rsidR="00F05584" w:rsidRDefault="00F05584" w:rsidP="00416662">
      <w:pPr>
        <w:pStyle w:val="SMText"/>
        <w:spacing w:line="276" w:lineRule="auto"/>
      </w:pPr>
    </w:p>
    <w:p w14:paraId="54FD7F5F" w14:textId="1C0C4B43" w:rsidR="00F05584" w:rsidRDefault="00F05584" w:rsidP="00416662">
      <w:pPr>
        <w:pStyle w:val="SMText"/>
        <w:spacing w:line="276" w:lineRule="auto"/>
      </w:pPr>
    </w:p>
    <w:p w14:paraId="1EB00476" w14:textId="28F9B298" w:rsidR="00F05584" w:rsidRDefault="00F05584" w:rsidP="00416662">
      <w:pPr>
        <w:pStyle w:val="SMText"/>
        <w:spacing w:line="276" w:lineRule="auto"/>
      </w:pPr>
    </w:p>
    <w:p w14:paraId="0E452812" w14:textId="77777777" w:rsidR="00E97167" w:rsidRDefault="00E97167" w:rsidP="00416662">
      <w:pPr>
        <w:pStyle w:val="SMText"/>
        <w:spacing w:line="276" w:lineRule="auto"/>
      </w:pPr>
    </w:p>
    <w:p w14:paraId="463F3434" w14:textId="3A64CFB2" w:rsidR="00F05584" w:rsidRDefault="00F05584" w:rsidP="00416662">
      <w:pPr>
        <w:pStyle w:val="SMText"/>
        <w:spacing w:line="276" w:lineRule="auto"/>
      </w:pPr>
    </w:p>
    <w:p w14:paraId="4880A6D9" w14:textId="0DB6A0A2" w:rsidR="004B5495" w:rsidRDefault="004B5495" w:rsidP="00416662">
      <w:pPr>
        <w:pStyle w:val="SMText"/>
        <w:spacing w:line="276" w:lineRule="auto"/>
      </w:pPr>
    </w:p>
    <w:p w14:paraId="323D2D36" w14:textId="6144D8B1" w:rsidR="004B5495" w:rsidRDefault="004B5495" w:rsidP="00416662">
      <w:pPr>
        <w:pStyle w:val="SMText"/>
        <w:spacing w:line="276" w:lineRule="auto"/>
      </w:pPr>
    </w:p>
    <w:p w14:paraId="143F05F0" w14:textId="50D37598" w:rsidR="00BB7752" w:rsidRDefault="00BB7752" w:rsidP="00BB7752">
      <w:pPr>
        <w:pStyle w:val="SMText"/>
        <w:spacing w:line="276" w:lineRule="auto"/>
        <w:ind w:firstLine="0"/>
      </w:pPr>
    </w:p>
    <w:p w14:paraId="5B5324E7" w14:textId="1FBBA635" w:rsidR="00BB7752" w:rsidRDefault="00BB7752" w:rsidP="00BB7752">
      <w:pPr>
        <w:pStyle w:val="SMText"/>
        <w:spacing w:line="276" w:lineRule="auto"/>
        <w:ind w:firstLine="0"/>
      </w:pPr>
    </w:p>
    <w:p w14:paraId="7CE4157E" w14:textId="55198599" w:rsidR="00BB7752" w:rsidRDefault="00BB7752" w:rsidP="00BB7752">
      <w:pPr>
        <w:pStyle w:val="SMText"/>
        <w:spacing w:line="276" w:lineRule="auto"/>
        <w:ind w:firstLine="0"/>
      </w:pPr>
    </w:p>
    <w:p w14:paraId="2567B1AB" w14:textId="6210BD9F" w:rsidR="00F05584" w:rsidRDefault="00F05584" w:rsidP="00416662">
      <w:pPr>
        <w:pStyle w:val="SMHeading"/>
        <w:spacing w:line="276" w:lineRule="auto"/>
      </w:pPr>
      <w:bookmarkStart w:id="12" w:name="_Toc58791053"/>
      <w:r>
        <w:lastRenderedPageBreak/>
        <w:t xml:space="preserve">Supplementary </w:t>
      </w:r>
      <w:r w:rsidR="00E97167">
        <w:t>D</w:t>
      </w:r>
      <w:r w:rsidR="004B5495">
        <w:t xml:space="preserve">isplay </w:t>
      </w:r>
      <w:r w:rsidR="00E97167">
        <w:t>I</w:t>
      </w:r>
      <w:r w:rsidR="004B5495">
        <w:t>tems</w:t>
      </w:r>
      <w:bookmarkEnd w:id="12"/>
    </w:p>
    <w:p w14:paraId="01689E34" w14:textId="20DEC0D4" w:rsidR="004B5495" w:rsidRDefault="004B5495" w:rsidP="00165C6B">
      <w:pPr>
        <w:pStyle w:val="SMText"/>
        <w:spacing w:line="276" w:lineRule="auto"/>
        <w:ind w:firstLine="0"/>
        <w:rPr>
          <w:lang w:val="en-GB"/>
        </w:rPr>
      </w:pPr>
      <w:bookmarkStart w:id="13" w:name="_Hlk55578909"/>
    </w:p>
    <w:p w14:paraId="47E3C589" w14:textId="5EB25E57" w:rsidR="009D111D" w:rsidRDefault="009D111D" w:rsidP="009D111D">
      <w:pPr>
        <w:pStyle w:val="SMHeading"/>
        <w:spacing w:line="276" w:lineRule="auto"/>
      </w:pPr>
      <w:bookmarkStart w:id="14" w:name="_Toc58791054"/>
      <w:r>
        <w:t>Figure S1.</w:t>
      </w:r>
      <w:bookmarkEnd w:id="14"/>
    </w:p>
    <w:p w14:paraId="1C9849BA" w14:textId="55B39FC4" w:rsidR="002E5749" w:rsidRPr="002E5749" w:rsidRDefault="002E5749" w:rsidP="002E5749">
      <w:pPr>
        <w:pStyle w:val="NoSpacing"/>
        <w:spacing w:line="276" w:lineRule="auto"/>
      </w:pPr>
      <w:r>
        <w:rPr>
          <w:szCs w:val="24"/>
        </w:rPr>
        <w:t>Percentage c</w:t>
      </w:r>
      <w:r w:rsidRPr="00811EAA">
        <w:rPr>
          <w:szCs w:val="24"/>
        </w:rPr>
        <w:t>hanges in agricultural imports, exports, production, and demand</w:t>
      </w:r>
      <w:r>
        <w:rPr>
          <w:szCs w:val="24"/>
        </w:rPr>
        <w:t xml:space="preserve"> for different combination of Brexit approaches. </w:t>
      </w:r>
    </w:p>
    <w:p w14:paraId="5A5310A8" w14:textId="1B0339ED" w:rsidR="002E5749" w:rsidRDefault="002E5749" w:rsidP="00165C6B">
      <w:pPr>
        <w:pStyle w:val="SMText"/>
        <w:spacing w:line="276" w:lineRule="auto"/>
        <w:ind w:firstLine="0"/>
        <w:rPr>
          <w:lang w:val="en-GB"/>
        </w:rPr>
      </w:pPr>
      <w:r>
        <w:rPr>
          <w:noProof/>
          <w:lang w:val="en-GB"/>
        </w:rPr>
        <w:drawing>
          <wp:inline distT="0" distB="0" distL="0" distR="0" wp14:anchorId="542953A8" wp14:editId="3A4BE27B">
            <wp:extent cx="5655066" cy="473202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4790" cy="4740157"/>
                    </a:xfrm>
                    <a:prstGeom prst="rect">
                      <a:avLst/>
                    </a:prstGeom>
                    <a:noFill/>
                  </pic:spPr>
                </pic:pic>
              </a:graphicData>
            </a:graphic>
          </wp:inline>
        </w:drawing>
      </w:r>
    </w:p>
    <w:p w14:paraId="7AB19012" w14:textId="08F10E0F" w:rsidR="002E5749" w:rsidRDefault="002E5749" w:rsidP="00165C6B">
      <w:pPr>
        <w:pStyle w:val="SMText"/>
        <w:spacing w:line="276" w:lineRule="auto"/>
        <w:ind w:firstLine="0"/>
        <w:rPr>
          <w:lang w:val="en-GB"/>
        </w:rPr>
      </w:pPr>
    </w:p>
    <w:p w14:paraId="22B51152" w14:textId="70703FD4" w:rsidR="002E5749" w:rsidRDefault="002E5749" w:rsidP="00165C6B">
      <w:pPr>
        <w:pStyle w:val="SMText"/>
        <w:spacing w:line="276" w:lineRule="auto"/>
        <w:ind w:firstLine="0"/>
        <w:rPr>
          <w:lang w:val="en-GB"/>
        </w:rPr>
      </w:pPr>
    </w:p>
    <w:p w14:paraId="1D4D9E2E" w14:textId="45BA0F6C" w:rsidR="002E5749" w:rsidRDefault="002E5749" w:rsidP="00165C6B">
      <w:pPr>
        <w:pStyle w:val="SMText"/>
        <w:spacing w:line="276" w:lineRule="auto"/>
        <w:ind w:firstLine="0"/>
        <w:rPr>
          <w:lang w:val="en-GB"/>
        </w:rPr>
      </w:pPr>
    </w:p>
    <w:p w14:paraId="0DEE6B5E" w14:textId="0E99B36B" w:rsidR="002E5749" w:rsidRDefault="002E5749" w:rsidP="00165C6B">
      <w:pPr>
        <w:pStyle w:val="SMText"/>
        <w:spacing w:line="276" w:lineRule="auto"/>
        <w:ind w:firstLine="0"/>
        <w:rPr>
          <w:lang w:val="en-GB"/>
        </w:rPr>
      </w:pPr>
    </w:p>
    <w:p w14:paraId="3984C12D" w14:textId="34F3A2C1" w:rsidR="002E5749" w:rsidRDefault="002E5749" w:rsidP="00165C6B">
      <w:pPr>
        <w:pStyle w:val="SMText"/>
        <w:spacing w:line="276" w:lineRule="auto"/>
        <w:ind w:firstLine="0"/>
        <w:rPr>
          <w:lang w:val="en-GB"/>
        </w:rPr>
      </w:pPr>
    </w:p>
    <w:p w14:paraId="01B7A3ED" w14:textId="7D187E74" w:rsidR="002E5749" w:rsidRDefault="002E5749" w:rsidP="00165C6B">
      <w:pPr>
        <w:pStyle w:val="SMText"/>
        <w:spacing w:line="276" w:lineRule="auto"/>
        <w:ind w:firstLine="0"/>
        <w:rPr>
          <w:lang w:val="en-GB"/>
        </w:rPr>
      </w:pPr>
    </w:p>
    <w:p w14:paraId="2FB833A9" w14:textId="48A2AD31" w:rsidR="002E5749" w:rsidRDefault="002E5749" w:rsidP="00165C6B">
      <w:pPr>
        <w:pStyle w:val="SMText"/>
        <w:spacing w:line="276" w:lineRule="auto"/>
        <w:ind w:firstLine="0"/>
        <w:rPr>
          <w:lang w:val="en-GB"/>
        </w:rPr>
      </w:pPr>
    </w:p>
    <w:p w14:paraId="23DAFFA1" w14:textId="238D7A43" w:rsidR="002E5749" w:rsidRDefault="002E5749" w:rsidP="00165C6B">
      <w:pPr>
        <w:pStyle w:val="SMText"/>
        <w:spacing w:line="276" w:lineRule="auto"/>
        <w:ind w:firstLine="0"/>
        <w:rPr>
          <w:lang w:val="en-GB"/>
        </w:rPr>
      </w:pPr>
    </w:p>
    <w:p w14:paraId="05982DB7" w14:textId="3A1E82FF" w:rsidR="002E5749" w:rsidRDefault="002E5749" w:rsidP="00165C6B">
      <w:pPr>
        <w:pStyle w:val="SMText"/>
        <w:spacing w:line="276" w:lineRule="auto"/>
        <w:ind w:firstLine="0"/>
        <w:rPr>
          <w:lang w:val="en-GB"/>
        </w:rPr>
      </w:pPr>
    </w:p>
    <w:p w14:paraId="3F944F59" w14:textId="37B4D396" w:rsidR="002E5749" w:rsidRDefault="002E5749" w:rsidP="00165C6B">
      <w:pPr>
        <w:pStyle w:val="SMText"/>
        <w:spacing w:line="276" w:lineRule="auto"/>
        <w:ind w:firstLine="0"/>
        <w:rPr>
          <w:lang w:val="en-GB"/>
        </w:rPr>
      </w:pPr>
    </w:p>
    <w:p w14:paraId="2F25FB8F" w14:textId="5F305D29" w:rsidR="002E5749" w:rsidRDefault="002E5749" w:rsidP="00165C6B">
      <w:pPr>
        <w:pStyle w:val="SMText"/>
        <w:spacing w:line="276" w:lineRule="auto"/>
        <w:ind w:firstLine="0"/>
        <w:rPr>
          <w:lang w:val="en-GB"/>
        </w:rPr>
      </w:pPr>
    </w:p>
    <w:p w14:paraId="5D72E148" w14:textId="1B397CDF" w:rsidR="002E5749" w:rsidRDefault="002E5749" w:rsidP="00165C6B">
      <w:pPr>
        <w:pStyle w:val="SMText"/>
        <w:spacing w:line="276" w:lineRule="auto"/>
        <w:ind w:firstLine="0"/>
        <w:rPr>
          <w:lang w:val="en-GB"/>
        </w:rPr>
      </w:pPr>
    </w:p>
    <w:p w14:paraId="07783834" w14:textId="2A10D76B" w:rsidR="002E5749" w:rsidRDefault="002E5749" w:rsidP="00165C6B">
      <w:pPr>
        <w:pStyle w:val="SMText"/>
        <w:spacing w:line="276" w:lineRule="auto"/>
        <w:ind w:firstLine="0"/>
        <w:rPr>
          <w:lang w:val="en-GB"/>
        </w:rPr>
      </w:pPr>
    </w:p>
    <w:p w14:paraId="6324E402" w14:textId="194C0D27" w:rsidR="002E5749" w:rsidRDefault="002E5749" w:rsidP="00165C6B">
      <w:pPr>
        <w:pStyle w:val="SMText"/>
        <w:spacing w:line="276" w:lineRule="auto"/>
        <w:ind w:firstLine="0"/>
        <w:rPr>
          <w:lang w:val="en-GB"/>
        </w:rPr>
      </w:pPr>
    </w:p>
    <w:p w14:paraId="33DB1AB8" w14:textId="256AC29B" w:rsidR="002E5749" w:rsidRDefault="009D111D" w:rsidP="009D111D">
      <w:pPr>
        <w:pStyle w:val="SMHeading"/>
        <w:spacing w:line="276" w:lineRule="auto"/>
        <w:rPr>
          <w:lang w:val="en-GB"/>
        </w:rPr>
      </w:pPr>
      <w:bookmarkStart w:id="15" w:name="_Toc58791055"/>
      <w:r>
        <w:lastRenderedPageBreak/>
        <w:t>Figure S2.</w:t>
      </w:r>
      <w:bookmarkEnd w:id="15"/>
    </w:p>
    <w:p w14:paraId="4C4E0F05" w14:textId="6E5AA105" w:rsidR="002E5749" w:rsidRPr="002E5749" w:rsidRDefault="002E5749" w:rsidP="002E5749">
      <w:pPr>
        <w:pStyle w:val="NoSpacing"/>
        <w:spacing w:line="276" w:lineRule="auto"/>
      </w:pPr>
      <w:r w:rsidRPr="00811EAA">
        <w:rPr>
          <w:szCs w:val="24"/>
        </w:rPr>
        <w:t>Change in food consumption per person (</w:t>
      </w:r>
      <w:r>
        <w:rPr>
          <w:szCs w:val="24"/>
        </w:rPr>
        <w:t>g</w:t>
      </w:r>
      <w:r w:rsidRPr="00811EAA">
        <w:rPr>
          <w:szCs w:val="24"/>
        </w:rPr>
        <w:t xml:space="preserve">/d) by food group and Brexit </w:t>
      </w:r>
      <w:r>
        <w:rPr>
          <w:szCs w:val="24"/>
        </w:rPr>
        <w:t>policy</w:t>
      </w:r>
      <w:r w:rsidRPr="00811EAA">
        <w:rPr>
          <w:szCs w:val="24"/>
        </w:rPr>
        <w:t>.</w:t>
      </w:r>
      <w:r>
        <w:rPr>
          <w:szCs w:val="24"/>
        </w:rPr>
        <w:t xml:space="preserve"> </w:t>
      </w:r>
    </w:p>
    <w:p w14:paraId="3031CECE" w14:textId="23F5456D" w:rsidR="002E5749" w:rsidRDefault="002E5749" w:rsidP="00165C6B">
      <w:pPr>
        <w:pStyle w:val="SMText"/>
        <w:spacing w:line="276" w:lineRule="auto"/>
        <w:ind w:firstLine="0"/>
        <w:rPr>
          <w:lang w:val="en-GB"/>
        </w:rPr>
      </w:pPr>
      <w:r>
        <w:rPr>
          <w:noProof/>
          <w:lang w:val="en-GB"/>
        </w:rPr>
        <w:drawing>
          <wp:inline distT="0" distB="0" distL="0" distR="0" wp14:anchorId="28040DD6" wp14:editId="478D4862">
            <wp:extent cx="5669280" cy="4333579"/>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982" cy="4347110"/>
                    </a:xfrm>
                    <a:prstGeom prst="rect">
                      <a:avLst/>
                    </a:prstGeom>
                    <a:noFill/>
                  </pic:spPr>
                </pic:pic>
              </a:graphicData>
            </a:graphic>
          </wp:inline>
        </w:drawing>
      </w:r>
    </w:p>
    <w:p w14:paraId="46248D89" w14:textId="0356A1CF" w:rsidR="002E5749" w:rsidRDefault="002E5749" w:rsidP="00165C6B">
      <w:pPr>
        <w:pStyle w:val="SMText"/>
        <w:spacing w:line="276" w:lineRule="auto"/>
        <w:ind w:firstLine="0"/>
        <w:rPr>
          <w:lang w:val="en-GB"/>
        </w:rPr>
      </w:pPr>
    </w:p>
    <w:p w14:paraId="2D8A2EEF" w14:textId="29374B29" w:rsidR="002E5749" w:rsidRDefault="002E5749" w:rsidP="00165C6B">
      <w:pPr>
        <w:pStyle w:val="SMText"/>
        <w:spacing w:line="276" w:lineRule="auto"/>
        <w:ind w:firstLine="0"/>
        <w:rPr>
          <w:lang w:val="en-GB"/>
        </w:rPr>
      </w:pPr>
    </w:p>
    <w:p w14:paraId="494B308C" w14:textId="121EB424" w:rsidR="002E5749" w:rsidRDefault="002E5749" w:rsidP="00165C6B">
      <w:pPr>
        <w:pStyle w:val="SMText"/>
        <w:spacing w:line="276" w:lineRule="auto"/>
        <w:ind w:firstLine="0"/>
        <w:rPr>
          <w:lang w:val="en-GB"/>
        </w:rPr>
      </w:pPr>
    </w:p>
    <w:p w14:paraId="3EF18911" w14:textId="53242FA9" w:rsidR="002E5749" w:rsidRDefault="002E5749" w:rsidP="00165C6B">
      <w:pPr>
        <w:pStyle w:val="SMText"/>
        <w:spacing w:line="276" w:lineRule="auto"/>
        <w:ind w:firstLine="0"/>
        <w:rPr>
          <w:lang w:val="en-GB"/>
        </w:rPr>
      </w:pPr>
    </w:p>
    <w:p w14:paraId="2E45421C" w14:textId="3205EC3D" w:rsidR="002E5749" w:rsidRDefault="002E5749" w:rsidP="00165C6B">
      <w:pPr>
        <w:pStyle w:val="SMText"/>
        <w:spacing w:line="276" w:lineRule="auto"/>
        <w:ind w:firstLine="0"/>
        <w:rPr>
          <w:lang w:val="en-GB"/>
        </w:rPr>
      </w:pPr>
    </w:p>
    <w:p w14:paraId="28449F40" w14:textId="6B9E31D7" w:rsidR="002E5749" w:rsidRDefault="002E5749" w:rsidP="00165C6B">
      <w:pPr>
        <w:pStyle w:val="SMText"/>
        <w:spacing w:line="276" w:lineRule="auto"/>
        <w:ind w:firstLine="0"/>
        <w:rPr>
          <w:lang w:val="en-GB"/>
        </w:rPr>
      </w:pPr>
    </w:p>
    <w:p w14:paraId="2EEAEBE9" w14:textId="05690537" w:rsidR="002E5749" w:rsidRDefault="002E5749" w:rsidP="00165C6B">
      <w:pPr>
        <w:pStyle w:val="SMText"/>
        <w:spacing w:line="276" w:lineRule="auto"/>
        <w:ind w:firstLine="0"/>
        <w:rPr>
          <w:lang w:val="en-GB"/>
        </w:rPr>
      </w:pPr>
    </w:p>
    <w:p w14:paraId="28F9D1F8" w14:textId="12F8D969" w:rsidR="002E5749" w:rsidRDefault="002E5749" w:rsidP="00165C6B">
      <w:pPr>
        <w:pStyle w:val="SMText"/>
        <w:spacing w:line="276" w:lineRule="auto"/>
        <w:ind w:firstLine="0"/>
        <w:rPr>
          <w:lang w:val="en-GB"/>
        </w:rPr>
      </w:pPr>
    </w:p>
    <w:p w14:paraId="6FB93B1A" w14:textId="301D49DC" w:rsidR="002E5749" w:rsidRDefault="002E5749" w:rsidP="00165C6B">
      <w:pPr>
        <w:pStyle w:val="SMText"/>
        <w:spacing w:line="276" w:lineRule="auto"/>
        <w:ind w:firstLine="0"/>
        <w:rPr>
          <w:lang w:val="en-GB"/>
        </w:rPr>
      </w:pPr>
    </w:p>
    <w:p w14:paraId="6EA748AC" w14:textId="229BE0D4" w:rsidR="002E5749" w:rsidRDefault="002E5749" w:rsidP="00165C6B">
      <w:pPr>
        <w:pStyle w:val="SMText"/>
        <w:spacing w:line="276" w:lineRule="auto"/>
        <w:ind w:firstLine="0"/>
        <w:rPr>
          <w:lang w:val="en-GB"/>
        </w:rPr>
      </w:pPr>
    </w:p>
    <w:p w14:paraId="510CDFAF" w14:textId="75EE1F07" w:rsidR="002E5749" w:rsidRDefault="002E5749" w:rsidP="00165C6B">
      <w:pPr>
        <w:pStyle w:val="SMText"/>
        <w:spacing w:line="276" w:lineRule="auto"/>
        <w:ind w:firstLine="0"/>
        <w:rPr>
          <w:lang w:val="en-GB"/>
        </w:rPr>
      </w:pPr>
    </w:p>
    <w:p w14:paraId="4B29434F" w14:textId="0907F99B" w:rsidR="002E5749" w:rsidRDefault="002E5749" w:rsidP="00165C6B">
      <w:pPr>
        <w:pStyle w:val="SMText"/>
        <w:spacing w:line="276" w:lineRule="auto"/>
        <w:ind w:firstLine="0"/>
        <w:rPr>
          <w:lang w:val="en-GB"/>
        </w:rPr>
      </w:pPr>
    </w:p>
    <w:p w14:paraId="11FF62DD" w14:textId="0D806A91" w:rsidR="002E5749" w:rsidRDefault="002E5749" w:rsidP="00165C6B">
      <w:pPr>
        <w:pStyle w:val="SMText"/>
        <w:spacing w:line="276" w:lineRule="auto"/>
        <w:ind w:firstLine="0"/>
        <w:rPr>
          <w:lang w:val="en-GB"/>
        </w:rPr>
      </w:pPr>
    </w:p>
    <w:p w14:paraId="1284EB96" w14:textId="104E81BB" w:rsidR="002E5749" w:rsidRDefault="002E5749" w:rsidP="00165C6B">
      <w:pPr>
        <w:pStyle w:val="SMText"/>
        <w:spacing w:line="276" w:lineRule="auto"/>
        <w:ind w:firstLine="0"/>
        <w:rPr>
          <w:lang w:val="en-GB"/>
        </w:rPr>
      </w:pPr>
    </w:p>
    <w:p w14:paraId="2ED3AB2A" w14:textId="095A47FF" w:rsidR="002E5749" w:rsidRDefault="002E5749" w:rsidP="00165C6B">
      <w:pPr>
        <w:pStyle w:val="SMText"/>
        <w:spacing w:line="276" w:lineRule="auto"/>
        <w:ind w:firstLine="0"/>
        <w:rPr>
          <w:lang w:val="en-GB"/>
        </w:rPr>
      </w:pPr>
    </w:p>
    <w:p w14:paraId="6788BE07" w14:textId="03EEFBD2" w:rsidR="002E5749" w:rsidRDefault="002E5749" w:rsidP="00165C6B">
      <w:pPr>
        <w:pStyle w:val="SMText"/>
        <w:spacing w:line="276" w:lineRule="auto"/>
        <w:ind w:firstLine="0"/>
        <w:rPr>
          <w:lang w:val="en-GB"/>
        </w:rPr>
      </w:pPr>
    </w:p>
    <w:p w14:paraId="023F62A3" w14:textId="54B7B54B" w:rsidR="002E5749" w:rsidRDefault="002E5749" w:rsidP="00165C6B">
      <w:pPr>
        <w:pStyle w:val="SMText"/>
        <w:spacing w:line="276" w:lineRule="auto"/>
        <w:ind w:firstLine="0"/>
        <w:rPr>
          <w:lang w:val="en-GB"/>
        </w:rPr>
      </w:pPr>
    </w:p>
    <w:p w14:paraId="26B2F34A" w14:textId="3A2C1DB9" w:rsidR="002E5749" w:rsidRDefault="002E5749" w:rsidP="00165C6B">
      <w:pPr>
        <w:pStyle w:val="SMText"/>
        <w:spacing w:line="276" w:lineRule="auto"/>
        <w:ind w:firstLine="0"/>
        <w:rPr>
          <w:lang w:val="en-GB"/>
        </w:rPr>
      </w:pPr>
    </w:p>
    <w:p w14:paraId="497D12C1" w14:textId="5E455A11" w:rsidR="002E5749" w:rsidRDefault="002E5749" w:rsidP="00165C6B">
      <w:pPr>
        <w:pStyle w:val="SMText"/>
        <w:spacing w:line="276" w:lineRule="auto"/>
        <w:ind w:firstLine="0"/>
        <w:rPr>
          <w:lang w:val="en-GB"/>
        </w:rPr>
      </w:pPr>
    </w:p>
    <w:p w14:paraId="259D23DB" w14:textId="18754EB2" w:rsidR="002E5749" w:rsidRDefault="002E5749" w:rsidP="00165C6B">
      <w:pPr>
        <w:pStyle w:val="SMText"/>
        <w:spacing w:line="276" w:lineRule="auto"/>
        <w:ind w:firstLine="0"/>
        <w:rPr>
          <w:lang w:val="en-GB"/>
        </w:rPr>
      </w:pPr>
    </w:p>
    <w:p w14:paraId="26B15938" w14:textId="4B2D9AB6" w:rsidR="009D111D" w:rsidRDefault="009D111D" w:rsidP="009D111D">
      <w:pPr>
        <w:pStyle w:val="SMHeading"/>
        <w:spacing w:line="276" w:lineRule="auto"/>
        <w:rPr>
          <w:lang w:val="en-GB"/>
        </w:rPr>
      </w:pPr>
      <w:bookmarkStart w:id="16" w:name="_Toc58791056"/>
      <w:r>
        <w:lastRenderedPageBreak/>
        <w:t>Figure S3.</w:t>
      </w:r>
      <w:bookmarkEnd w:id="16"/>
    </w:p>
    <w:p w14:paraId="04037245" w14:textId="0F2FA2ED" w:rsidR="002E5749" w:rsidRPr="002E5749" w:rsidRDefault="002E5749" w:rsidP="009D111D">
      <w:pPr>
        <w:pStyle w:val="NoSpacing"/>
        <w:spacing w:line="276" w:lineRule="auto"/>
      </w:pPr>
      <w:r w:rsidRPr="00811EAA">
        <w:rPr>
          <w:szCs w:val="24"/>
        </w:rPr>
        <w:t xml:space="preserve">Number </w:t>
      </w:r>
      <w:r>
        <w:rPr>
          <w:szCs w:val="24"/>
        </w:rPr>
        <w:t xml:space="preserve">of attributable </w:t>
      </w:r>
      <w:r w:rsidRPr="00811EAA">
        <w:rPr>
          <w:szCs w:val="24"/>
        </w:rPr>
        <w:t xml:space="preserve">deaths by Brexit </w:t>
      </w:r>
      <w:r>
        <w:rPr>
          <w:szCs w:val="24"/>
        </w:rPr>
        <w:t>policy</w:t>
      </w:r>
      <w:r w:rsidRPr="00811EAA">
        <w:rPr>
          <w:szCs w:val="24"/>
        </w:rPr>
        <w:t xml:space="preserve"> and </w:t>
      </w:r>
      <w:r w:rsidR="009D111D">
        <w:rPr>
          <w:szCs w:val="24"/>
        </w:rPr>
        <w:t>cause of deaths</w:t>
      </w:r>
      <w:r w:rsidRPr="00811EAA">
        <w:rPr>
          <w:szCs w:val="24"/>
        </w:rPr>
        <w:t xml:space="preserve">. </w:t>
      </w:r>
      <w:r w:rsidR="009D111D">
        <w:rPr>
          <w:szCs w:val="24"/>
        </w:rPr>
        <w:t>The causes of deaths include coronary heart disease (CHD), stroke, cancer, type-2 diabetes mellitus (T2DM), and respiratory disease.</w:t>
      </w:r>
    </w:p>
    <w:p w14:paraId="1C90390B" w14:textId="6CB26A0A" w:rsidR="002E5749" w:rsidRDefault="002E5749" w:rsidP="00165C6B">
      <w:pPr>
        <w:pStyle w:val="SMText"/>
        <w:spacing w:line="276" w:lineRule="auto"/>
        <w:ind w:firstLine="0"/>
        <w:rPr>
          <w:lang w:val="en-GB"/>
        </w:rPr>
      </w:pPr>
      <w:r>
        <w:rPr>
          <w:noProof/>
          <w:lang w:val="en-GB"/>
        </w:rPr>
        <w:drawing>
          <wp:inline distT="0" distB="0" distL="0" distR="0" wp14:anchorId="358F9F1D" wp14:editId="0B696220">
            <wp:extent cx="5709312" cy="2969260"/>
            <wp:effectExtent l="0" t="0" r="5715"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846" cy="2975779"/>
                    </a:xfrm>
                    <a:prstGeom prst="rect">
                      <a:avLst/>
                    </a:prstGeom>
                    <a:noFill/>
                  </pic:spPr>
                </pic:pic>
              </a:graphicData>
            </a:graphic>
          </wp:inline>
        </w:drawing>
      </w:r>
    </w:p>
    <w:p w14:paraId="595704BA" w14:textId="7A5D2C95" w:rsidR="002E5749" w:rsidRDefault="002E5749" w:rsidP="00165C6B">
      <w:pPr>
        <w:pStyle w:val="SMText"/>
        <w:spacing w:line="276" w:lineRule="auto"/>
        <w:ind w:firstLine="0"/>
        <w:rPr>
          <w:lang w:val="en-GB"/>
        </w:rPr>
      </w:pPr>
    </w:p>
    <w:p w14:paraId="6384483D" w14:textId="77777777" w:rsidR="002E5749" w:rsidRDefault="002E5749" w:rsidP="00165C6B">
      <w:pPr>
        <w:pStyle w:val="SMText"/>
        <w:spacing w:line="276" w:lineRule="auto"/>
        <w:ind w:firstLine="0"/>
        <w:rPr>
          <w:lang w:val="en-GB"/>
        </w:rPr>
      </w:pPr>
    </w:p>
    <w:p w14:paraId="1E42A602" w14:textId="2FD17E17" w:rsidR="00165C6B" w:rsidRDefault="00165C6B" w:rsidP="00165C6B">
      <w:pPr>
        <w:pStyle w:val="SMText"/>
        <w:spacing w:line="276" w:lineRule="auto"/>
        <w:ind w:firstLine="0"/>
        <w:rPr>
          <w:lang w:val="en-GB"/>
        </w:rPr>
      </w:pPr>
    </w:p>
    <w:p w14:paraId="12DEFC18" w14:textId="05053AC4" w:rsidR="00165C6B" w:rsidRDefault="00165C6B" w:rsidP="00165C6B">
      <w:pPr>
        <w:pStyle w:val="SMText"/>
        <w:spacing w:line="276" w:lineRule="auto"/>
        <w:ind w:firstLine="0"/>
        <w:rPr>
          <w:lang w:val="en-GB"/>
        </w:rPr>
      </w:pPr>
    </w:p>
    <w:p w14:paraId="34AC19AA" w14:textId="58C9D531" w:rsidR="00165C6B" w:rsidRDefault="00165C6B" w:rsidP="00165C6B">
      <w:pPr>
        <w:pStyle w:val="SMText"/>
        <w:spacing w:line="276" w:lineRule="auto"/>
        <w:ind w:firstLine="0"/>
        <w:rPr>
          <w:lang w:val="en-GB"/>
        </w:rPr>
      </w:pPr>
    </w:p>
    <w:p w14:paraId="52049782" w14:textId="666095FB" w:rsidR="00165C6B" w:rsidRDefault="00165C6B" w:rsidP="00165C6B">
      <w:pPr>
        <w:pStyle w:val="SMText"/>
        <w:spacing w:line="276" w:lineRule="auto"/>
        <w:ind w:firstLine="0"/>
        <w:rPr>
          <w:lang w:val="en-GB"/>
        </w:rPr>
      </w:pPr>
    </w:p>
    <w:p w14:paraId="2266B193" w14:textId="228BB8DD" w:rsidR="00165C6B" w:rsidRDefault="00165C6B" w:rsidP="00165C6B">
      <w:pPr>
        <w:pStyle w:val="SMText"/>
        <w:spacing w:line="276" w:lineRule="auto"/>
        <w:ind w:firstLine="0"/>
        <w:rPr>
          <w:lang w:val="en-GB"/>
        </w:rPr>
      </w:pPr>
    </w:p>
    <w:p w14:paraId="653FB66C" w14:textId="4A25D6AD" w:rsidR="00165C6B" w:rsidRDefault="00165C6B" w:rsidP="00165C6B">
      <w:pPr>
        <w:pStyle w:val="SMText"/>
        <w:spacing w:line="276" w:lineRule="auto"/>
        <w:ind w:firstLine="0"/>
        <w:rPr>
          <w:lang w:val="en-GB"/>
        </w:rPr>
      </w:pPr>
    </w:p>
    <w:p w14:paraId="28A98942" w14:textId="77656F67" w:rsidR="00165C6B" w:rsidRDefault="00165C6B" w:rsidP="00165C6B">
      <w:pPr>
        <w:pStyle w:val="SMText"/>
        <w:spacing w:line="276" w:lineRule="auto"/>
        <w:ind w:firstLine="0"/>
        <w:rPr>
          <w:lang w:val="en-GB"/>
        </w:rPr>
      </w:pPr>
    </w:p>
    <w:p w14:paraId="096FC3E6" w14:textId="6A869426" w:rsidR="00165C6B" w:rsidRDefault="00165C6B" w:rsidP="00165C6B">
      <w:pPr>
        <w:pStyle w:val="SMText"/>
        <w:spacing w:line="276" w:lineRule="auto"/>
        <w:ind w:firstLine="0"/>
        <w:rPr>
          <w:lang w:val="en-GB"/>
        </w:rPr>
      </w:pPr>
    </w:p>
    <w:p w14:paraId="47EE78C7" w14:textId="5FB4B124" w:rsidR="00165C6B" w:rsidRDefault="00165C6B" w:rsidP="00165C6B">
      <w:pPr>
        <w:pStyle w:val="SMText"/>
        <w:spacing w:line="276" w:lineRule="auto"/>
        <w:ind w:firstLine="0"/>
        <w:rPr>
          <w:lang w:val="en-GB"/>
        </w:rPr>
      </w:pPr>
    </w:p>
    <w:p w14:paraId="31FC94FC" w14:textId="032E77BB" w:rsidR="00165C6B" w:rsidRDefault="00165C6B" w:rsidP="00165C6B">
      <w:pPr>
        <w:pStyle w:val="SMText"/>
        <w:spacing w:line="276" w:lineRule="auto"/>
        <w:ind w:firstLine="0"/>
        <w:rPr>
          <w:lang w:val="en-GB"/>
        </w:rPr>
      </w:pPr>
    </w:p>
    <w:p w14:paraId="28B3E234" w14:textId="793060AC" w:rsidR="00165C6B" w:rsidRDefault="00165C6B" w:rsidP="00165C6B">
      <w:pPr>
        <w:pStyle w:val="SMText"/>
        <w:spacing w:line="276" w:lineRule="auto"/>
        <w:ind w:firstLine="0"/>
        <w:rPr>
          <w:lang w:val="en-GB"/>
        </w:rPr>
      </w:pPr>
    </w:p>
    <w:p w14:paraId="4FF9A530" w14:textId="3FA722E0" w:rsidR="00165C6B" w:rsidRDefault="00165C6B" w:rsidP="00165C6B">
      <w:pPr>
        <w:pStyle w:val="SMText"/>
        <w:spacing w:line="276" w:lineRule="auto"/>
        <w:ind w:firstLine="0"/>
        <w:rPr>
          <w:lang w:val="en-GB"/>
        </w:rPr>
      </w:pPr>
    </w:p>
    <w:p w14:paraId="09F1B136" w14:textId="19B6678A" w:rsidR="00165C6B" w:rsidRDefault="00165C6B" w:rsidP="00165C6B">
      <w:pPr>
        <w:pStyle w:val="SMText"/>
        <w:spacing w:line="276" w:lineRule="auto"/>
        <w:ind w:firstLine="0"/>
        <w:rPr>
          <w:lang w:val="en-GB"/>
        </w:rPr>
      </w:pPr>
    </w:p>
    <w:p w14:paraId="05AED215" w14:textId="67C7F972" w:rsidR="00165C6B" w:rsidRDefault="00165C6B" w:rsidP="00165C6B">
      <w:pPr>
        <w:pStyle w:val="SMText"/>
        <w:spacing w:line="276" w:lineRule="auto"/>
        <w:ind w:firstLine="0"/>
        <w:rPr>
          <w:lang w:val="en-GB"/>
        </w:rPr>
      </w:pPr>
    </w:p>
    <w:p w14:paraId="7DB98811" w14:textId="772FB9CA" w:rsidR="00165C6B" w:rsidRDefault="00165C6B" w:rsidP="00165C6B">
      <w:pPr>
        <w:pStyle w:val="SMText"/>
        <w:spacing w:line="276" w:lineRule="auto"/>
        <w:ind w:firstLine="0"/>
        <w:rPr>
          <w:lang w:val="en-GB"/>
        </w:rPr>
      </w:pPr>
    </w:p>
    <w:p w14:paraId="7CF77124" w14:textId="7F23A0BD" w:rsidR="00165C6B" w:rsidRDefault="00165C6B" w:rsidP="00165C6B">
      <w:pPr>
        <w:pStyle w:val="SMText"/>
        <w:spacing w:line="276" w:lineRule="auto"/>
        <w:ind w:firstLine="0"/>
        <w:rPr>
          <w:lang w:val="en-GB"/>
        </w:rPr>
      </w:pPr>
    </w:p>
    <w:p w14:paraId="14DA76C3" w14:textId="0A1BD65B" w:rsidR="00165C6B" w:rsidRDefault="00165C6B" w:rsidP="00165C6B">
      <w:pPr>
        <w:pStyle w:val="SMText"/>
        <w:spacing w:line="276" w:lineRule="auto"/>
        <w:ind w:firstLine="0"/>
        <w:rPr>
          <w:lang w:val="en-GB"/>
        </w:rPr>
      </w:pPr>
    </w:p>
    <w:p w14:paraId="68FB0F83" w14:textId="0711ACB2" w:rsidR="00165C6B" w:rsidRDefault="00165C6B" w:rsidP="00165C6B">
      <w:pPr>
        <w:pStyle w:val="SMText"/>
        <w:spacing w:line="276" w:lineRule="auto"/>
        <w:ind w:firstLine="0"/>
        <w:rPr>
          <w:lang w:val="en-GB"/>
        </w:rPr>
      </w:pPr>
    </w:p>
    <w:p w14:paraId="4C1AEAD3" w14:textId="76C9100B" w:rsidR="00165C6B" w:rsidRDefault="00165C6B" w:rsidP="00165C6B">
      <w:pPr>
        <w:pStyle w:val="SMText"/>
        <w:spacing w:line="276" w:lineRule="auto"/>
        <w:ind w:firstLine="0"/>
        <w:rPr>
          <w:lang w:val="en-GB"/>
        </w:rPr>
      </w:pPr>
    </w:p>
    <w:p w14:paraId="1A79686A" w14:textId="1E5A272E" w:rsidR="00165C6B" w:rsidRDefault="00165C6B" w:rsidP="00165C6B">
      <w:pPr>
        <w:pStyle w:val="SMText"/>
        <w:spacing w:line="276" w:lineRule="auto"/>
        <w:ind w:firstLine="0"/>
        <w:rPr>
          <w:lang w:val="en-GB"/>
        </w:rPr>
      </w:pPr>
    </w:p>
    <w:p w14:paraId="039DD7A5" w14:textId="4DB112E4" w:rsidR="00165C6B" w:rsidRDefault="00165C6B" w:rsidP="00165C6B">
      <w:pPr>
        <w:pStyle w:val="SMText"/>
        <w:spacing w:line="276" w:lineRule="auto"/>
        <w:ind w:firstLine="0"/>
        <w:rPr>
          <w:lang w:val="en-GB"/>
        </w:rPr>
      </w:pPr>
    </w:p>
    <w:p w14:paraId="1D2EA4A0" w14:textId="28D4685A" w:rsidR="00165C6B" w:rsidRDefault="00165C6B" w:rsidP="00165C6B">
      <w:pPr>
        <w:pStyle w:val="SMText"/>
        <w:spacing w:line="276" w:lineRule="auto"/>
        <w:ind w:firstLine="0"/>
        <w:rPr>
          <w:lang w:val="en-GB"/>
        </w:rPr>
      </w:pPr>
    </w:p>
    <w:p w14:paraId="77B4146A" w14:textId="3E3C70C6" w:rsidR="00165C6B" w:rsidRDefault="00165C6B" w:rsidP="00165C6B">
      <w:pPr>
        <w:pStyle w:val="SMText"/>
        <w:spacing w:line="276" w:lineRule="auto"/>
        <w:ind w:firstLine="0"/>
        <w:rPr>
          <w:lang w:val="en-GB"/>
        </w:rPr>
      </w:pPr>
    </w:p>
    <w:p w14:paraId="65F97883" w14:textId="55D57A8D" w:rsidR="009D111D" w:rsidRDefault="009D111D" w:rsidP="009D111D">
      <w:pPr>
        <w:pStyle w:val="SMHeading"/>
        <w:spacing w:line="276" w:lineRule="auto"/>
      </w:pPr>
      <w:bookmarkStart w:id="17" w:name="_Toc58791057"/>
      <w:bookmarkStart w:id="18" w:name="_Hlk55856028"/>
      <w:r>
        <w:lastRenderedPageBreak/>
        <w:t>References</w:t>
      </w:r>
      <w:bookmarkEnd w:id="17"/>
    </w:p>
    <w:p w14:paraId="3F09B1A3" w14:textId="77777777" w:rsidR="00B36837" w:rsidRDefault="00B36837" w:rsidP="00B36837">
      <w:pPr>
        <w:pStyle w:val="SMcaption"/>
        <w:spacing w:line="276" w:lineRule="auto"/>
        <w:rPr>
          <w:b/>
          <w:bCs/>
        </w:rPr>
      </w:pPr>
    </w:p>
    <w:p w14:paraId="752D7E12" w14:textId="77777777" w:rsidR="00BB7752" w:rsidRDefault="00B36837" w:rsidP="00BB7752">
      <w:pPr>
        <w:pStyle w:val="Bibliography"/>
        <w:spacing w:line="276" w:lineRule="auto"/>
        <w:rPr>
          <w:szCs w:val="24"/>
        </w:rPr>
      </w:pPr>
      <w:r>
        <w:fldChar w:fldCharType="begin"/>
      </w:r>
      <w:r w:rsidR="00BB7752" w:rsidRPr="00C4348F">
        <w:rPr>
          <w:lang w:val="en-GB"/>
        </w:rPr>
        <w:instrText xml:space="preserve"> ADDIN ZOTERO_BIBL {"uncited":[],"omitted":[],"custom":[]} CSL_BIBLIOGRAPHY </w:instrText>
      </w:r>
      <w:r>
        <w:fldChar w:fldCharType="separate"/>
      </w:r>
      <w:r w:rsidR="00BB7752" w:rsidRPr="00C4348F">
        <w:rPr>
          <w:szCs w:val="24"/>
          <w:lang w:val="en-GB"/>
        </w:rPr>
        <w:t>1.</w:t>
      </w:r>
      <w:r w:rsidR="00BB7752" w:rsidRPr="00C4348F">
        <w:rPr>
          <w:szCs w:val="24"/>
          <w:lang w:val="en-GB"/>
        </w:rPr>
        <w:tab/>
      </w:r>
      <w:proofErr w:type="spellStart"/>
      <w:r w:rsidR="00BB7752" w:rsidRPr="00C4348F">
        <w:rPr>
          <w:szCs w:val="24"/>
          <w:lang w:val="en-GB"/>
        </w:rPr>
        <w:t>Woltjer</w:t>
      </w:r>
      <w:proofErr w:type="spellEnd"/>
      <w:r w:rsidR="00BB7752" w:rsidRPr="00C4348F">
        <w:rPr>
          <w:szCs w:val="24"/>
          <w:lang w:val="en-GB"/>
        </w:rPr>
        <w:t xml:space="preserve">, G. B. </w:t>
      </w:r>
      <w:r w:rsidR="00BB7752" w:rsidRPr="00C4348F">
        <w:rPr>
          <w:i/>
          <w:iCs/>
          <w:szCs w:val="24"/>
          <w:lang w:val="en-GB"/>
        </w:rPr>
        <w:t>et al.</w:t>
      </w:r>
      <w:r w:rsidR="00BB7752" w:rsidRPr="00C4348F">
        <w:rPr>
          <w:szCs w:val="24"/>
          <w:lang w:val="en-GB"/>
        </w:rPr>
        <w:t xml:space="preserve"> </w:t>
      </w:r>
      <w:r w:rsidR="00BB7752">
        <w:rPr>
          <w:i/>
          <w:iCs/>
          <w:szCs w:val="24"/>
        </w:rPr>
        <w:t>The MAGNET model: Module description</w:t>
      </w:r>
      <w:r w:rsidR="00BB7752">
        <w:rPr>
          <w:szCs w:val="24"/>
        </w:rPr>
        <w:t>. (2014).</w:t>
      </w:r>
    </w:p>
    <w:p w14:paraId="6D4A71FF" w14:textId="77777777" w:rsidR="00BB7752" w:rsidRDefault="00BB7752" w:rsidP="00BB7752">
      <w:pPr>
        <w:pStyle w:val="Bibliography"/>
        <w:spacing w:line="276" w:lineRule="auto"/>
        <w:rPr>
          <w:szCs w:val="24"/>
        </w:rPr>
      </w:pPr>
      <w:r>
        <w:rPr>
          <w:szCs w:val="24"/>
        </w:rPr>
        <w:t>2.</w:t>
      </w:r>
      <w:r>
        <w:rPr>
          <w:szCs w:val="24"/>
        </w:rPr>
        <w:tab/>
        <w:t xml:space="preserve">Keeney, R. &amp; Hertel, T. W. </w:t>
      </w:r>
      <w:r>
        <w:rPr>
          <w:i/>
          <w:iCs/>
          <w:szCs w:val="24"/>
        </w:rPr>
        <w:t>GTAP-AGR: A Framework for Assessing the Implications of Multilateral Changes in Agricultural Policies</w:t>
      </w:r>
      <w:r>
        <w:rPr>
          <w:szCs w:val="24"/>
        </w:rPr>
        <w:t>. (2005).</w:t>
      </w:r>
    </w:p>
    <w:p w14:paraId="5C042E68" w14:textId="77777777" w:rsidR="00BB7752" w:rsidRDefault="00BB7752" w:rsidP="00BB7752">
      <w:pPr>
        <w:pStyle w:val="Bibliography"/>
        <w:spacing w:line="276" w:lineRule="auto"/>
        <w:rPr>
          <w:szCs w:val="24"/>
        </w:rPr>
      </w:pPr>
      <w:r>
        <w:rPr>
          <w:szCs w:val="24"/>
        </w:rPr>
        <w:t>3.</w:t>
      </w:r>
      <w:r>
        <w:rPr>
          <w:szCs w:val="24"/>
        </w:rPr>
        <w:tab/>
        <w:t xml:space="preserve">Haque, M. O. </w:t>
      </w:r>
      <w:r>
        <w:rPr>
          <w:i/>
          <w:iCs/>
          <w:szCs w:val="24"/>
        </w:rPr>
        <w:t>Income Elasticity and Economic Development - Methods and Applications</w:t>
      </w:r>
      <w:r>
        <w:rPr>
          <w:szCs w:val="24"/>
        </w:rPr>
        <w:t>. (Springer US, 2005). doi:10.1007/b105193.</w:t>
      </w:r>
    </w:p>
    <w:p w14:paraId="277545D7" w14:textId="77777777" w:rsidR="00BB7752" w:rsidRDefault="00BB7752" w:rsidP="00BB7752">
      <w:pPr>
        <w:pStyle w:val="Bibliography"/>
        <w:spacing w:line="276" w:lineRule="auto"/>
        <w:rPr>
          <w:szCs w:val="24"/>
        </w:rPr>
      </w:pPr>
      <w:r>
        <w:rPr>
          <w:szCs w:val="24"/>
        </w:rPr>
        <w:t>4.</w:t>
      </w:r>
      <w:r>
        <w:rPr>
          <w:szCs w:val="24"/>
        </w:rPr>
        <w:tab/>
        <w:t xml:space="preserve">Green, R. </w:t>
      </w:r>
      <w:r>
        <w:rPr>
          <w:i/>
          <w:iCs/>
          <w:szCs w:val="24"/>
        </w:rPr>
        <w:t>et al.</w:t>
      </w:r>
      <w:r>
        <w:rPr>
          <w:szCs w:val="24"/>
        </w:rPr>
        <w:t xml:space="preserve"> The effect of rising food prices on food consumption: systematic review with meta-regression. </w:t>
      </w:r>
      <w:r>
        <w:rPr>
          <w:i/>
          <w:iCs/>
          <w:szCs w:val="24"/>
        </w:rPr>
        <w:t>BMJ</w:t>
      </w:r>
      <w:r>
        <w:rPr>
          <w:szCs w:val="24"/>
        </w:rPr>
        <w:t xml:space="preserve"> </w:t>
      </w:r>
      <w:r>
        <w:rPr>
          <w:b/>
          <w:bCs/>
          <w:szCs w:val="24"/>
        </w:rPr>
        <w:t>346</w:t>
      </w:r>
      <w:r>
        <w:rPr>
          <w:szCs w:val="24"/>
        </w:rPr>
        <w:t>, f3703 (2013).</w:t>
      </w:r>
    </w:p>
    <w:p w14:paraId="59051ED2" w14:textId="77777777" w:rsidR="00BB7752" w:rsidRDefault="00BB7752" w:rsidP="00BB7752">
      <w:pPr>
        <w:pStyle w:val="Bibliography"/>
        <w:spacing w:line="276" w:lineRule="auto"/>
        <w:rPr>
          <w:szCs w:val="24"/>
        </w:rPr>
      </w:pPr>
      <w:r>
        <w:rPr>
          <w:szCs w:val="24"/>
        </w:rPr>
        <w:t>5.</w:t>
      </w:r>
      <w:r>
        <w:rPr>
          <w:szCs w:val="24"/>
        </w:rPr>
        <w:tab/>
        <w:t xml:space="preserve">van Meijl, H., van Rheenen, T., Tabeau, A. &amp; Eickhout, B. The impact of different policy environments on agricultural land use in Europe. </w:t>
      </w:r>
      <w:r>
        <w:rPr>
          <w:i/>
          <w:iCs/>
          <w:szCs w:val="24"/>
        </w:rPr>
        <w:t>Agriculture, Ecosystems &amp; Environment</w:t>
      </w:r>
      <w:r>
        <w:rPr>
          <w:szCs w:val="24"/>
        </w:rPr>
        <w:t xml:space="preserve"> </w:t>
      </w:r>
      <w:r>
        <w:rPr>
          <w:b/>
          <w:bCs/>
          <w:szCs w:val="24"/>
        </w:rPr>
        <w:t>114</w:t>
      </w:r>
      <w:r>
        <w:rPr>
          <w:szCs w:val="24"/>
        </w:rPr>
        <w:t>, 21–38 (2006).</w:t>
      </w:r>
    </w:p>
    <w:p w14:paraId="347C56B3" w14:textId="77777777" w:rsidR="00BB7752" w:rsidRDefault="00BB7752" w:rsidP="00BB7752">
      <w:pPr>
        <w:pStyle w:val="Bibliography"/>
        <w:spacing w:line="276" w:lineRule="auto"/>
        <w:rPr>
          <w:szCs w:val="24"/>
        </w:rPr>
      </w:pPr>
      <w:r>
        <w:rPr>
          <w:szCs w:val="24"/>
        </w:rPr>
        <w:t>6.</w:t>
      </w:r>
      <w:r>
        <w:rPr>
          <w:szCs w:val="24"/>
        </w:rPr>
        <w:tab/>
        <w:t xml:space="preserve">Huang, H. Agricultural Domestic Support. in </w:t>
      </w:r>
      <w:r>
        <w:rPr>
          <w:i/>
          <w:iCs/>
          <w:szCs w:val="24"/>
        </w:rPr>
        <w:t>Global Trade, Assistance, and Production: The GTAP 8 Data Base</w:t>
      </w:r>
      <w:r>
        <w:rPr>
          <w:szCs w:val="24"/>
        </w:rPr>
        <w:t xml:space="preserve"> (eds. G, B. N., Aguiar, A. &amp; McDougall, R.) (Global Trade Analysis Project (GTAP), 2013).</w:t>
      </w:r>
    </w:p>
    <w:p w14:paraId="2116E6E6" w14:textId="77777777" w:rsidR="00BB7752" w:rsidRDefault="00BB7752" w:rsidP="00BB7752">
      <w:pPr>
        <w:pStyle w:val="Bibliography"/>
        <w:spacing w:line="276" w:lineRule="auto"/>
        <w:rPr>
          <w:szCs w:val="24"/>
        </w:rPr>
      </w:pPr>
      <w:r>
        <w:rPr>
          <w:szCs w:val="24"/>
        </w:rPr>
        <w:t>7.</w:t>
      </w:r>
      <w:r>
        <w:rPr>
          <w:szCs w:val="24"/>
        </w:rPr>
        <w:tab/>
        <w:t xml:space="preserve">Riahi, K. </w:t>
      </w:r>
      <w:r>
        <w:rPr>
          <w:i/>
          <w:iCs/>
          <w:szCs w:val="24"/>
        </w:rPr>
        <w:t>et al.</w:t>
      </w:r>
      <w:r>
        <w:rPr>
          <w:szCs w:val="24"/>
        </w:rPr>
        <w:t xml:space="preserve"> The Shared Socioeconomic Pathways and their energy, land use, and greenhouse gas emissions implications: An overview. </w:t>
      </w:r>
      <w:r>
        <w:rPr>
          <w:i/>
          <w:iCs/>
          <w:szCs w:val="24"/>
        </w:rPr>
        <w:t>Global Environmental Change</w:t>
      </w:r>
      <w:r>
        <w:rPr>
          <w:szCs w:val="24"/>
        </w:rPr>
        <w:t xml:space="preserve"> </w:t>
      </w:r>
      <w:r>
        <w:rPr>
          <w:b/>
          <w:bCs/>
          <w:szCs w:val="24"/>
        </w:rPr>
        <w:t>42</w:t>
      </w:r>
      <w:r>
        <w:rPr>
          <w:szCs w:val="24"/>
        </w:rPr>
        <w:t>, 153–168 (2017).</w:t>
      </w:r>
    </w:p>
    <w:p w14:paraId="06A4BF2E" w14:textId="77777777" w:rsidR="00BB7752" w:rsidRDefault="00BB7752" w:rsidP="00BB7752">
      <w:pPr>
        <w:pStyle w:val="Bibliography"/>
        <w:spacing w:line="276" w:lineRule="auto"/>
        <w:rPr>
          <w:szCs w:val="24"/>
        </w:rPr>
      </w:pPr>
      <w:r>
        <w:rPr>
          <w:szCs w:val="24"/>
        </w:rPr>
        <w:t>8.</w:t>
      </w:r>
      <w:r>
        <w:rPr>
          <w:szCs w:val="24"/>
        </w:rPr>
        <w:tab/>
        <w:t xml:space="preserve">Dhingra, S. </w:t>
      </w:r>
      <w:r>
        <w:rPr>
          <w:i/>
          <w:iCs/>
          <w:szCs w:val="24"/>
        </w:rPr>
        <w:t>et al.</w:t>
      </w:r>
      <w:r>
        <w:rPr>
          <w:szCs w:val="24"/>
        </w:rPr>
        <w:t xml:space="preserve"> The costs and benefits of leaving the EU: trade effects. </w:t>
      </w:r>
      <w:r>
        <w:rPr>
          <w:i/>
          <w:iCs/>
          <w:szCs w:val="24"/>
        </w:rPr>
        <w:t>Economic Policy</w:t>
      </w:r>
      <w:r>
        <w:rPr>
          <w:szCs w:val="24"/>
        </w:rPr>
        <w:t xml:space="preserve"> </w:t>
      </w:r>
      <w:r>
        <w:rPr>
          <w:b/>
          <w:bCs/>
          <w:szCs w:val="24"/>
        </w:rPr>
        <w:t>32</w:t>
      </w:r>
      <w:r>
        <w:rPr>
          <w:szCs w:val="24"/>
        </w:rPr>
        <w:t>, 651–705 (2017).</w:t>
      </w:r>
    </w:p>
    <w:p w14:paraId="7946EEF8" w14:textId="77777777" w:rsidR="00BB7752" w:rsidRDefault="00BB7752" w:rsidP="00BB7752">
      <w:pPr>
        <w:pStyle w:val="Bibliography"/>
        <w:spacing w:line="276" w:lineRule="auto"/>
        <w:rPr>
          <w:szCs w:val="24"/>
        </w:rPr>
      </w:pPr>
      <w:r>
        <w:rPr>
          <w:szCs w:val="24"/>
        </w:rPr>
        <w:t>9.</w:t>
      </w:r>
      <w:r>
        <w:rPr>
          <w:szCs w:val="24"/>
        </w:rPr>
        <w:tab/>
        <w:t xml:space="preserve">Gustavsson, J., Cederberg, C., Sonesson, U., Van Otterdijk, R. &amp; Meybeck, A. </w:t>
      </w:r>
      <w:r>
        <w:rPr>
          <w:i/>
          <w:iCs/>
          <w:szCs w:val="24"/>
        </w:rPr>
        <w:t>Global food losses and food waste: extent, causes and prevention</w:t>
      </w:r>
      <w:r>
        <w:rPr>
          <w:szCs w:val="24"/>
        </w:rPr>
        <w:t>. (2011).</w:t>
      </w:r>
    </w:p>
    <w:p w14:paraId="314AA731" w14:textId="77777777" w:rsidR="00BB7752" w:rsidRDefault="00BB7752" w:rsidP="00BB7752">
      <w:pPr>
        <w:pStyle w:val="Bibliography"/>
        <w:spacing w:line="276" w:lineRule="auto"/>
        <w:rPr>
          <w:szCs w:val="24"/>
        </w:rPr>
      </w:pPr>
      <w:r>
        <w:rPr>
          <w:szCs w:val="24"/>
        </w:rPr>
        <w:t>10.</w:t>
      </w:r>
      <w:r>
        <w:rPr>
          <w:szCs w:val="24"/>
        </w:rPr>
        <w:tab/>
        <w:t xml:space="preserve">Food and Agriculture Organization of the United Nations. </w:t>
      </w:r>
      <w:r>
        <w:rPr>
          <w:i/>
          <w:iCs/>
          <w:szCs w:val="24"/>
        </w:rPr>
        <w:t>Food balance sheets: a handbook</w:t>
      </w:r>
      <w:r>
        <w:rPr>
          <w:szCs w:val="24"/>
        </w:rPr>
        <w:t>. (2001).</w:t>
      </w:r>
    </w:p>
    <w:p w14:paraId="17FCC976" w14:textId="77777777" w:rsidR="00BB7752" w:rsidRDefault="00BB7752" w:rsidP="00BB7752">
      <w:pPr>
        <w:pStyle w:val="Bibliography"/>
        <w:spacing w:line="276" w:lineRule="auto"/>
        <w:rPr>
          <w:szCs w:val="24"/>
        </w:rPr>
      </w:pPr>
      <w:r>
        <w:rPr>
          <w:szCs w:val="24"/>
        </w:rPr>
        <w:t>11.</w:t>
      </w:r>
      <w:r>
        <w:rPr>
          <w:szCs w:val="24"/>
        </w:rPr>
        <w:tab/>
        <w:t xml:space="preserve">Murray, C. J. L., Ezzati, M., Lopez, A. D., Rodgers, A. &amp; Vander Hoorn, S. Comparative quantification of health risks: conceptual framework and methodological issues. </w:t>
      </w:r>
      <w:r>
        <w:rPr>
          <w:i/>
          <w:iCs/>
          <w:szCs w:val="24"/>
        </w:rPr>
        <w:t>Population Health Metrics</w:t>
      </w:r>
      <w:r>
        <w:rPr>
          <w:szCs w:val="24"/>
        </w:rPr>
        <w:t xml:space="preserve"> </w:t>
      </w:r>
      <w:r>
        <w:rPr>
          <w:b/>
          <w:bCs/>
          <w:szCs w:val="24"/>
        </w:rPr>
        <w:t>1</w:t>
      </w:r>
      <w:r>
        <w:rPr>
          <w:szCs w:val="24"/>
        </w:rPr>
        <w:t>, 1 (2003).</w:t>
      </w:r>
    </w:p>
    <w:p w14:paraId="57C9725B" w14:textId="77777777" w:rsidR="00BB7752" w:rsidRDefault="00BB7752" w:rsidP="00BB7752">
      <w:pPr>
        <w:pStyle w:val="Bibliography"/>
        <w:spacing w:line="276" w:lineRule="auto"/>
        <w:rPr>
          <w:szCs w:val="24"/>
        </w:rPr>
      </w:pPr>
      <w:r>
        <w:rPr>
          <w:szCs w:val="24"/>
        </w:rPr>
        <w:t>12.</w:t>
      </w:r>
      <w:r>
        <w:rPr>
          <w:szCs w:val="24"/>
        </w:rPr>
        <w:tab/>
        <w:t xml:space="preserve">Murray, C. J. L. </w:t>
      </w:r>
      <w:r>
        <w:rPr>
          <w:i/>
          <w:iCs/>
          <w:szCs w:val="24"/>
        </w:rPr>
        <w:t>et al.</w:t>
      </w:r>
      <w:r>
        <w:rPr>
          <w:szCs w:val="24"/>
        </w:rPr>
        <w:t xml:space="preserve"> GBD 2010: design, definitions, and metrics. </w:t>
      </w:r>
      <w:r>
        <w:rPr>
          <w:i/>
          <w:iCs/>
          <w:szCs w:val="24"/>
        </w:rPr>
        <w:t>Lancet</w:t>
      </w:r>
      <w:r>
        <w:rPr>
          <w:szCs w:val="24"/>
        </w:rPr>
        <w:t xml:space="preserve"> </w:t>
      </w:r>
      <w:r>
        <w:rPr>
          <w:b/>
          <w:bCs/>
          <w:szCs w:val="24"/>
        </w:rPr>
        <w:t>380</w:t>
      </w:r>
      <w:r>
        <w:rPr>
          <w:szCs w:val="24"/>
        </w:rPr>
        <w:t>, 2063–2066 (2012).</w:t>
      </w:r>
    </w:p>
    <w:p w14:paraId="6634F9A1" w14:textId="77777777" w:rsidR="00BB7752" w:rsidRDefault="00BB7752" w:rsidP="00BB7752">
      <w:pPr>
        <w:pStyle w:val="Bibliography"/>
        <w:spacing w:line="276" w:lineRule="auto"/>
        <w:rPr>
          <w:szCs w:val="24"/>
        </w:rPr>
      </w:pPr>
      <w:r>
        <w:rPr>
          <w:szCs w:val="24"/>
        </w:rPr>
        <w:t>13.</w:t>
      </w:r>
      <w:r>
        <w:rPr>
          <w:szCs w:val="24"/>
        </w:rPr>
        <w:tab/>
        <w:t xml:space="preserve">GBD 2017 Causes of Death Collaborators </w:t>
      </w:r>
      <w:r>
        <w:rPr>
          <w:i/>
          <w:iCs/>
          <w:szCs w:val="24"/>
        </w:rPr>
        <w:t>et al.</w:t>
      </w:r>
      <w:r>
        <w:rPr>
          <w:szCs w:val="24"/>
        </w:rPr>
        <w:t xml:space="preserve"> Global, regional, and national age-sex-specific mortality for 282 causes of death in 195 countries and territories, 1980–2017: a systematic analysis for the Global Burden of Disease Study 2017. </w:t>
      </w:r>
      <w:r>
        <w:rPr>
          <w:i/>
          <w:iCs/>
          <w:szCs w:val="24"/>
        </w:rPr>
        <w:t>The Lancet</w:t>
      </w:r>
      <w:r>
        <w:rPr>
          <w:szCs w:val="24"/>
        </w:rPr>
        <w:t xml:space="preserve"> </w:t>
      </w:r>
      <w:r>
        <w:rPr>
          <w:b/>
          <w:bCs/>
          <w:szCs w:val="24"/>
        </w:rPr>
        <w:t>392</w:t>
      </w:r>
      <w:r>
        <w:rPr>
          <w:szCs w:val="24"/>
        </w:rPr>
        <w:t>, 1736–1788 (2018).</w:t>
      </w:r>
    </w:p>
    <w:p w14:paraId="195976E6" w14:textId="77777777" w:rsidR="00BB7752" w:rsidRDefault="00BB7752" w:rsidP="00BB7752">
      <w:pPr>
        <w:pStyle w:val="Bibliography"/>
        <w:spacing w:line="276" w:lineRule="auto"/>
        <w:rPr>
          <w:szCs w:val="24"/>
        </w:rPr>
      </w:pPr>
      <w:r>
        <w:rPr>
          <w:szCs w:val="24"/>
        </w:rPr>
        <w:t>14.</w:t>
      </w:r>
      <w:r>
        <w:rPr>
          <w:szCs w:val="24"/>
        </w:rPr>
        <w:tab/>
        <w:t xml:space="preserve">NCD Risk Factor Collaboration (NCD-RisC). Trends in adult body-mass index in 200 countries from 1975 to 2014: a pooled analysis of 1698 population-based measurement studies with 19·2 million participants. </w:t>
      </w:r>
      <w:r>
        <w:rPr>
          <w:i/>
          <w:iCs/>
          <w:szCs w:val="24"/>
        </w:rPr>
        <w:t>The Lancet</w:t>
      </w:r>
      <w:r>
        <w:rPr>
          <w:szCs w:val="24"/>
        </w:rPr>
        <w:t xml:space="preserve"> </w:t>
      </w:r>
      <w:r>
        <w:rPr>
          <w:b/>
          <w:bCs/>
          <w:szCs w:val="24"/>
        </w:rPr>
        <w:t>387</w:t>
      </w:r>
      <w:r>
        <w:rPr>
          <w:szCs w:val="24"/>
        </w:rPr>
        <w:t>, 1377–1396 (2016).</w:t>
      </w:r>
    </w:p>
    <w:p w14:paraId="18330E21" w14:textId="77777777" w:rsidR="00BB7752" w:rsidRDefault="00BB7752" w:rsidP="00BB7752">
      <w:pPr>
        <w:pStyle w:val="Bibliography"/>
        <w:spacing w:line="276" w:lineRule="auto"/>
        <w:rPr>
          <w:szCs w:val="24"/>
        </w:rPr>
      </w:pPr>
      <w:r>
        <w:rPr>
          <w:szCs w:val="24"/>
        </w:rPr>
        <w:t>15.</w:t>
      </w:r>
      <w:r>
        <w:rPr>
          <w:szCs w:val="24"/>
        </w:rPr>
        <w:tab/>
        <w:t xml:space="preserve">Springmann, M., Godfray, H. C. J., Rayner, M. &amp; Scarborough, P. Analysis and valuation of the health and climate change cobenefits of dietary change. </w:t>
      </w:r>
      <w:r>
        <w:rPr>
          <w:i/>
          <w:iCs/>
          <w:szCs w:val="24"/>
        </w:rPr>
        <w:t>PNAS</w:t>
      </w:r>
      <w:r>
        <w:rPr>
          <w:szCs w:val="24"/>
        </w:rPr>
        <w:t xml:space="preserve"> </w:t>
      </w:r>
      <w:r>
        <w:rPr>
          <w:b/>
          <w:bCs/>
          <w:szCs w:val="24"/>
        </w:rPr>
        <w:t>113</w:t>
      </w:r>
      <w:r>
        <w:rPr>
          <w:szCs w:val="24"/>
        </w:rPr>
        <w:t>, 4146–4151 (2016).</w:t>
      </w:r>
    </w:p>
    <w:p w14:paraId="79B1C0C8" w14:textId="77777777" w:rsidR="00BB7752" w:rsidRDefault="00BB7752" w:rsidP="00BB7752">
      <w:pPr>
        <w:pStyle w:val="Bibliography"/>
        <w:spacing w:line="276" w:lineRule="auto"/>
        <w:rPr>
          <w:szCs w:val="24"/>
        </w:rPr>
      </w:pPr>
      <w:r>
        <w:rPr>
          <w:szCs w:val="24"/>
        </w:rPr>
        <w:t>16.</w:t>
      </w:r>
      <w:r>
        <w:rPr>
          <w:szCs w:val="24"/>
        </w:rPr>
        <w:tab/>
        <w:t xml:space="preserve">Bechthold, A. </w:t>
      </w:r>
      <w:r>
        <w:rPr>
          <w:i/>
          <w:iCs/>
          <w:szCs w:val="24"/>
        </w:rPr>
        <w:t>et al.</w:t>
      </w:r>
      <w:r>
        <w:rPr>
          <w:szCs w:val="24"/>
        </w:rPr>
        <w:t xml:space="preserve"> Food groups and risk of coronary heart disease, stroke and heart failure: A systematic review and dose-response meta-analysis of prospective studies. </w:t>
      </w:r>
      <w:r>
        <w:rPr>
          <w:i/>
          <w:iCs/>
          <w:szCs w:val="24"/>
        </w:rPr>
        <w:t>Critical Reviews in Food Science and Nutrition</w:t>
      </w:r>
      <w:r>
        <w:rPr>
          <w:szCs w:val="24"/>
        </w:rPr>
        <w:t xml:space="preserve"> </w:t>
      </w:r>
      <w:r>
        <w:rPr>
          <w:b/>
          <w:bCs/>
          <w:szCs w:val="24"/>
        </w:rPr>
        <w:t>59</w:t>
      </w:r>
      <w:r>
        <w:rPr>
          <w:szCs w:val="24"/>
        </w:rPr>
        <w:t>, 1071–1090 (2019).</w:t>
      </w:r>
    </w:p>
    <w:p w14:paraId="333DACB9" w14:textId="77777777" w:rsidR="00BB7752" w:rsidRDefault="00BB7752" w:rsidP="00BB7752">
      <w:pPr>
        <w:pStyle w:val="Bibliography"/>
        <w:spacing w:line="276" w:lineRule="auto"/>
        <w:rPr>
          <w:szCs w:val="24"/>
        </w:rPr>
      </w:pPr>
      <w:r>
        <w:rPr>
          <w:szCs w:val="24"/>
        </w:rPr>
        <w:lastRenderedPageBreak/>
        <w:t>17.</w:t>
      </w:r>
      <w:r>
        <w:rPr>
          <w:szCs w:val="24"/>
        </w:rPr>
        <w:tab/>
        <w:t xml:space="preserve">Afshin, A., Micha, R., Khatibzadeh, S. &amp; Mozaffarian, D. Consumption of nuts and legumes and risk of incident ischemic heart disease, stroke, and diabetes: a systematic review and meta-analysis. </w:t>
      </w:r>
      <w:r>
        <w:rPr>
          <w:i/>
          <w:iCs/>
          <w:szCs w:val="24"/>
        </w:rPr>
        <w:t>Am. J. Clin. Nutr.</w:t>
      </w:r>
      <w:r>
        <w:rPr>
          <w:szCs w:val="24"/>
        </w:rPr>
        <w:t xml:space="preserve"> </w:t>
      </w:r>
      <w:r>
        <w:rPr>
          <w:b/>
          <w:bCs/>
          <w:szCs w:val="24"/>
        </w:rPr>
        <w:t>100</w:t>
      </w:r>
      <w:r>
        <w:rPr>
          <w:szCs w:val="24"/>
        </w:rPr>
        <w:t>, 278–288 (2014).</w:t>
      </w:r>
    </w:p>
    <w:p w14:paraId="6017F69E" w14:textId="77777777" w:rsidR="00BB7752" w:rsidRDefault="00BB7752" w:rsidP="00BB7752">
      <w:pPr>
        <w:pStyle w:val="Bibliography"/>
        <w:spacing w:line="276" w:lineRule="auto"/>
        <w:rPr>
          <w:szCs w:val="24"/>
        </w:rPr>
      </w:pPr>
      <w:r>
        <w:rPr>
          <w:szCs w:val="24"/>
        </w:rPr>
        <w:t>18.</w:t>
      </w:r>
      <w:r>
        <w:rPr>
          <w:szCs w:val="24"/>
        </w:rPr>
        <w:tab/>
        <w:t xml:space="preserve">Aune, D. </w:t>
      </w:r>
      <w:r>
        <w:rPr>
          <w:i/>
          <w:iCs/>
          <w:szCs w:val="24"/>
        </w:rPr>
        <w:t>et al.</w:t>
      </w:r>
      <w:r>
        <w:rPr>
          <w:szCs w:val="24"/>
        </w:rPr>
        <w:t xml:space="preserve"> Nut consumption and risk of cardiovascular disease, total cancer, all-cause and cause-specific mortality: a systematic review and dose-response meta-analysis of prospective studies. </w:t>
      </w:r>
      <w:r>
        <w:rPr>
          <w:i/>
          <w:iCs/>
          <w:szCs w:val="24"/>
        </w:rPr>
        <w:t>BMC medicine</w:t>
      </w:r>
      <w:r>
        <w:rPr>
          <w:szCs w:val="24"/>
        </w:rPr>
        <w:t xml:space="preserve"> </w:t>
      </w:r>
      <w:r>
        <w:rPr>
          <w:b/>
          <w:bCs/>
          <w:szCs w:val="24"/>
        </w:rPr>
        <w:t>14</w:t>
      </w:r>
      <w:r>
        <w:rPr>
          <w:szCs w:val="24"/>
        </w:rPr>
        <w:t>, 207 (2016).</w:t>
      </w:r>
    </w:p>
    <w:p w14:paraId="125CFB32" w14:textId="77777777" w:rsidR="00BB7752" w:rsidRDefault="00BB7752" w:rsidP="00BB7752">
      <w:pPr>
        <w:pStyle w:val="Bibliography"/>
        <w:spacing w:line="276" w:lineRule="auto"/>
        <w:rPr>
          <w:szCs w:val="24"/>
        </w:rPr>
      </w:pPr>
      <w:r>
        <w:rPr>
          <w:szCs w:val="24"/>
        </w:rPr>
        <w:t>19.</w:t>
      </w:r>
      <w:r>
        <w:rPr>
          <w:szCs w:val="24"/>
        </w:rPr>
        <w:tab/>
        <w:t xml:space="preserve">Aune, D. </w:t>
      </w:r>
      <w:r>
        <w:rPr>
          <w:i/>
          <w:iCs/>
          <w:szCs w:val="24"/>
        </w:rPr>
        <w:t>et al.</w:t>
      </w:r>
      <w:r>
        <w:rPr>
          <w:szCs w:val="24"/>
        </w:rPr>
        <w:t xml:space="preserve"> Fruit and vegetable intake and the risk of cardiovascular disease, total cancer and all-cause mortality–a systematic review and dose-response meta-analysis of prospective studies. </w:t>
      </w:r>
      <w:r>
        <w:rPr>
          <w:i/>
          <w:iCs/>
          <w:szCs w:val="24"/>
        </w:rPr>
        <w:t>International Journal of Epidemiology</w:t>
      </w:r>
      <w:r>
        <w:rPr>
          <w:szCs w:val="24"/>
        </w:rPr>
        <w:t xml:space="preserve"> (2016).</w:t>
      </w:r>
    </w:p>
    <w:p w14:paraId="141D60F1" w14:textId="77777777" w:rsidR="00BB7752" w:rsidRDefault="00BB7752" w:rsidP="00BB7752">
      <w:pPr>
        <w:pStyle w:val="Bibliography"/>
        <w:spacing w:line="276" w:lineRule="auto"/>
        <w:rPr>
          <w:szCs w:val="24"/>
        </w:rPr>
      </w:pPr>
      <w:r>
        <w:rPr>
          <w:szCs w:val="24"/>
        </w:rPr>
        <w:t>20.</w:t>
      </w:r>
      <w:r>
        <w:rPr>
          <w:szCs w:val="24"/>
        </w:rPr>
        <w:tab/>
        <w:t xml:space="preserve">Schwingshackl, L. </w:t>
      </w:r>
      <w:r>
        <w:rPr>
          <w:i/>
          <w:iCs/>
          <w:szCs w:val="24"/>
        </w:rPr>
        <w:t>et al.</w:t>
      </w:r>
      <w:r>
        <w:rPr>
          <w:szCs w:val="24"/>
        </w:rPr>
        <w:t xml:space="preserve"> Food groups and risk of colorectal cancer. </w:t>
      </w:r>
      <w:r>
        <w:rPr>
          <w:i/>
          <w:iCs/>
          <w:szCs w:val="24"/>
        </w:rPr>
        <w:t>International Journal of Cancer</w:t>
      </w:r>
      <w:r>
        <w:rPr>
          <w:szCs w:val="24"/>
        </w:rPr>
        <w:t xml:space="preserve"> </w:t>
      </w:r>
      <w:r>
        <w:rPr>
          <w:b/>
          <w:bCs/>
          <w:szCs w:val="24"/>
        </w:rPr>
        <w:t>142</w:t>
      </w:r>
      <w:r>
        <w:rPr>
          <w:szCs w:val="24"/>
        </w:rPr>
        <w:t>, 1748–1758 (2018).</w:t>
      </w:r>
    </w:p>
    <w:p w14:paraId="461CC4BC" w14:textId="77777777" w:rsidR="00BB7752" w:rsidRDefault="00BB7752" w:rsidP="00BB7752">
      <w:pPr>
        <w:pStyle w:val="Bibliography"/>
        <w:spacing w:line="276" w:lineRule="auto"/>
        <w:rPr>
          <w:szCs w:val="24"/>
        </w:rPr>
      </w:pPr>
      <w:r>
        <w:rPr>
          <w:szCs w:val="24"/>
        </w:rPr>
        <w:t>21.</w:t>
      </w:r>
      <w:r>
        <w:rPr>
          <w:szCs w:val="24"/>
        </w:rPr>
        <w:tab/>
        <w:t xml:space="preserve">Schwingshackl, L. </w:t>
      </w:r>
      <w:r>
        <w:rPr>
          <w:i/>
          <w:iCs/>
          <w:szCs w:val="24"/>
        </w:rPr>
        <w:t>et al.</w:t>
      </w:r>
      <w:r>
        <w:rPr>
          <w:szCs w:val="24"/>
        </w:rPr>
        <w:t xml:space="preserve"> Food groups and risk of type 2 diabetes mellitus: a systematic review and meta-analysis of prospective studies. </w:t>
      </w:r>
      <w:r>
        <w:rPr>
          <w:i/>
          <w:iCs/>
          <w:szCs w:val="24"/>
        </w:rPr>
        <w:t>European Journal of Epidemiology</w:t>
      </w:r>
      <w:r>
        <w:rPr>
          <w:szCs w:val="24"/>
        </w:rPr>
        <w:t xml:space="preserve"> </w:t>
      </w:r>
      <w:r>
        <w:rPr>
          <w:b/>
          <w:bCs/>
          <w:szCs w:val="24"/>
        </w:rPr>
        <w:t>32</w:t>
      </w:r>
      <w:r>
        <w:rPr>
          <w:szCs w:val="24"/>
        </w:rPr>
        <w:t>, 363–375 (2017).</w:t>
      </w:r>
    </w:p>
    <w:p w14:paraId="58B42933" w14:textId="77777777" w:rsidR="00BB7752" w:rsidRDefault="00BB7752" w:rsidP="00BB7752">
      <w:pPr>
        <w:pStyle w:val="Bibliography"/>
        <w:spacing w:line="276" w:lineRule="auto"/>
        <w:rPr>
          <w:szCs w:val="24"/>
        </w:rPr>
      </w:pPr>
      <w:r>
        <w:rPr>
          <w:szCs w:val="24"/>
        </w:rPr>
        <w:t>22.</w:t>
      </w:r>
      <w:r>
        <w:rPr>
          <w:szCs w:val="24"/>
        </w:rPr>
        <w:tab/>
        <w:t xml:space="preserve">Zheng, J. </w:t>
      </w:r>
      <w:r>
        <w:rPr>
          <w:i/>
          <w:iCs/>
          <w:szCs w:val="24"/>
        </w:rPr>
        <w:t>et al.</w:t>
      </w:r>
      <w:r>
        <w:rPr>
          <w:szCs w:val="24"/>
        </w:rPr>
        <w:t xml:space="preserve"> Fish consumption and CHD mortality: an updated meta-analysis of seventeen cohort studies. </w:t>
      </w:r>
      <w:r>
        <w:rPr>
          <w:i/>
          <w:iCs/>
          <w:szCs w:val="24"/>
        </w:rPr>
        <w:t>Public Health Nutrition</w:t>
      </w:r>
      <w:r>
        <w:rPr>
          <w:szCs w:val="24"/>
        </w:rPr>
        <w:t xml:space="preserve"> </w:t>
      </w:r>
      <w:r>
        <w:rPr>
          <w:b/>
          <w:bCs/>
          <w:szCs w:val="24"/>
        </w:rPr>
        <w:t>15</w:t>
      </w:r>
      <w:r>
        <w:rPr>
          <w:szCs w:val="24"/>
        </w:rPr>
        <w:t>, 725–737 (2012).</w:t>
      </w:r>
    </w:p>
    <w:p w14:paraId="129D7F9E" w14:textId="77777777" w:rsidR="00BB7752" w:rsidRDefault="00BB7752" w:rsidP="00BB7752">
      <w:pPr>
        <w:pStyle w:val="Bibliography"/>
        <w:spacing w:line="276" w:lineRule="auto"/>
        <w:rPr>
          <w:szCs w:val="24"/>
        </w:rPr>
      </w:pPr>
      <w:r>
        <w:rPr>
          <w:szCs w:val="24"/>
        </w:rPr>
        <w:t>23.</w:t>
      </w:r>
      <w:r>
        <w:rPr>
          <w:szCs w:val="24"/>
        </w:rPr>
        <w:tab/>
        <w:t xml:space="preserve">Global BMI Mortality Collaboration </w:t>
      </w:r>
      <w:r>
        <w:rPr>
          <w:i/>
          <w:iCs/>
          <w:szCs w:val="24"/>
        </w:rPr>
        <w:t>et al.</w:t>
      </w:r>
      <w:r>
        <w:rPr>
          <w:szCs w:val="24"/>
        </w:rPr>
        <w:t xml:space="preserve"> Body-mass index and all-cause mortality: individual-participant-data meta-analysis of 239 prospective studies in four continents. </w:t>
      </w:r>
      <w:r>
        <w:rPr>
          <w:i/>
          <w:iCs/>
          <w:szCs w:val="24"/>
        </w:rPr>
        <w:t>The Lancet</w:t>
      </w:r>
      <w:r>
        <w:rPr>
          <w:szCs w:val="24"/>
        </w:rPr>
        <w:t xml:space="preserve"> </w:t>
      </w:r>
      <w:r>
        <w:rPr>
          <w:b/>
          <w:bCs/>
          <w:szCs w:val="24"/>
        </w:rPr>
        <w:t>388</w:t>
      </w:r>
      <w:r>
        <w:rPr>
          <w:szCs w:val="24"/>
        </w:rPr>
        <w:t>, 776–86 (2016).</w:t>
      </w:r>
    </w:p>
    <w:p w14:paraId="3F358E11" w14:textId="77777777" w:rsidR="00BB7752" w:rsidRDefault="00BB7752" w:rsidP="00BB7752">
      <w:pPr>
        <w:pStyle w:val="Bibliography"/>
        <w:spacing w:line="276" w:lineRule="auto"/>
        <w:rPr>
          <w:szCs w:val="24"/>
        </w:rPr>
      </w:pPr>
      <w:r>
        <w:rPr>
          <w:szCs w:val="24"/>
        </w:rPr>
        <w:t>24.</w:t>
      </w:r>
      <w:r>
        <w:rPr>
          <w:szCs w:val="24"/>
        </w:rPr>
        <w:tab/>
        <w:t xml:space="preserve">Singh, G. M. </w:t>
      </w:r>
      <w:r>
        <w:rPr>
          <w:i/>
          <w:iCs/>
          <w:szCs w:val="24"/>
        </w:rPr>
        <w:t>et al.</w:t>
      </w:r>
      <w:r>
        <w:rPr>
          <w:szCs w:val="24"/>
        </w:rPr>
        <w:t xml:space="preserve"> The Age-Specific Quantitative Effects of Metabolic Risk Factors on Cardiovascular Diseases and Diabetes: A Pooled Analysis. </w:t>
      </w:r>
      <w:r>
        <w:rPr>
          <w:i/>
          <w:iCs/>
          <w:szCs w:val="24"/>
        </w:rPr>
        <w:t>PLOS ONE</w:t>
      </w:r>
      <w:r>
        <w:rPr>
          <w:szCs w:val="24"/>
        </w:rPr>
        <w:t xml:space="preserve"> </w:t>
      </w:r>
      <w:r>
        <w:rPr>
          <w:b/>
          <w:bCs/>
          <w:szCs w:val="24"/>
        </w:rPr>
        <w:t>8</w:t>
      </w:r>
      <w:r>
        <w:rPr>
          <w:szCs w:val="24"/>
        </w:rPr>
        <w:t>, e65174 (2013).</w:t>
      </w:r>
    </w:p>
    <w:p w14:paraId="0497E876" w14:textId="77777777" w:rsidR="00BB7752" w:rsidRDefault="00BB7752" w:rsidP="00BB7752">
      <w:pPr>
        <w:pStyle w:val="Bibliography"/>
        <w:spacing w:line="276" w:lineRule="auto"/>
        <w:rPr>
          <w:szCs w:val="24"/>
        </w:rPr>
      </w:pPr>
      <w:r>
        <w:rPr>
          <w:szCs w:val="24"/>
        </w:rPr>
        <w:t>25.</w:t>
      </w:r>
      <w:r>
        <w:rPr>
          <w:szCs w:val="24"/>
        </w:rPr>
        <w:tab/>
        <w:t xml:space="preserve">GBD 2017 Risk Factor Collaborators </w:t>
      </w:r>
      <w:r>
        <w:rPr>
          <w:i/>
          <w:iCs/>
          <w:szCs w:val="24"/>
        </w:rPr>
        <w:t>et al.</w:t>
      </w:r>
      <w:r>
        <w:rPr>
          <w:szCs w:val="24"/>
        </w:rPr>
        <w:t xml:space="preserve"> Global, regional, and national comparative risk assessment of 84 behavioural, environmental and occupational, and metabolic risks or clusters of risks for 195 countries and territories, 1990-2017: a systematic analysis for the Global Burden of Disease Stu. </w:t>
      </w:r>
      <w:r>
        <w:rPr>
          <w:i/>
          <w:iCs/>
          <w:szCs w:val="24"/>
        </w:rPr>
        <w:t>Lancet</w:t>
      </w:r>
      <w:r>
        <w:rPr>
          <w:szCs w:val="24"/>
        </w:rPr>
        <w:t xml:space="preserve"> </w:t>
      </w:r>
      <w:r>
        <w:rPr>
          <w:b/>
          <w:bCs/>
          <w:szCs w:val="24"/>
        </w:rPr>
        <w:t>392</w:t>
      </w:r>
      <w:r>
        <w:rPr>
          <w:szCs w:val="24"/>
        </w:rPr>
        <w:t>, 1923–1994 (2018).</w:t>
      </w:r>
    </w:p>
    <w:p w14:paraId="52BDB8E1" w14:textId="77777777" w:rsidR="00BB7752" w:rsidRDefault="00BB7752" w:rsidP="00BB7752">
      <w:pPr>
        <w:pStyle w:val="Bibliography"/>
        <w:spacing w:line="276" w:lineRule="auto"/>
        <w:rPr>
          <w:szCs w:val="24"/>
        </w:rPr>
      </w:pPr>
      <w:r>
        <w:rPr>
          <w:szCs w:val="24"/>
        </w:rPr>
        <w:t>26.</w:t>
      </w:r>
      <w:r>
        <w:rPr>
          <w:szCs w:val="24"/>
        </w:rPr>
        <w:tab/>
        <w:t xml:space="preserve">Micha, R. </w:t>
      </w:r>
      <w:r>
        <w:rPr>
          <w:i/>
          <w:iCs/>
          <w:szCs w:val="24"/>
        </w:rPr>
        <w:t>et al.</w:t>
      </w:r>
      <w:r>
        <w:rPr>
          <w:szCs w:val="24"/>
        </w:rPr>
        <w:t xml:space="preserve"> Etiologic effects and optimal intakes of foods and nutrients for risk of cardiovascular diseases and diabetes: Systematic reviews and meta-analyses from the Nutrition and Chronic Diseases Expert Group (NutriCoDE). </w:t>
      </w:r>
      <w:r>
        <w:rPr>
          <w:i/>
          <w:iCs/>
          <w:szCs w:val="24"/>
        </w:rPr>
        <w:t>PLOS ONE</w:t>
      </w:r>
      <w:r>
        <w:rPr>
          <w:szCs w:val="24"/>
        </w:rPr>
        <w:t xml:space="preserve"> </w:t>
      </w:r>
      <w:r>
        <w:rPr>
          <w:b/>
          <w:bCs/>
          <w:szCs w:val="24"/>
        </w:rPr>
        <w:t>12</w:t>
      </w:r>
      <w:r>
        <w:rPr>
          <w:szCs w:val="24"/>
        </w:rPr>
        <w:t>, e0175149 (2017).</w:t>
      </w:r>
    </w:p>
    <w:p w14:paraId="536A6A8D" w14:textId="77777777" w:rsidR="00BB7752" w:rsidRDefault="00BB7752" w:rsidP="00BB7752">
      <w:pPr>
        <w:pStyle w:val="Bibliography"/>
        <w:spacing w:line="276" w:lineRule="auto"/>
        <w:rPr>
          <w:szCs w:val="24"/>
        </w:rPr>
      </w:pPr>
      <w:r>
        <w:rPr>
          <w:szCs w:val="24"/>
        </w:rPr>
        <w:t>27.</w:t>
      </w:r>
      <w:r>
        <w:rPr>
          <w:szCs w:val="24"/>
        </w:rPr>
        <w:tab/>
        <w:t xml:space="preserve">GBD 2017 Diet Collaborators </w:t>
      </w:r>
      <w:r>
        <w:rPr>
          <w:i/>
          <w:iCs/>
          <w:szCs w:val="24"/>
        </w:rPr>
        <w:t>et al.</w:t>
      </w:r>
      <w:r>
        <w:rPr>
          <w:szCs w:val="24"/>
        </w:rPr>
        <w:t xml:space="preserve"> Health effects of dietary risks in 195 countries, 1990-2017: a systematic analysis for the Global Burden of Disease Study 2017. </w:t>
      </w:r>
      <w:r>
        <w:rPr>
          <w:i/>
          <w:iCs/>
          <w:szCs w:val="24"/>
        </w:rPr>
        <w:t>The Lancet</w:t>
      </w:r>
      <w:r>
        <w:rPr>
          <w:szCs w:val="24"/>
        </w:rPr>
        <w:t xml:space="preserve"> </w:t>
      </w:r>
      <w:r>
        <w:rPr>
          <w:b/>
          <w:bCs/>
          <w:szCs w:val="24"/>
        </w:rPr>
        <w:t>0</w:t>
      </w:r>
      <w:r>
        <w:rPr>
          <w:szCs w:val="24"/>
        </w:rPr>
        <w:t>, (2019).</w:t>
      </w:r>
    </w:p>
    <w:p w14:paraId="348682C2" w14:textId="77777777" w:rsidR="00BB7752" w:rsidRDefault="00BB7752" w:rsidP="00BB7752">
      <w:pPr>
        <w:pStyle w:val="Bibliography"/>
        <w:spacing w:line="276" w:lineRule="auto"/>
        <w:rPr>
          <w:szCs w:val="24"/>
        </w:rPr>
      </w:pPr>
      <w:r>
        <w:rPr>
          <w:szCs w:val="24"/>
        </w:rPr>
        <w:t>28.</w:t>
      </w:r>
      <w:r>
        <w:rPr>
          <w:szCs w:val="24"/>
        </w:rPr>
        <w:tab/>
        <w:t xml:space="preserve">Schwingshackl, L. </w:t>
      </w:r>
      <w:r>
        <w:rPr>
          <w:i/>
          <w:iCs/>
          <w:szCs w:val="24"/>
        </w:rPr>
        <w:t>et al.</w:t>
      </w:r>
      <w:r>
        <w:rPr>
          <w:szCs w:val="24"/>
        </w:rPr>
        <w:t xml:space="preserve"> Perspective: NutriGrade: A Scoring System to Assess and Judge the Meta-Evidence of Randomized Controlled Trials and Cohort Studies in Nutrition Research. </w:t>
      </w:r>
      <w:r>
        <w:rPr>
          <w:i/>
          <w:iCs/>
          <w:szCs w:val="24"/>
        </w:rPr>
        <w:t>Advances in Nutrition: An International Review Journal</w:t>
      </w:r>
      <w:r>
        <w:rPr>
          <w:szCs w:val="24"/>
        </w:rPr>
        <w:t xml:space="preserve"> </w:t>
      </w:r>
      <w:r>
        <w:rPr>
          <w:b/>
          <w:bCs/>
          <w:szCs w:val="24"/>
        </w:rPr>
        <w:t>7</w:t>
      </w:r>
      <w:r>
        <w:rPr>
          <w:szCs w:val="24"/>
        </w:rPr>
        <w:t>, 994–1004 (2016).</w:t>
      </w:r>
    </w:p>
    <w:p w14:paraId="275316A8" w14:textId="77777777" w:rsidR="00BB7752" w:rsidRDefault="00BB7752" w:rsidP="00BB7752">
      <w:pPr>
        <w:pStyle w:val="Bibliography"/>
        <w:spacing w:line="276" w:lineRule="auto"/>
        <w:rPr>
          <w:szCs w:val="24"/>
        </w:rPr>
      </w:pPr>
      <w:r>
        <w:rPr>
          <w:szCs w:val="24"/>
        </w:rPr>
        <w:t>29.</w:t>
      </w:r>
      <w:r>
        <w:rPr>
          <w:szCs w:val="24"/>
        </w:rPr>
        <w:tab/>
        <w:t>World Cancer Research Fund/American Institute for Cancer Research. Diet, Nutrition, Physical Activity and Cancer: A Global Perspective. Continuous Update Project Expert Report. (2018).</w:t>
      </w:r>
    </w:p>
    <w:p w14:paraId="6F8C6778" w14:textId="3D59FC53" w:rsidR="00B36837" w:rsidRPr="006E2B85" w:rsidRDefault="00B36837" w:rsidP="00BB7752">
      <w:pPr>
        <w:pStyle w:val="Bibliography"/>
        <w:spacing w:line="276" w:lineRule="auto"/>
        <w:rPr>
          <w:b/>
          <w:bCs/>
        </w:rPr>
      </w:pPr>
      <w:r>
        <w:rPr>
          <w:b/>
          <w:bCs/>
        </w:rPr>
        <w:fldChar w:fldCharType="end"/>
      </w:r>
      <w:bookmarkEnd w:id="13"/>
      <w:bookmarkEnd w:id="18"/>
    </w:p>
    <w:sectPr w:rsidR="00B36837" w:rsidRPr="006E2B85" w:rsidSect="00E97167">
      <w:headerReference w:type="default" r:id="rId16"/>
      <w:footerReference w:type="default" r:id="rId17"/>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E44C4" w14:textId="77777777" w:rsidR="00F5355F" w:rsidRDefault="00F5355F">
      <w:r>
        <w:separator/>
      </w:r>
    </w:p>
  </w:endnote>
  <w:endnote w:type="continuationSeparator" w:id="0">
    <w:p w14:paraId="0A4B7B00" w14:textId="77777777" w:rsidR="00F5355F" w:rsidRDefault="00F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EA3E" w14:textId="32DFF1A6" w:rsidR="002E5749" w:rsidRDefault="002E5749">
    <w:pPr>
      <w:pStyle w:val="Footer"/>
      <w:jc w:val="right"/>
    </w:pPr>
    <w:r>
      <w:fldChar w:fldCharType="begin"/>
    </w:r>
    <w:r>
      <w:instrText xml:space="preserve"> PAGE   \* MERGEFORMAT </w:instrText>
    </w:r>
    <w:r>
      <w:fldChar w:fldCharType="separate"/>
    </w:r>
    <w:r>
      <w:rPr>
        <w:noProof/>
      </w:rPr>
      <w:t>3</w:t>
    </w:r>
    <w:r>
      <w:fldChar w:fldCharType="end"/>
    </w:r>
  </w:p>
  <w:p w14:paraId="211F3547" w14:textId="77777777" w:rsidR="002E5749" w:rsidRDefault="002E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65D67" w14:textId="77777777" w:rsidR="00F5355F" w:rsidRDefault="00F5355F">
      <w:r>
        <w:separator/>
      </w:r>
    </w:p>
  </w:footnote>
  <w:footnote w:type="continuationSeparator" w:id="0">
    <w:p w14:paraId="4BFF1406" w14:textId="77777777" w:rsidR="00F5355F" w:rsidRDefault="00F5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1F95" w14:textId="77777777" w:rsidR="002E5749" w:rsidRPr="005001AC" w:rsidRDefault="002E5749" w:rsidP="005001AC">
    <w:pPr>
      <w:jc w:val="right"/>
      <w:rPr>
        <w:sz w:val="20"/>
      </w:rPr>
    </w:pPr>
  </w:p>
  <w:p w14:paraId="3CD866EE" w14:textId="77777777" w:rsidR="002E5749" w:rsidRDefault="002E57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D11B58"/>
    <w:multiLevelType w:val="hybridMultilevel"/>
    <w:tmpl w:val="05CA72B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65EBD"/>
    <w:rsid w:val="00083B44"/>
    <w:rsid w:val="000850DC"/>
    <w:rsid w:val="000A2DA1"/>
    <w:rsid w:val="000C2771"/>
    <w:rsid w:val="000D46F4"/>
    <w:rsid w:val="000F0DCE"/>
    <w:rsid w:val="000F6BE3"/>
    <w:rsid w:val="00112C5B"/>
    <w:rsid w:val="00114193"/>
    <w:rsid w:val="00115A38"/>
    <w:rsid w:val="0011687B"/>
    <w:rsid w:val="00124F82"/>
    <w:rsid w:val="0016337A"/>
    <w:rsid w:val="00164269"/>
    <w:rsid w:val="00165C6B"/>
    <w:rsid w:val="00190FD1"/>
    <w:rsid w:val="001A1BDE"/>
    <w:rsid w:val="001F0876"/>
    <w:rsid w:val="001F167C"/>
    <w:rsid w:val="001F5E91"/>
    <w:rsid w:val="002077B9"/>
    <w:rsid w:val="00231111"/>
    <w:rsid w:val="00262D72"/>
    <w:rsid w:val="00294FBB"/>
    <w:rsid w:val="002A2E22"/>
    <w:rsid w:val="002C030F"/>
    <w:rsid w:val="002D1A79"/>
    <w:rsid w:val="002E5749"/>
    <w:rsid w:val="002E7EC5"/>
    <w:rsid w:val="00331D75"/>
    <w:rsid w:val="00336DF0"/>
    <w:rsid w:val="00355362"/>
    <w:rsid w:val="00363E44"/>
    <w:rsid w:val="003663B8"/>
    <w:rsid w:val="003873C1"/>
    <w:rsid w:val="00395E86"/>
    <w:rsid w:val="003A2FD8"/>
    <w:rsid w:val="003B40E6"/>
    <w:rsid w:val="003D2324"/>
    <w:rsid w:val="003E74FB"/>
    <w:rsid w:val="003F6E14"/>
    <w:rsid w:val="00405336"/>
    <w:rsid w:val="00416662"/>
    <w:rsid w:val="004375D4"/>
    <w:rsid w:val="004571D5"/>
    <w:rsid w:val="00461D81"/>
    <w:rsid w:val="0046356B"/>
    <w:rsid w:val="00477182"/>
    <w:rsid w:val="004779CB"/>
    <w:rsid w:val="00481D83"/>
    <w:rsid w:val="004A0869"/>
    <w:rsid w:val="004B5495"/>
    <w:rsid w:val="004E42D8"/>
    <w:rsid w:val="004E7BA2"/>
    <w:rsid w:val="004F7EDF"/>
    <w:rsid w:val="005001AC"/>
    <w:rsid w:val="00527D71"/>
    <w:rsid w:val="005520A8"/>
    <w:rsid w:val="005607DD"/>
    <w:rsid w:val="005922C5"/>
    <w:rsid w:val="005A558C"/>
    <w:rsid w:val="005B09A0"/>
    <w:rsid w:val="005B2674"/>
    <w:rsid w:val="005B6F90"/>
    <w:rsid w:val="005E28F8"/>
    <w:rsid w:val="005E6513"/>
    <w:rsid w:val="00651114"/>
    <w:rsid w:val="006614B9"/>
    <w:rsid w:val="00664560"/>
    <w:rsid w:val="00670299"/>
    <w:rsid w:val="00691985"/>
    <w:rsid w:val="006A1B64"/>
    <w:rsid w:val="006E2B85"/>
    <w:rsid w:val="007108F5"/>
    <w:rsid w:val="00713E5B"/>
    <w:rsid w:val="007402FC"/>
    <w:rsid w:val="007411A1"/>
    <w:rsid w:val="00772A7E"/>
    <w:rsid w:val="0078620D"/>
    <w:rsid w:val="00793072"/>
    <w:rsid w:val="007C4229"/>
    <w:rsid w:val="00807D35"/>
    <w:rsid w:val="008218C4"/>
    <w:rsid w:val="00867A98"/>
    <w:rsid w:val="00870867"/>
    <w:rsid w:val="00885C9B"/>
    <w:rsid w:val="008A1ECE"/>
    <w:rsid w:val="008A7375"/>
    <w:rsid w:val="008B0F73"/>
    <w:rsid w:val="008D5D2A"/>
    <w:rsid w:val="008F3893"/>
    <w:rsid w:val="00914B63"/>
    <w:rsid w:val="009354F3"/>
    <w:rsid w:val="009447DC"/>
    <w:rsid w:val="00961BA5"/>
    <w:rsid w:val="009743A9"/>
    <w:rsid w:val="009A5287"/>
    <w:rsid w:val="009B2AC5"/>
    <w:rsid w:val="009B7984"/>
    <w:rsid w:val="009D111D"/>
    <w:rsid w:val="009F4BED"/>
    <w:rsid w:val="009F7D93"/>
    <w:rsid w:val="00A05BAC"/>
    <w:rsid w:val="00A14459"/>
    <w:rsid w:val="00A3403B"/>
    <w:rsid w:val="00A41B0F"/>
    <w:rsid w:val="00A51A12"/>
    <w:rsid w:val="00A627D4"/>
    <w:rsid w:val="00A74DA2"/>
    <w:rsid w:val="00AB105E"/>
    <w:rsid w:val="00AB399E"/>
    <w:rsid w:val="00AC59D0"/>
    <w:rsid w:val="00AD16B1"/>
    <w:rsid w:val="00AD499C"/>
    <w:rsid w:val="00AE10DF"/>
    <w:rsid w:val="00B36837"/>
    <w:rsid w:val="00B36869"/>
    <w:rsid w:val="00B43B31"/>
    <w:rsid w:val="00B47CFA"/>
    <w:rsid w:val="00B57F00"/>
    <w:rsid w:val="00B77B2A"/>
    <w:rsid w:val="00B82C22"/>
    <w:rsid w:val="00B93DBA"/>
    <w:rsid w:val="00B9440A"/>
    <w:rsid w:val="00BA55C9"/>
    <w:rsid w:val="00BB2D2A"/>
    <w:rsid w:val="00BB7752"/>
    <w:rsid w:val="00BC3E04"/>
    <w:rsid w:val="00BD0223"/>
    <w:rsid w:val="00BD58CF"/>
    <w:rsid w:val="00BF0C92"/>
    <w:rsid w:val="00C04CC1"/>
    <w:rsid w:val="00C17F73"/>
    <w:rsid w:val="00C4096C"/>
    <w:rsid w:val="00C4280C"/>
    <w:rsid w:val="00C4348F"/>
    <w:rsid w:val="00C50C6D"/>
    <w:rsid w:val="00C600D9"/>
    <w:rsid w:val="00C92B22"/>
    <w:rsid w:val="00CC1384"/>
    <w:rsid w:val="00CD3720"/>
    <w:rsid w:val="00CF1848"/>
    <w:rsid w:val="00CF5C2F"/>
    <w:rsid w:val="00D04BCF"/>
    <w:rsid w:val="00D143D9"/>
    <w:rsid w:val="00D5511B"/>
    <w:rsid w:val="00D64C07"/>
    <w:rsid w:val="00D73C22"/>
    <w:rsid w:val="00D766F1"/>
    <w:rsid w:val="00DD4A6B"/>
    <w:rsid w:val="00DF5541"/>
    <w:rsid w:val="00E043A1"/>
    <w:rsid w:val="00E257C8"/>
    <w:rsid w:val="00E41512"/>
    <w:rsid w:val="00E4519A"/>
    <w:rsid w:val="00E853D5"/>
    <w:rsid w:val="00E97167"/>
    <w:rsid w:val="00E9773B"/>
    <w:rsid w:val="00EA6F42"/>
    <w:rsid w:val="00EC13A3"/>
    <w:rsid w:val="00EC7C85"/>
    <w:rsid w:val="00F05584"/>
    <w:rsid w:val="00F125EE"/>
    <w:rsid w:val="00F12E98"/>
    <w:rsid w:val="00F22029"/>
    <w:rsid w:val="00F515FB"/>
    <w:rsid w:val="00F5355F"/>
    <w:rsid w:val="00F551AA"/>
    <w:rsid w:val="00F630EA"/>
    <w:rsid w:val="00F7007E"/>
    <w:rsid w:val="00F73193"/>
    <w:rsid w:val="00F74F95"/>
    <w:rsid w:val="00F80705"/>
    <w:rsid w:val="00FA1481"/>
    <w:rsid w:val="00FE2494"/>
    <w:rsid w:val="00FF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7622"/>
  <w15:docId w15:val="{EAC22EA6-1BB9-493A-BA9A-8FFD465D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pPr>
      <w:tabs>
        <w:tab w:val="left" w:pos="384"/>
      </w:tabs>
      <w:spacing w:line="480" w:lineRule="auto"/>
      <w:ind w:left="384" w:hanging="384"/>
    </w:pPr>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link w:val="NoSpacingChar"/>
    <w:uiPriority w:val="1"/>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uiPriority w:val="39"/>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unhideWhenUsed/>
    <w:qFormat/>
    <w:rsid w:val="00405336"/>
    <w:pPr>
      <w:outlineLvl w:val="9"/>
    </w:pPr>
    <w:rPr>
      <w:rFonts w:ascii="Cambria" w:hAnsi="Cambria"/>
      <w:sz w:val="32"/>
      <w:szCs w:val="32"/>
    </w:rPr>
  </w:style>
  <w:style w:type="character" w:styleId="Hyperlink">
    <w:name w:val="Hyperlink"/>
    <w:uiPriority w:val="99"/>
    <w:rsid w:val="007402FC"/>
    <w:rPr>
      <w:color w:val="0000FF"/>
      <w:u w:val="single"/>
    </w:rPr>
  </w:style>
  <w:style w:type="character" w:styleId="FollowedHyperlink">
    <w:name w:val="FollowedHyperlink"/>
    <w:semiHidden/>
    <w:unhideWhenUsed/>
    <w:rsid w:val="00793072"/>
    <w:rPr>
      <w:color w:val="800080"/>
      <w:u w:val="single"/>
    </w:rPr>
  </w:style>
  <w:style w:type="character" w:styleId="CommentReference">
    <w:name w:val="annotation reference"/>
    <w:uiPriority w:val="99"/>
    <w:semiHidden/>
    <w:unhideWhenUsed/>
    <w:rsid w:val="00793072"/>
    <w:rPr>
      <w:sz w:val="16"/>
      <w:szCs w:val="16"/>
    </w:rPr>
  </w:style>
  <w:style w:type="character" w:styleId="UnresolvedMention">
    <w:name w:val="Unresolved Mention"/>
    <w:basedOn w:val="DefaultParagraphFont"/>
    <w:uiPriority w:val="99"/>
    <w:semiHidden/>
    <w:unhideWhenUsed/>
    <w:rsid w:val="008218C4"/>
    <w:rPr>
      <w:color w:val="808080"/>
      <w:shd w:val="clear" w:color="auto" w:fill="E6E6E6"/>
    </w:rPr>
  </w:style>
  <w:style w:type="table" w:styleId="TableGrid">
    <w:name w:val="Table Grid"/>
    <w:basedOn w:val="TableNormal"/>
    <w:rsid w:val="00C42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aser">
    <w:name w:val="Teaser"/>
    <w:basedOn w:val="Normal"/>
    <w:rsid w:val="005B2674"/>
    <w:pPr>
      <w:spacing w:before="120"/>
    </w:pPr>
    <w:rPr>
      <w:szCs w:val="24"/>
    </w:rPr>
  </w:style>
  <w:style w:type="character" w:customStyle="1" w:styleId="NoSpacingChar">
    <w:name w:val="No Spacing Char"/>
    <w:link w:val="NoSpacing"/>
    <w:uiPriority w:val="1"/>
    <w:rsid w:val="007862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157342">
      <w:bodyDiv w:val="1"/>
      <w:marLeft w:val="0"/>
      <w:marRight w:val="0"/>
      <w:marTop w:val="0"/>
      <w:marBottom w:val="0"/>
      <w:divBdr>
        <w:top w:val="none" w:sz="0" w:space="0" w:color="auto"/>
        <w:left w:val="none" w:sz="0" w:space="0" w:color="auto"/>
        <w:bottom w:val="none" w:sz="0" w:space="0" w:color="auto"/>
        <w:right w:val="none" w:sz="0" w:space="0" w:color="auto"/>
      </w:divBdr>
    </w:div>
    <w:div w:id="540283495">
      <w:bodyDiv w:val="1"/>
      <w:marLeft w:val="0"/>
      <w:marRight w:val="0"/>
      <w:marTop w:val="0"/>
      <w:marBottom w:val="0"/>
      <w:divBdr>
        <w:top w:val="none" w:sz="0" w:space="0" w:color="auto"/>
        <w:left w:val="none" w:sz="0" w:space="0" w:color="auto"/>
        <w:bottom w:val="none" w:sz="0" w:space="0" w:color="auto"/>
        <w:right w:val="none" w:sz="0" w:space="0" w:color="auto"/>
      </w:divBdr>
    </w:div>
    <w:div w:id="1611859623">
      <w:bodyDiv w:val="1"/>
      <w:marLeft w:val="0"/>
      <w:marRight w:val="0"/>
      <w:marTop w:val="0"/>
      <w:marBottom w:val="0"/>
      <w:divBdr>
        <w:top w:val="none" w:sz="0" w:space="0" w:color="auto"/>
        <w:left w:val="none" w:sz="0" w:space="0" w:color="auto"/>
        <w:bottom w:val="none" w:sz="0" w:space="0" w:color="auto"/>
        <w:right w:val="none" w:sz="0" w:space="0" w:color="auto"/>
      </w:divBdr>
    </w:div>
    <w:div w:id="17991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A1D5-D56E-4B90-A18A-DD668B84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46292</Words>
  <Characters>263870</Characters>
  <Application>Microsoft Office Word</Application>
  <DocSecurity>0</DocSecurity>
  <Lines>2198</Lines>
  <Paragraphs>619</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309543</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Marco Springmann</cp:lastModifiedBy>
  <cp:revision>2</cp:revision>
  <cp:lastPrinted>2018-01-11T19:53:00Z</cp:lastPrinted>
  <dcterms:created xsi:type="dcterms:W3CDTF">2020-12-15T13:16:00Z</dcterms:created>
  <dcterms:modified xsi:type="dcterms:W3CDTF">2020-12-15T13:16:00Z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id="9UZPP0Go"/&gt;&lt;style id="http://www.zotero.org/styles/nature" hasBibliography="1" bibliographyStyleHasBeenSet="1"/&gt;&lt;prefs&gt;&lt;pref name="fieldType" value="Field"/&gt;&lt;pref name="dontAskDelayCitationUpdate</vt:lpwstr>
  </property>
  <property fmtid="{D5CDD505-2E9C-101B-9397-08002B2CF9AE}" pid="3" name="ZOTERO_PREF_2">
    <vt:lpwstr>s" value="true"/&gt;&lt;/prefs&gt;&lt;/data&gt;</vt:lpwstr>
  </property>
</Properties>
</file>