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27" w:rsidRPr="00D8259C" w:rsidRDefault="00F40227" w:rsidP="00F4022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D8259C">
        <w:rPr>
          <w:rFonts w:ascii="Times New Roman" w:hAnsi="Times New Roman" w:cs="Times New Roman"/>
          <w:b/>
          <w:sz w:val="24"/>
          <w:szCs w:val="24"/>
          <w:lang w:val="en-US"/>
        </w:rPr>
        <w:t>Legend for Figures</w:t>
      </w:r>
    </w:p>
    <w:bookmarkEnd w:id="0"/>
    <w:p w:rsidR="00F40227" w:rsidRPr="00D8259C" w:rsidRDefault="00F40227" w:rsidP="00F4022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59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1 </w:t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D8259C">
        <w:rPr>
          <w:rFonts w:ascii="Times New Roman" w:hAnsi="Times New Roman" w:cs="Times New Roman"/>
          <w:i/>
          <w:iCs/>
          <w:sz w:val="24"/>
          <w:szCs w:val="24"/>
          <w:lang w:val="en-US"/>
        </w:rPr>
        <w:t>Study Design and Methods</w:t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. This is a prospective non-interventional observational study carried out between March, 2017 and July, 2017 in </w:t>
      </w:r>
      <w:proofErr w:type="spellStart"/>
      <w:r w:rsidRPr="00D8259C">
        <w:rPr>
          <w:rFonts w:ascii="Times New Roman" w:hAnsi="Times New Roman" w:cs="Times New Roman"/>
          <w:sz w:val="24"/>
          <w:szCs w:val="24"/>
          <w:lang w:val="en-US"/>
        </w:rPr>
        <w:t>Vitória</w:t>
      </w:r>
      <w:proofErr w:type="spellEnd"/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259C">
        <w:rPr>
          <w:rFonts w:ascii="Times New Roman" w:hAnsi="Times New Roman" w:cs="Times New Roman"/>
          <w:sz w:val="24"/>
          <w:szCs w:val="24"/>
          <w:lang w:val="en-US"/>
        </w:rPr>
        <w:t>Espírito</w:t>
      </w:r>
      <w:proofErr w:type="spellEnd"/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Santo, Brazil. A total of 140 patients with Autoimmune Disease patients (AID) including: Rheumatoid Arthritis (RA, n=38), </w:t>
      </w:r>
      <w:proofErr w:type="spellStart"/>
      <w:r w:rsidRPr="00D8259C">
        <w:rPr>
          <w:rFonts w:ascii="Times New Roman" w:hAnsi="Times New Roman" w:cs="Times New Roman"/>
          <w:sz w:val="24"/>
          <w:szCs w:val="24"/>
          <w:lang w:val="en-US"/>
        </w:rPr>
        <w:t>Spondyloarthritis</w:t>
      </w:r>
      <w:proofErr w:type="spellEnd"/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8259C">
        <w:rPr>
          <w:rFonts w:ascii="Times New Roman" w:hAnsi="Times New Roman" w:cs="Times New Roman"/>
          <w:sz w:val="24"/>
          <w:szCs w:val="24"/>
          <w:lang w:val="en-US"/>
        </w:rPr>
        <w:t>SpA</w:t>
      </w:r>
      <w:proofErr w:type="spellEnd"/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, n=51), Systemic Lupus Erythematosus (SLE, n=21) and </w:t>
      </w:r>
      <w:proofErr w:type="spellStart"/>
      <w:r w:rsidRPr="00D8259C">
        <w:rPr>
          <w:rFonts w:ascii="Times New Roman" w:hAnsi="Times New Roman" w:cs="Times New Roman"/>
          <w:sz w:val="24"/>
          <w:szCs w:val="24"/>
          <w:lang w:val="en-US"/>
        </w:rPr>
        <w:t>Sjögren’s</w:t>
      </w:r>
      <w:proofErr w:type="spellEnd"/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Syndrome (SS, n=30). A group Healthy Controls without diagnosis of autoimmune diseases (HC, n=21) was also included. All participants received the primary dose of 17DD-YF vaccine (Bio-</w:t>
      </w:r>
      <w:proofErr w:type="spellStart"/>
      <w:r w:rsidRPr="00D8259C">
        <w:rPr>
          <w:rFonts w:ascii="Times New Roman" w:hAnsi="Times New Roman" w:cs="Times New Roman"/>
          <w:sz w:val="24"/>
          <w:szCs w:val="24"/>
          <w:lang w:val="en-US"/>
        </w:rPr>
        <w:t>Manguinhos</w:t>
      </w:r>
      <w:proofErr w:type="spellEnd"/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-FIOCRUZ) during the 2017 Brazilian YF vaccination campaign. Detailed inclusion and exclusion criteria are provided in Methods. Blood samples were collected from each participant at distinct time points, including: D0; Day3-4; Day5-6; Day7; Day14-D28. Serum samples were used for laboratorial analysis, including: YF-specific neutralizing antibodies analysis by Plaque Reduction Neutralizing Test (PRNT), YF viral </w:t>
      </w:r>
      <w:proofErr w:type="spellStart"/>
      <w:r w:rsidRPr="00D8259C">
        <w:rPr>
          <w:rFonts w:ascii="Times New Roman" w:hAnsi="Times New Roman" w:cs="Times New Roman"/>
          <w:sz w:val="24"/>
          <w:szCs w:val="24"/>
          <w:lang w:val="en-US"/>
        </w:rPr>
        <w:t>RNAnemia</w:t>
      </w:r>
      <w:proofErr w:type="spellEnd"/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(YF-Viremia) detection by quantitative real time PCR (</w:t>
      </w:r>
      <w:proofErr w:type="spellStart"/>
      <w:r w:rsidRPr="00D8259C">
        <w:rPr>
          <w:rFonts w:ascii="Times New Roman" w:hAnsi="Times New Roman" w:cs="Times New Roman"/>
          <w:sz w:val="24"/>
          <w:szCs w:val="24"/>
          <w:lang w:val="en-US"/>
        </w:rPr>
        <w:t>qRT</w:t>
      </w:r>
      <w:proofErr w:type="spellEnd"/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-PCR) and Serum Immunological Biomarkers quantification by </w:t>
      </w:r>
      <w:proofErr w:type="spellStart"/>
      <w:r w:rsidRPr="00D8259C">
        <w:rPr>
          <w:rFonts w:ascii="Times New Roman" w:hAnsi="Times New Roman" w:cs="Times New Roman"/>
          <w:sz w:val="24"/>
          <w:szCs w:val="24"/>
          <w:lang w:val="en-US"/>
        </w:rPr>
        <w:t>Luminex</w:t>
      </w:r>
      <w:proofErr w:type="spellEnd"/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Bio-</w:t>
      </w:r>
      <w:proofErr w:type="spellStart"/>
      <w:r w:rsidRPr="00D8259C">
        <w:rPr>
          <w:rFonts w:ascii="Times New Roman" w:hAnsi="Times New Roman" w:cs="Times New Roman"/>
          <w:sz w:val="24"/>
          <w:szCs w:val="24"/>
          <w:lang w:val="en-US"/>
        </w:rPr>
        <w:t>plex</w:t>
      </w:r>
      <w:proofErr w:type="spellEnd"/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assay.</w:t>
      </w:r>
    </w:p>
    <w:p w:rsidR="00F40227" w:rsidRPr="00D8259C" w:rsidRDefault="00F40227" w:rsidP="00F4022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0227" w:rsidRPr="00D8259C" w:rsidRDefault="00F40227" w:rsidP="00F4022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59C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2 –</w:t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59C">
        <w:rPr>
          <w:rFonts w:ascii="Times New Roman" w:hAnsi="Times New Roman" w:cs="Times New Roman"/>
          <w:i/>
          <w:sz w:val="24"/>
          <w:szCs w:val="24"/>
          <w:lang w:val="en-US"/>
        </w:rPr>
        <w:t>Timeline Kinetics of Serum Biomarkers in Patients with Autoimmune Disease Following Planned Primary 17DD-YF Vaccination.</w:t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Panoramic timeline kinetics of serum chemokines (CXCL8, CCL11, CCL3, CCL4, CCL2, CCL5, CXCL10), pro-inflammatory cytokines (IL-1β, IL-6, TNF-α, IL-12, IFN-γ, IL-15, IL-17), regulatory cytokines (IL-1Ra, IL-4, IL-5, IL-9, IL-10, IL-13), and growth factors (FGF-basic, PDGF, VEGF, G-CSF, GM-CSF, IL-2 and IL-7) in serum samples from Autoimmune Disease patients (AID, </w:t>
      </w:r>
      <w:r w:rsidRPr="00D8259C">
        <w:rPr>
          <w:noProof/>
          <w:lang w:val="en-US"/>
        </w:rPr>
        <w:drawing>
          <wp:inline distT="0" distB="0" distL="0" distR="0" wp14:anchorId="5DAD5327" wp14:editId="5D5BDE7A">
            <wp:extent cx="133350" cy="127000"/>
            <wp:effectExtent l="19050" t="0" r="0" b="0"/>
            <wp:docPr id="8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, n=140) and Healthy Controls (HC, </w:t>
      </w:r>
      <w:r w:rsidRPr="00D8259C">
        <w:rPr>
          <w:noProof/>
          <w:lang w:val="en-US"/>
        </w:rPr>
        <w:drawing>
          <wp:inline distT="0" distB="0" distL="0" distR="0" wp14:anchorId="2872C9F6" wp14:editId="56BA9B76">
            <wp:extent cx="127000" cy="127000"/>
            <wp:effectExtent l="0" t="0" r="6350" b="0"/>
            <wp:docPr id="3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, n=21). Measurements were carried out using the </w:t>
      </w:r>
      <w:proofErr w:type="spellStart"/>
      <w:r w:rsidRPr="00D8259C">
        <w:rPr>
          <w:rFonts w:ascii="Times New Roman" w:hAnsi="Times New Roman" w:cs="Times New Roman"/>
          <w:sz w:val="24"/>
          <w:szCs w:val="24"/>
          <w:lang w:val="en-US"/>
        </w:rPr>
        <w:t>Luminex</w:t>
      </w:r>
      <w:proofErr w:type="spellEnd"/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platform, according to manufacturer’s instructions as provided in Material and Methods. The results are expressed as </w:t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lastRenderedPageBreak/>
        <w:t>median baseline fold changes at each time point along the kinetic follow-up (D3-4, D5-6, D7 and D14-28) according to the paired sample collected at D0. Data analysis was performed considering the baseline fold value = 1.0 as the reference for decrease (&lt;1.0) or increase (&gt;1.0) in biomarker levels along the kinetic timeline.</w:t>
      </w:r>
    </w:p>
    <w:p w:rsidR="00F40227" w:rsidRPr="00D8259C" w:rsidRDefault="00F40227" w:rsidP="00F4022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0227" w:rsidRPr="00D8259C" w:rsidRDefault="00F40227" w:rsidP="00F4022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59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3 – </w:t>
      </w:r>
      <w:r w:rsidRPr="00D8259C">
        <w:rPr>
          <w:rFonts w:ascii="Times New Roman" w:hAnsi="Times New Roman" w:cs="Times New Roman"/>
          <w:i/>
          <w:sz w:val="24"/>
          <w:szCs w:val="24"/>
          <w:lang w:val="en-US"/>
        </w:rPr>
        <w:t>Timeline Kinetics of Serum Biomarkers in Patients with Autoimmune Disease According to the Neutralizing Antibody Status After Planned Primary 17DD-YF Vaccination.</w:t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" w:name="OLE_LINK1"/>
      <w:r w:rsidRPr="00D8259C">
        <w:rPr>
          <w:rFonts w:ascii="Times New Roman" w:hAnsi="Times New Roman" w:cs="Times New Roman"/>
          <w:sz w:val="24"/>
          <w:szCs w:val="24"/>
          <w:lang w:val="en-US"/>
        </w:rPr>
        <w:t>Panoramic timeline kinetics of serum chemokines (CXCL8, CCL11, CCL3, CCL4, CCL2, CCL5, CXCL10), pro-inflammatory cytokines (IL-1β, IL-6, TNF-α, IL-12, IFN-γ, IL-15, IL-17), regulatory cytokines (IL-1Ra, IL-4, IL-5, IL-9, IL-10, IL-13), and growth factors (FGF-basic, PDGF, VEGF, G-CSF, GM-CSF, IL-2 and IL-7) in serum samples from Autoimmune Disease patients, categorized according to the PRNT status after primary 17DD-YF vaccination: AID/PRNT(-) (</w:t>
      </w:r>
      <w:r w:rsidRPr="00D8259C">
        <w:rPr>
          <w:noProof/>
          <w:lang w:val="en-US"/>
        </w:rPr>
        <w:drawing>
          <wp:inline distT="0" distB="0" distL="0" distR="0" wp14:anchorId="4FEAE771" wp14:editId="01BDB145">
            <wp:extent cx="127000" cy="127000"/>
            <wp:effectExtent l="19050" t="0" r="6350" b="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, n=32</w:t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>) and AID/PRNT(+) (</w:t>
      </w:r>
      <w:r w:rsidRPr="00D8259C">
        <w:rPr>
          <w:noProof/>
          <w:lang w:val="en-US"/>
        </w:rPr>
        <w:drawing>
          <wp:inline distT="0" distB="0" distL="0" distR="0" wp14:anchorId="65466806" wp14:editId="5911A4B8">
            <wp:extent cx="127000" cy="127000"/>
            <wp:effectExtent l="19050" t="0" r="6350" b="0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, n=108). Measurements were carried out using the </w:t>
      </w:r>
      <w:proofErr w:type="spellStart"/>
      <w:r w:rsidRPr="00D8259C">
        <w:rPr>
          <w:rFonts w:ascii="Times New Roman" w:hAnsi="Times New Roman" w:cs="Times New Roman"/>
          <w:sz w:val="24"/>
          <w:szCs w:val="24"/>
          <w:lang w:val="en-US"/>
        </w:rPr>
        <w:t>Luminex</w:t>
      </w:r>
      <w:proofErr w:type="spellEnd"/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platform, according to manufacturer’s instructions as provided in Material and Methods. The results are expressed as median baseline fold changes at each time point along the kinetic follow-up (D3-4, D5-6, D7 and D14-28) according to the paired sample collected at D0. Data analysis was performed considering the baseline fold value = 1.0 as the reference for decrease (&lt;1.0) or increase (&gt;1.0) in biomarker levels along the kinetic timeline.</w:t>
      </w:r>
    </w:p>
    <w:bookmarkEnd w:id="1"/>
    <w:p w:rsidR="00F40227" w:rsidRPr="00D8259C" w:rsidRDefault="00F40227" w:rsidP="00F4022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0227" w:rsidRPr="00D8259C" w:rsidRDefault="00F40227" w:rsidP="00F4022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59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4 – </w:t>
      </w:r>
      <w:r w:rsidRPr="00D8259C">
        <w:rPr>
          <w:rFonts w:ascii="Times New Roman" w:hAnsi="Times New Roman" w:cs="Times New Roman"/>
          <w:i/>
          <w:sz w:val="24"/>
          <w:szCs w:val="24"/>
          <w:lang w:val="en-US"/>
        </w:rPr>
        <w:t>Baseline Profile of Serum Biomarkers in Patients with Autoimmune Disease According to the Neutralizing Antibody Status After Planned Primary 17DD-YF Vaccination.</w:t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Baseline levels of serum chemokines (CXCL8, CCL11, CCL3, CCL4, CCL2, CCL5, CXCL10), </w:t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lastRenderedPageBreak/>
        <w:t>pro-inflammatory cytokines (IL-1β, IL-6, TNF-α, IL-12, IFN-γ, IL-15, IL-17), regulatory cytokines (IL-1Ra, IL-4, IL-5, IL-9, IL-10, IL-13), and growth factors (FGF-basic, PDGF, VEGF, G-CSF, GM-CSF, IL-2 and IL-7) in serum samples from Autoimmune Disease patients, categorized according to the PRNT status after primary 17DD-YF vaccination: AID/PRNT(-) (</w:t>
      </w:r>
      <w:r w:rsidRPr="00D8259C">
        <w:rPr>
          <w:noProof/>
          <w:lang w:val="en-US"/>
        </w:rPr>
        <w:drawing>
          <wp:inline distT="0" distB="0" distL="0" distR="0" wp14:anchorId="14E8FEF6" wp14:editId="4989EE38">
            <wp:extent cx="133350" cy="127000"/>
            <wp:effectExtent l="19050" t="0" r="0" b="0"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, n=32</w:t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>) and AID/PRNT(+) (</w:t>
      </w:r>
      <w:r w:rsidRPr="00D8259C">
        <w:rPr>
          <w:noProof/>
          <w:lang w:val="en-US"/>
        </w:rPr>
        <w:drawing>
          <wp:inline distT="0" distB="0" distL="0" distR="0" wp14:anchorId="4B84C5CA" wp14:editId="3FA4C25B">
            <wp:extent cx="127000" cy="127000"/>
            <wp:effectExtent l="19050" t="0" r="6350" b="0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8259C">
        <w:rPr>
          <w:lang w:val="en-US"/>
        </w:rPr>
        <w:t xml:space="preserve"> </w:t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n=108). Measurements were carried out using the </w:t>
      </w:r>
      <w:proofErr w:type="spellStart"/>
      <w:r w:rsidRPr="00D8259C">
        <w:rPr>
          <w:rFonts w:ascii="Times New Roman" w:hAnsi="Times New Roman" w:cs="Times New Roman"/>
          <w:sz w:val="24"/>
          <w:szCs w:val="24"/>
          <w:lang w:val="en-US"/>
        </w:rPr>
        <w:t>Luminex</w:t>
      </w:r>
      <w:proofErr w:type="spellEnd"/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platform, according to manufacturer’s instructions as provided in Material and Methods. The results are expressed as median levels (</w:t>
      </w:r>
      <w:proofErr w:type="spellStart"/>
      <w:r w:rsidRPr="00D8259C">
        <w:rPr>
          <w:rFonts w:ascii="Times New Roman" w:hAnsi="Times New Roman" w:cs="Times New Roman"/>
          <w:sz w:val="24"/>
          <w:szCs w:val="24"/>
          <w:lang w:val="en-US"/>
        </w:rPr>
        <w:t>pg</w:t>
      </w:r>
      <w:proofErr w:type="spellEnd"/>
      <w:r w:rsidRPr="00D8259C">
        <w:rPr>
          <w:rFonts w:ascii="Times New Roman" w:hAnsi="Times New Roman" w:cs="Times New Roman"/>
          <w:sz w:val="24"/>
          <w:szCs w:val="24"/>
          <w:lang w:val="en-US"/>
        </w:rPr>
        <w:t>/mL) at baseline (D0) on boxplot charts. Comparative analysis between AID/</w:t>
      </w:r>
      <w:proofErr w:type="gramStart"/>
      <w:r w:rsidRPr="00D8259C">
        <w:rPr>
          <w:rFonts w:ascii="Times New Roman" w:hAnsi="Times New Roman" w:cs="Times New Roman"/>
          <w:sz w:val="24"/>
          <w:szCs w:val="24"/>
          <w:lang w:val="en-US"/>
        </w:rPr>
        <w:t>PRNT(</w:t>
      </w:r>
      <w:proofErr w:type="gramEnd"/>
      <w:r w:rsidRPr="00D8259C">
        <w:rPr>
          <w:rFonts w:ascii="Times New Roman" w:hAnsi="Times New Roman" w:cs="Times New Roman"/>
          <w:sz w:val="24"/>
          <w:szCs w:val="24"/>
          <w:lang w:val="en-US"/>
        </w:rPr>
        <w:t>-) and AID/PRNT(+) was carried out by Mann-Whitney test and significant differences at p&lt;0.05 underscored by connecting lines and highlight with gray background.</w:t>
      </w:r>
    </w:p>
    <w:p w:rsidR="00F40227" w:rsidRPr="00D8259C" w:rsidRDefault="00F40227" w:rsidP="00F4022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0227" w:rsidRPr="00D8259C" w:rsidRDefault="00F40227" w:rsidP="00F4022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59C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5 –</w:t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59C">
        <w:rPr>
          <w:rFonts w:ascii="Times New Roman" w:hAnsi="Times New Roman" w:cs="Times New Roman"/>
          <w:i/>
          <w:sz w:val="24"/>
          <w:szCs w:val="24"/>
          <w:lang w:val="en-US"/>
        </w:rPr>
        <w:t>Serum Biomarker Signatures in Patients with Autoimmune Disease According to the Neutralizing Antibody Status After Planned Primary 17DD-YF Vaccination.</w:t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(A) Kinetics of serum biomarker signatures at distinct time points after primary 17DD-YF vaccination of Autoimmune Disease patients (AID, n=140, D3-4=</w:t>
      </w:r>
      <w:r w:rsidRPr="00D8259C">
        <w:rPr>
          <w:noProof/>
          <w:lang w:val="en-US"/>
        </w:rPr>
        <w:drawing>
          <wp:inline distT="0" distB="0" distL="0" distR="0" wp14:anchorId="2EC0ED15" wp14:editId="3A54182B">
            <wp:extent cx="122555" cy="122555"/>
            <wp:effectExtent l="19050" t="0" r="0" b="0"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>, D5-6=</w:t>
      </w:r>
      <w:r w:rsidRPr="00D8259C">
        <w:rPr>
          <w:noProof/>
          <w:lang w:val="en-US"/>
        </w:rPr>
        <w:drawing>
          <wp:inline distT="0" distB="0" distL="0" distR="0" wp14:anchorId="473005C8" wp14:editId="185AB388">
            <wp:extent cx="122555" cy="122555"/>
            <wp:effectExtent l="19050" t="0" r="0" b="0"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>, D7=</w:t>
      </w:r>
      <w:r w:rsidRPr="00D8259C">
        <w:rPr>
          <w:noProof/>
          <w:lang w:val="en-US"/>
        </w:rPr>
        <w:drawing>
          <wp:inline distT="0" distB="0" distL="0" distR="0" wp14:anchorId="6AA63521" wp14:editId="05513332">
            <wp:extent cx="122555" cy="122555"/>
            <wp:effectExtent l="19050" t="0" r="0" b="0"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and D14-28=</w:t>
      </w:r>
      <w:r w:rsidRPr="00D8259C">
        <w:rPr>
          <w:noProof/>
          <w:lang w:val="en-US"/>
        </w:rPr>
        <w:drawing>
          <wp:inline distT="0" distB="0" distL="0" distR="0" wp14:anchorId="1725B07A" wp14:editId="1BEFEB59">
            <wp:extent cx="122555" cy="122555"/>
            <wp:effectExtent l="19050" t="0" r="0" b="0"/>
            <wp:docPr id="78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>) and Healthy Controls (HC, n=21, D3-4=</w:t>
      </w:r>
      <w:r w:rsidRPr="00D8259C">
        <w:rPr>
          <w:noProof/>
          <w:lang w:val="en-US"/>
        </w:rPr>
        <w:drawing>
          <wp:inline distT="0" distB="0" distL="0" distR="0" wp14:anchorId="5E24838E" wp14:editId="39D7D0B4">
            <wp:extent cx="136525" cy="122555"/>
            <wp:effectExtent l="19050" t="0" r="0" b="0"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>, D5-6=</w:t>
      </w:r>
      <w:r w:rsidRPr="00D8259C">
        <w:rPr>
          <w:noProof/>
          <w:lang w:val="en-US"/>
        </w:rPr>
        <w:drawing>
          <wp:inline distT="0" distB="0" distL="0" distR="0" wp14:anchorId="276E555F" wp14:editId="4ECDD808">
            <wp:extent cx="136525" cy="122555"/>
            <wp:effectExtent l="19050" t="0" r="0" b="0"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>, D7=</w:t>
      </w:r>
      <w:r w:rsidRPr="00D8259C">
        <w:rPr>
          <w:noProof/>
          <w:lang w:val="en-US"/>
        </w:rPr>
        <w:drawing>
          <wp:inline distT="0" distB="0" distL="0" distR="0" wp14:anchorId="49E57F6D" wp14:editId="04564E3F">
            <wp:extent cx="136525" cy="122555"/>
            <wp:effectExtent l="1905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and D14-28=</w:t>
      </w:r>
      <w:r w:rsidRPr="00D8259C">
        <w:rPr>
          <w:noProof/>
          <w:lang w:val="en-US"/>
        </w:rPr>
        <w:drawing>
          <wp:inline distT="0" distB="0" distL="0" distR="0" wp14:anchorId="7E046B99" wp14:editId="0AA0CCF0">
            <wp:extent cx="136525" cy="122555"/>
            <wp:effectExtent l="19050" t="0" r="0" b="0"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>). (B) Kinetics of serum biomarker signatures at distinct time points after primary 17DD-YF vaccination of Autoimmune Disease patients categorized according to the PRNT status after primary 17DD-YF vaccination: AID/PRNT(-) (n=32, D3-4=</w:t>
      </w:r>
      <w:r w:rsidRPr="00D8259C">
        <w:rPr>
          <w:noProof/>
          <w:lang w:val="en-US"/>
        </w:rPr>
        <w:drawing>
          <wp:inline distT="0" distB="0" distL="0" distR="0" wp14:anchorId="55E2CC82" wp14:editId="78CC6F57">
            <wp:extent cx="122555" cy="122555"/>
            <wp:effectExtent l="19050" t="0" r="0" b="0"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>, D5-6=</w:t>
      </w:r>
      <w:r w:rsidRPr="00D8259C">
        <w:rPr>
          <w:noProof/>
          <w:lang w:val="en-US"/>
        </w:rPr>
        <w:drawing>
          <wp:inline distT="0" distB="0" distL="0" distR="0" wp14:anchorId="55D84DD2" wp14:editId="662E5CCF">
            <wp:extent cx="122555" cy="122555"/>
            <wp:effectExtent l="19050" t="0" r="0" b="0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>, D7=</w:t>
      </w:r>
      <w:r w:rsidRPr="00D8259C">
        <w:rPr>
          <w:noProof/>
          <w:lang w:val="en-US"/>
        </w:rPr>
        <w:drawing>
          <wp:inline distT="0" distB="0" distL="0" distR="0" wp14:anchorId="1BAB6424" wp14:editId="192D84FC">
            <wp:extent cx="122555" cy="122555"/>
            <wp:effectExtent l="19050" t="0" r="0" b="0"/>
            <wp:docPr id="85" name="Image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and D14-28=</w:t>
      </w:r>
      <w:r w:rsidRPr="00D8259C">
        <w:rPr>
          <w:noProof/>
          <w:lang w:val="en-US"/>
        </w:rPr>
        <w:drawing>
          <wp:inline distT="0" distB="0" distL="0" distR="0" wp14:anchorId="02536B1A" wp14:editId="554076B9">
            <wp:extent cx="122555" cy="122555"/>
            <wp:effectExtent l="19050" t="0" r="0" b="0"/>
            <wp:docPr id="86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>) and AID/PRNT(+) (n=108, D3-4=</w:t>
      </w:r>
      <w:r w:rsidRPr="00D8259C">
        <w:rPr>
          <w:noProof/>
          <w:lang w:val="en-US"/>
        </w:rPr>
        <w:drawing>
          <wp:inline distT="0" distB="0" distL="0" distR="0" wp14:anchorId="25176C7B" wp14:editId="0EA969ED">
            <wp:extent cx="122555" cy="122555"/>
            <wp:effectExtent l="19050" t="0" r="0" b="0"/>
            <wp:docPr id="87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>, D5-6=</w:t>
      </w:r>
      <w:r w:rsidRPr="00D8259C">
        <w:rPr>
          <w:noProof/>
          <w:lang w:val="en-US"/>
        </w:rPr>
        <w:drawing>
          <wp:inline distT="0" distB="0" distL="0" distR="0" wp14:anchorId="14516844" wp14:editId="1219B0E7">
            <wp:extent cx="122555" cy="122555"/>
            <wp:effectExtent l="19050" t="0" r="0" b="0"/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>, D7=</w:t>
      </w:r>
      <w:r w:rsidRPr="00D8259C">
        <w:rPr>
          <w:noProof/>
          <w:lang w:val="en-US"/>
        </w:rPr>
        <w:drawing>
          <wp:inline distT="0" distB="0" distL="0" distR="0" wp14:anchorId="7EA44A3B" wp14:editId="7FC0C219">
            <wp:extent cx="122555" cy="122555"/>
            <wp:effectExtent l="19050" t="0" r="0" b="0"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and D14-28=</w:t>
      </w:r>
      <w:r w:rsidRPr="00D8259C">
        <w:rPr>
          <w:noProof/>
          <w:lang w:val="en-US"/>
        </w:rPr>
        <w:drawing>
          <wp:inline distT="0" distB="0" distL="0" distR="0" wp14:anchorId="20E34546" wp14:editId="49E56293">
            <wp:extent cx="122555" cy="122555"/>
            <wp:effectExtent l="19050" t="0" r="0" b="0"/>
            <wp:docPr id="90" name="Image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>). The results are expressed as the proportion of subjects with increased biomarker levels (baseline fold change values &gt;1). Data analysis was carried out considering the 50</w:t>
      </w:r>
      <w:r w:rsidRPr="00D8259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percentile as the reference to identify the set of </w:t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lastRenderedPageBreak/>
        <w:t>biomarkers with high proportion of subjects with levels above the global median cut-off along the kinetic timeline (gray scale rectangles).</w:t>
      </w:r>
    </w:p>
    <w:p w:rsidR="00F40227" w:rsidRPr="00D8259C" w:rsidRDefault="00F40227" w:rsidP="00F4022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0227" w:rsidRPr="00D8259C" w:rsidRDefault="00F40227" w:rsidP="00F4022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59C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6 –</w:t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59C">
        <w:rPr>
          <w:rFonts w:ascii="Times New Roman" w:hAnsi="Times New Roman" w:cs="Times New Roman"/>
          <w:i/>
          <w:sz w:val="24"/>
          <w:szCs w:val="24"/>
          <w:lang w:val="en-US"/>
        </w:rPr>
        <w:t>Serum Biomarker Signatures After Planned Primary 17DD-YF Vaccination According to the Type of Autoimmune Disease.</w:t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Kinetics of serum biomarker signatures at distinct time points after primary 17DD-YF vaccination of Autoimmune Disease patients (D3-4=</w:t>
      </w:r>
      <w:r w:rsidRPr="00D8259C">
        <w:rPr>
          <w:noProof/>
          <w:lang w:val="en-US"/>
        </w:rPr>
        <w:drawing>
          <wp:inline distT="0" distB="0" distL="0" distR="0" wp14:anchorId="00037A92" wp14:editId="2081EC5D">
            <wp:extent cx="122555" cy="122555"/>
            <wp:effectExtent l="19050" t="0" r="0" b="0"/>
            <wp:docPr id="26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>, D5-6=</w:t>
      </w:r>
      <w:r w:rsidRPr="00D8259C">
        <w:rPr>
          <w:noProof/>
          <w:lang w:val="en-US"/>
        </w:rPr>
        <w:drawing>
          <wp:inline distT="0" distB="0" distL="0" distR="0" wp14:anchorId="33555D8A" wp14:editId="6CF24FCF">
            <wp:extent cx="122555" cy="122555"/>
            <wp:effectExtent l="19050" t="0" r="0" b="0"/>
            <wp:docPr id="27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>, D7=</w:t>
      </w:r>
      <w:r w:rsidRPr="00D8259C">
        <w:rPr>
          <w:noProof/>
          <w:lang w:val="en-US"/>
        </w:rPr>
        <w:drawing>
          <wp:inline distT="0" distB="0" distL="0" distR="0" wp14:anchorId="26ECA423" wp14:editId="5F618C2F">
            <wp:extent cx="122555" cy="122555"/>
            <wp:effectExtent l="19050" t="0" r="0" b="0"/>
            <wp:docPr id="28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and D14-28=</w:t>
      </w:r>
      <w:r w:rsidRPr="00D8259C">
        <w:rPr>
          <w:noProof/>
          <w:lang w:val="en-US"/>
        </w:rPr>
        <w:drawing>
          <wp:inline distT="0" distB="0" distL="0" distR="0" wp14:anchorId="3C4BCD21" wp14:editId="43092D9A">
            <wp:extent cx="122555" cy="122555"/>
            <wp:effectExtent l="19050" t="0" r="0" b="0"/>
            <wp:docPr id="29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) categorized according to the type of Autoimmune Disease: Rheumatoid Arthritis (RA, n=38), </w:t>
      </w:r>
      <w:proofErr w:type="spellStart"/>
      <w:r w:rsidRPr="00D8259C">
        <w:rPr>
          <w:rFonts w:ascii="Times New Roman" w:hAnsi="Times New Roman" w:cs="Times New Roman"/>
          <w:sz w:val="24"/>
          <w:szCs w:val="24"/>
          <w:lang w:val="en-US"/>
        </w:rPr>
        <w:t>Spondyloarthritis</w:t>
      </w:r>
      <w:proofErr w:type="spellEnd"/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8259C">
        <w:rPr>
          <w:rFonts w:ascii="Times New Roman" w:hAnsi="Times New Roman" w:cs="Times New Roman"/>
          <w:sz w:val="24"/>
          <w:szCs w:val="24"/>
          <w:lang w:val="en-US"/>
        </w:rPr>
        <w:t>SpA</w:t>
      </w:r>
      <w:proofErr w:type="spellEnd"/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, n=51), Systemic Lupus Erythematosus (SLE, n=21) and </w:t>
      </w:r>
      <w:proofErr w:type="spellStart"/>
      <w:r w:rsidRPr="00D8259C">
        <w:rPr>
          <w:rFonts w:ascii="Times New Roman" w:hAnsi="Times New Roman" w:cs="Times New Roman"/>
          <w:sz w:val="24"/>
          <w:szCs w:val="24"/>
          <w:lang w:val="en-US"/>
        </w:rPr>
        <w:t>Sjögren’s</w:t>
      </w:r>
      <w:proofErr w:type="spellEnd"/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Syndrome (SS, n=30). The results are expressed as the proportion of subjects with increased biomarker levels (baseline fold change values &gt;1). Data analysis was carried out considering the 50</w:t>
      </w:r>
      <w:r w:rsidRPr="00D8259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percentile as the reference to identify the set of biomarkers with high proportion of subjects with levels above the global median cut-off along the kinetic timeline (gray scale rectangles).</w:t>
      </w:r>
    </w:p>
    <w:p w:rsidR="00F40227" w:rsidRPr="00D8259C" w:rsidRDefault="00F40227" w:rsidP="00F4022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0227" w:rsidRDefault="00F40227" w:rsidP="00F4022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59C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7 –</w:t>
      </w:r>
      <w:r w:rsidRPr="00D8259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D8259C">
        <w:rPr>
          <w:rFonts w:ascii="Times New Roman" w:hAnsi="Times New Roman" w:cs="Times New Roman"/>
          <w:i/>
          <w:sz w:val="24"/>
          <w:szCs w:val="24"/>
          <w:lang w:val="en-US"/>
        </w:rPr>
        <w:t>Heatmap</w:t>
      </w:r>
      <w:proofErr w:type="spellEnd"/>
      <w:r w:rsidRPr="00D825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Kinetic Profiles of Serum Biomarkers After Planned Primary 17DD-YF Vaccination According to the Neutralizing Antibody Status and Type of Autoimmune Disease</w:t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8259C">
        <w:rPr>
          <w:rFonts w:ascii="Times New Roman" w:hAnsi="Times New Roman" w:cs="Times New Roman"/>
          <w:sz w:val="24"/>
          <w:szCs w:val="24"/>
          <w:lang w:val="en-US"/>
        </w:rPr>
        <w:t>Heatmaps</w:t>
      </w:r>
      <w:proofErr w:type="spellEnd"/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were constructed considering the baseline fold change values at each time point along the kinetic follow-up (D3-4, D5-6, D7 and D14-28). This approach was employed to draw the overall change in the serum biomarkers profile after primary 17DD-YF vaccination of Autoimmune Disease patients (AID, n=140) and Healthy Controls (HC, n=21). </w:t>
      </w:r>
      <w:proofErr w:type="spellStart"/>
      <w:r w:rsidRPr="00D8259C">
        <w:rPr>
          <w:rFonts w:ascii="Times New Roman" w:hAnsi="Times New Roman" w:cs="Times New Roman"/>
          <w:sz w:val="24"/>
          <w:szCs w:val="24"/>
          <w:lang w:val="en-US"/>
        </w:rPr>
        <w:t>Heatmaps</w:t>
      </w:r>
      <w:proofErr w:type="spellEnd"/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were also assembled for subgroups of Autoimmune Disease patients considering the PRNT status after vaccination [AID/</w:t>
      </w:r>
      <w:proofErr w:type="gramStart"/>
      <w:r w:rsidRPr="00D8259C">
        <w:rPr>
          <w:rFonts w:ascii="Times New Roman" w:hAnsi="Times New Roman" w:cs="Times New Roman"/>
          <w:sz w:val="24"/>
          <w:szCs w:val="24"/>
          <w:lang w:val="en-US"/>
        </w:rPr>
        <w:t>PRNT(</w:t>
      </w:r>
      <w:proofErr w:type="gramEnd"/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-), n=32; AID/PRNT(+), n=108] and according to the type of </w:t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autoimmune disease [Rheumatoid Arthritis (RA, n=38), </w:t>
      </w:r>
      <w:proofErr w:type="spellStart"/>
      <w:r w:rsidRPr="00D8259C">
        <w:rPr>
          <w:rFonts w:ascii="Times New Roman" w:hAnsi="Times New Roman" w:cs="Times New Roman"/>
          <w:sz w:val="24"/>
          <w:szCs w:val="24"/>
          <w:lang w:val="en-US"/>
        </w:rPr>
        <w:t>Spondyloarthritis</w:t>
      </w:r>
      <w:proofErr w:type="spellEnd"/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8259C">
        <w:rPr>
          <w:rFonts w:ascii="Times New Roman" w:hAnsi="Times New Roman" w:cs="Times New Roman"/>
          <w:sz w:val="24"/>
          <w:szCs w:val="24"/>
          <w:lang w:val="en-US"/>
        </w:rPr>
        <w:t>SpA</w:t>
      </w:r>
      <w:proofErr w:type="spellEnd"/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, n=51), Systemic Lupus Erythematosus (SLE, n=21) and </w:t>
      </w:r>
      <w:proofErr w:type="spellStart"/>
      <w:r w:rsidRPr="00D8259C">
        <w:rPr>
          <w:rFonts w:ascii="Times New Roman" w:hAnsi="Times New Roman" w:cs="Times New Roman"/>
          <w:sz w:val="24"/>
          <w:szCs w:val="24"/>
          <w:lang w:val="en-US"/>
        </w:rPr>
        <w:t>Sjögren’s</w:t>
      </w:r>
      <w:proofErr w:type="spellEnd"/>
      <w:r w:rsidRPr="00D8259C">
        <w:rPr>
          <w:rFonts w:ascii="Times New Roman" w:hAnsi="Times New Roman" w:cs="Times New Roman"/>
          <w:sz w:val="24"/>
          <w:szCs w:val="24"/>
          <w:lang w:val="en-US"/>
        </w:rPr>
        <w:t xml:space="preserve"> Syndrome (SS, n=30)]. Color keys were employed underscore the baseline fold value = 1.0 as the reference for unaltered levels (</w:t>
      </w:r>
      <w:r w:rsidRPr="00D8259C">
        <w:rPr>
          <w:noProof/>
          <w:lang w:val="en-US"/>
        </w:rPr>
        <w:drawing>
          <wp:inline distT="0" distB="0" distL="0" distR="0" wp14:anchorId="522732C7" wp14:editId="44D3E139">
            <wp:extent cx="170815" cy="88900"/>
            <wp:effectExtent l="19050" t="0" r="635" b="0"/>
            <wp:docPr id="103" name="Image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>), the baseline fold value &lt;1.0 for decreased levels (</w:t>
      </w:r>
      <w:r w:rsidRPr="00D8259C">
        <w:rPr>
          <w:noProof/>
          <w:lang w:val="en-US"/>
        </w:rPr>
        <w:drawing>
          <wp:inline distT="0" distB="0" distL="0" distR="0" wp14:anchorId="0F7414E3" wp14:editId="7351FF62">
            <wp:extent cx="170815" cy="88900"/>
            <wp:effectExtent l="19050" t="0" r="635" b="0"/>
            <wp:docPr id="104" name="Image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>) and the baseline fold value &gt;1.0 for increased levels (</w:t>
      </w:r>
      <w:r w:rsidRPr="00D8259C">
        <w:rPr>
          <w:noProof/>
          <w:lang w:val="en-US"/>
        </w:rPr>
        <w:drawing>
          <wp:inline distT="0" distB="0" distL="0" distR="0" wp14:anchorId="2BBF5846" wp14:editId="66AA5111">
            <wp:extent cx="170815" cy="88900"/>
            <wp:effectExtent l="19050" t="0" r="635" b="0"/>
            <wp:docPr id="105" name="Image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9C">
        <w:rPr>
          <w:rFonts w:ascii="Times New Roman" w:hAnsi="Times New Roman" w:cs="Times New Roman"/>
          <w:sz w:val="24"/>
          <w:szCs w:val="24"/>
          <w:lang w:val="en-US"/>
        </w:rPr>
        <w:t>), according to the paired sample collected at D0.</w:t>
      </w:r>
    </w:p>
    <w:p w:rsidR="00E07D91" w:rsidRDefault="00E07D91"/>
    <w:sectPr w:rsidR="00E07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27"/>
    <w:rsid w:val="00E07D91"/>
    <w:rsid w:val="00F4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4D7F5-3ED3-41D0-B9C1-24F2F427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22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fontTable" Target="fontTable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2020-12-29T03:59:00Z</dcterms:created>
  <dcterms:modified xsi:type="dcterms:W3CDTF">2020-12-29T03:59:00Z</dcterms:modified>
</cp:coreProperties>
</file>