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3EF3" w14:textId="09CEFD28" w:rsidR="00F44860" w:rsidRPr="00F44860" w:rsidRDefault="00F44860" w:rsidP="00751B91"/>
    <w:p w14:paraId="36D8A775" w14:textId="77777777" w:rsidR="00F44860" w:rsidRPr="00F44860" w:rsidRDefault="00F44860" w:rsidP="00751B91"/>
    <w:p w14:paraId="105885B6" w14:textId="77777777" w:rsidR="00F44860" w:rsidRPr="00F44860" w:rsidRDefault="00F44860" w:rsidP="00751B91"/>
    <w:p w14:paraId="50EEEACC" w14:textId="77777777" w:rsidR="00F44860" w:rsidRPr="00F44860" w:rsidRDefault="00F44860" w:rsidP="00751B91"/>
    <w:p w14:paraId="7158E7A0" w14:textId="77777777" w:rsidR="00F44860" w:rsidRPr="00F44860" w:rsidRDefault="00F44860" w:rsidP="00751B91"/>
    <w:p w14:paraId="64D29F47" w14:textId="7ABAE27A" w:rsidR="00F44860" w:rsidRPr="00F44860" w:rsidRDefault="00F44860" w:rsidP="00751B91"/>
    <w:p w14:paraId="6E8F5E2D" w14:textId="303727B9" w:rsidR="00F44860" w:rsidRPr="00F44860" w:rsidRDefault="00F44860" w:rsidP="00751B91">
      <w:r w:rsidRPr="00F44860">
        <w:t>Supplementa</w:t>
      </w:r>
      <w:bookmarkStart w:id="0" w:name="_GoBack"/>
      <w:bookmarkEnd w:id="0"/>
      <w:r w:rsidRPr="00F44860">
        <w:t>l Materials for:</w:t>
      </w:r>
    </w:p>
    <w:p w14:paraId="4EFBB55B" w14:textId="29693309" w:rsidR="00F44860" w:rsidRPr="00F44860" w:rsidRDefault="00F44860" w:rsidP="00751B91"/>
    <w:p w14:paraId="43D7A4FB" w14:textId="03D8C9C5" w:rsidR="00F44860" w:rsidRPr="00F44860" w:rsidRDefault="00F44860" w:rsidP="00751B91">
      <w:r w:rsidRPr="00F44860">
        <w:t>Saliva-based SARS-CoV-2 serology using at-home collection kits returned via mail</w:t>
      </w:r>
    </w:p>
    <w:p w14:paraId="58231550" w14:textId="54F57773" w:rsidR="00F44860" w:rsidRPr="00F44860" w:rsidRDefault="00F44860" w:rsidP="00751B91"/>
    <w:p w14:paraId="67F46B5D" w14:textId="26C7C0E7" w:rsidR="00F44860" w:rsidRPr="00F44860" w:rsidRDefault="00F44860" w:rsidP="00751B91"/>
    <w:sdt>
      <w:sdtPr>
        <w:rPr>
          <w:rFonts w:ascii="Arial" w:eastAsiaTheme="minorEastAsia" w:hAnsi="Arial" w:cs="Arial"/>
          <w:color w:val="auto"/>
          <w:sz w:val="24"/>
          <w:szCs w:val="24"/>
        </w:rPr>
        <w:id w:val="1374358654"/>
        <w:docPartObj>
          <w:docPartGallery w:val="Table of Contents"/>
          <w:docPartUnique/>
        </w:docPartObj>
      </w:sdtPr>
      <w:sdtEndPr>
        <w:rPr>
          <w:noProof/>
        </w:rPr>
      </w:sdtEndPr>
      <w:sdtContent>
        <w:p w14:paraId="7EB3F95A" w14:textId="4D2310DE" w:rsidR="00F44860" w:rsidRPr="00751B91" w:rsidRDefault="00F44860" w:rsidP="00751B91">
          <w:pPr>
            <w:pStyle w:val="TOCHeading"/>
          </w:pPr>
        </w:p>
        <w:p w14:paraId="0B2C5CF2" w14:textId="737AC1A5" w:rsidR="00D9568B" w:rsidRDefault="00F44860" w:rsidP="009337D4">
          <w:pPr>
            <w:pStyle w:val="TOC1"/>
            <w:rPr>
              <w:rFonts w:asciiTheme="minorHAnsi" w:hAnsiTheme="minorHAnsi" w:cstheme="minorBidi"/>
              <w:noProof/>
              <w:sz w:val="22"/>
              <w:szCs w:val="22"/>
            </w:rPr>
          </w:pPr>
          <w:r w:rsidRPr="00F44860">
            <w:fldChar w:fldCharType="begin"/>
          </w:r>
          <w:r w:rsidRPr="00F44860">
            <w:instrText xml:space="preserve"> TOC \o "1-3" \h \z \u </w:instrText>
          </w:r>
          <w:r w:rsidRPr="00F44860">
            <w:fldChar w:fldCharType="separate"/>
          </w:r>
          <w:hyperlink w:anchor="_Toc90977607" w:history="1">
            <w:r w:rsidR="00D9568B" w:rsidRPr="00DB4A17">
              <w:rPr>
                <w:rStyle w:val="Hyperlink"/>
                <w:noProof/>
              </w:rPr>
              <w:t>Supplemental Table 1 – Accuracy of salivary serology assays at retrospectively classifying individuals as naïve or non-naïve to SARS-CoV-2 infection.</w:t>
            </w:r>
            <w:r w:rsidR="00D9568B">
              <w:rPr>
                <w:noProof/>
                <w:webHidden/>
              </w:rPr>
              <w:tab/>
            </w:r>
            <w:r w:rsidR="00D9568B">
              <w:rPr>
                <w:noProof/>
                <w:webHidden/>
              </w:rPr>
              <w:fldChar w:fldCharType="begin"/>
            </w:r>
            <w:r w:rsidR="00D9568B">
              <w:rPr>
                <w:noProof/>
                <w:webHidden/>
              </w:rPr>
              <w:instrText xml:space="preserve"> PAGEREF _Toc90977607 \h </w:instrText>
            </w:r>
            <w:r w:rsidR="00D9568B">
              <w:rPr>
                <w:noProof/>
                <w:webHidden/>
              </w:rPr>
            </w:r>
            <w:r w:rsidR="00D9568B">
              <w:rPr>
                <w:noProof/>
                <w:webHidden/>
              </w:rPr>
              <w:fldChar w:fldCharType="separate"/>
            </w:r>
            <w:r w:rsidR="00D9568B">
              <w:rPr>
                <w:noProof/>
                <w:webHidden/>
              </w:rPr>
              <w:t>2</w:t>
            </w:r>
            <w:r w:rsidR="00D9568B">
              <w:rPr>
                <w:noProof/>
                <w:webHidden/>
              </w:rPr>
              <w:fldChar w:fldCharType="end"/>
            </w:r>
          </w:hyperlink>
        </w:p>
        <w:p w14:paraId="3FF661BE" w14:textId="0160BCEE" w:rsidR="00D9568B" w:rsidRDefault="004E2DDF" w:rsidP="009337D4">
          <w:pPr>
            <w:pStyle w:val="TOC1"/>
            <w:rPr>
              <w:rFonts w:asciiTheme="minorHAnsi" w:hAnsiTheme="minorHAnsi" w:cstheme="minorBidi"/>
              <w:noProof/>
              <w:sz w:val="22"/>
              <w:szCs w:val="22"/>
            </w:rPr>
          </w:pPr>
          <w:hyperlink w:anchor="_Toc90977608" w:history="1">
            <w:r w:rsidR="00D9568B" w:rsidRPr="00DB4A17">
              <w:rPr>
                <w:rStyle w:val="Hyperlink"/>
                <w:noProof/>
              </w:rPr>
              <w:t>Supplemental Figure 1 - Mailable kit for self-collection of saliva.</w:t>
            </w:r>
            <w:r w:rsidR="00D9568B">
              <w:rPr>
                <w:noProof/>
                <w:webHidden/>
              </w:rPr>
              <w:tab/>
            </w:r>
            <w:r w:rsidR="00D9568B">
              <w:rPr>
                <w:noProof/>
                <w:webHidden/>
              </w:rPr>
              <w:fldChar w:fldCharType="begin"/>
            </w:r>
            <w:r w:rsidR="00D9568B">
              <w:rPr>
                <w:noProof/>
                <w:webHidden/>
              </w:rPr>
              <w:instrText xml:space="preserve"> PAGEREF _Toc90977608 \h </w:instrText>
            </w:r>
            <w:r w:rsidR="00D9568B">
              <w:rPr>
                <w:noProof/>
                <w:webHidden/>
              </w:rPr>
            </w:r>
            <w:r w:rsidR="00D9568B">
              <w:rPr>
                <w:noProof/>
                <w:webHidden/>
              </w:rPr>
              <w:fldChar w:fldCharType="separate"/>
            </w:r>
            <w:r w:rsidR="00D9568B">
              <w:rPr>
                <w:noProof/>
                <w:webHidden/>
              </w:rPr>
              <w:t>2</w:t>
            </w:r>
            <w:r w:rsidR="00D9568B">
              <w:rPr>
                <w:noProof/>
                <w:webHidden/>
              </w:rPr>
              <w:fldChar w:fldCharType="end"/>
            </w:r>
          </w:hyperlink>
        </w:p>
        <w:p w14:paraId="6A1087D8" w14:textId="0AEA31EC" w:rsidR="00D9568B" w:rsidRDefault="004E2DDF" w:rsidP="009337D4">
          <w:pPr>
            <w:pStyle w:val="TOC1"/>
            <w:rPr>
              <w:rFonts w:asciiTheme="minorHAnsi" w:hAnsiTheme="minorHAnsi" w:cstheme="minorBidi"/>
              <w:noProof/>
              <w:sz w:val="22"/>
              <w:szCs w:val="22"/>
            </w:rPr>
          </w:pPr>
          <w:hyperlink w:anchor="_Toc90977609" w:history="1">
            <w:r w:rsidR="00D9568B" w:rsidRPr="00DB4A17">
              <w:rPr>
                <w:rStyle w:val="Hyperlink"/>
                <w:noProof/>
              </w:rPr>
              <w:t>Supplemental Table 2 – Range of immunoglobulin G (IgG) concentrations in saliva self-collected by donors and returned through the mail.</w:t>
            </w:r>
            <w:r w:rsidR="00D9568B">
              <w:rPr>
                <w:noProof/>
                <w:webHidden/>
              </w:rPr>
              <w:tab/>
            </w:r>
            <w:r w:rsidR="00D9568B">
              <w:rPr>
                <w:noProof/>
                <w:webHidden/>
              </w:rPr>
              <w:fldChar w:fldCharType="begin"/>
            </w:r>
            <w:r w:rsidR="00D9568B">
              <w:rPr>
                <w:noProof/>
                <w:webHidden/>
              </w:rPr>
              <w:instrText xml:space="preserve"> PAGEREF _Toc90977609 \h </w:instrText>
            </w:r>
            <w:r w:rsidR="00D9568B">
              <w:rPr>
                <w:noProof/>
                <w:webHidden/>
              </w:rPr>
            </w:r>
            <w:r w:rsidR="00D9568B">
              <w:rPr>
                <w:noProof/>
                <w:webHidden/>
              </w:rPr>
              <w:fldChar w:fldCharType="separate"/>
            </w:r>
            <w:r w:rsidR="00D9568B">
              <w:rPr>
                <w:noProof/>
                <w:webHidden/>
              </w:rPr>
              <w:t>3</w:t>
            </w:r>
            <w:r w:rsidR="00D9568B">
              <w:rPr>
                <w:noProof/>
                <w:webHidden/>
              </w:rPr>
              <w:fldChar w:fldCharType="end"/>
            </w:r>
          </w:hyperlink>
        </w:p>
        <w:p w14:paraId="173850CC" w14:textId="1CE0724B" w:rsidR="00D9568B" w:rsidRDefault="004E2DDF" w:rsidP="009337D4">
          <w:pPr>
            <w:pStyle w:val="TOC1"/>
            <w:rPr>
              <w:rFonts w:asciiTheme="minorHAnsi" w:hAnsiTheme="minorHAnsi" w:cstheme="minorBidi"/>
              <w:noProof/>
              <w:sz w:val="22"/>
              <w:szCs w:val="22"/>
            </w:rPr>
          </w:pPr>
          <w:hyperlink w:anchor="_Toc90977610" w:history="1">
            <w:r w:rsidR="00D9568B" w:rsidRPr="00DB4A17">
              <w:rPr>
                <w:rStyle w:val="Hyperlink"/>
                <w:noProof/>
              </w:rPr>
              <w:t>Supplemental Table 3 – Range of total immunoglobulins in saliva self-collected by donors and returned through the mail.</w:t>
            </w:r>
            <w:r w:rsidR="00D9568B">
              <w:rPr>
                <w:noProof/>
                <w:webHidden/>
              </w:rPr>
              <w:tab/>
            </w:r>
            <w:r w:rsidR="00D9568B">
              <w:rPr>
                <w:noProof/>
                <w:webHidden/>
              </w:rPr>
              <w:fldChar w:fldCharType="begin"/>
            </w:r>
            <w:r w:rsidR="00D9568B">
              <w:rPr>
                <w:noProof/>
                <w:webHidden/>
              </w:rPr>
              <w:instrText xml:space="preserve"> PAGEREF _Toc90977610 \h </w:instrText>
            </w:r>
            <w:r w:rsidR="00D9568B">
              <w:rPr>
                <w:noProof/>
                <w:webHidden/>
              </w:rPr>
            </w:r>
            <w:r w:rsidR="00D9568B">
              <w:rPr>
                <w:noProof/>
                <w:webHidden/>
              </w:rPr>
              <w:fldChar w:fldCharType="separate"/>
            </w:r>
            <w:r w:rsidR="00D9568B">
              <w:rPr>
                <w:noProof/>
                <w:webHidden/>
              </w:rPr>
              <w:t>4</w:t>
            </w:r>
            <w:r w:rsidR="00D9568B">
              <w:rPr>
                <w:noProof/>
                <w:webHidden/>
              </w:rPr>
              <w:fldChar w:fldCharType="end"/>
            </w:r>
          </w:hyperlink>
        </w:p>
        <w:p w14:paraId="66806817" w14:textId="630900E1" w:rsidR="00D9568B" w:rsidRDefault="004E2DDF" w:rsidP="009337D4">
          <w:pPr>
            <w:pStyle w:val="TOC1"/>
            <w:rPr>
              <w:rFonts w:asciiTheme="minorHAnsi" w:hAnsiTheme="minorHAnsi" w:cstheme="minorBidi"/>
              <w:noProof/>
              <w:sz w:val="22"/>
              <w:szCs w:val="22"/>
            </w:rPr>
          </w:pPr>
          <w:hyperlink w:anchor="_Toc90977611" w:history="1">
            <w:r w:rsidR="00D9568B" w:rsidRPr="00DB4A17">
              <w:rPr>
                <w:rStyle w:val="Hyperlink"/>
                <w:noProof/>
              </w:rPr>
              <w:t>Supplemental Figure 2 – Salivary IgG for endemic coronaviruses in the weeks after a PCR test for SARS-CoV-2.</w:t>
            </w:r>
            <w:r w:rsidR="00D9568B">
              <w:rPr>
                <w:noProof/>
                <w:webHidden/>
              </w:rPr>
              <w:tab/>
            </w:r>
            <w:r w:rsidR="00D9568B">
              <w:rPr>
                <w:noProof/>
                <w:webHidden/>
              </w:rPr>
              <w:fldChar w:fldCharType="begin"/>
            </w:r>
            <w:r w:rsidR="00D9568B">
              <w:rPr>
                <w:noProof/>
                <w:webHidden/>
              </w:rPr>
              <w:instrText xml:space="preserve"> PAGEREF _Toc90977611 \h </w:instrText>
            </w:r>
            <w:r w:rsidR="00D9568B">
              <w:rPr>
                <w:noProof/>
                <w:webHidden/>
              </w:rPr>
            </w:r>
            <w:r w:rsidR="00D9568B">
              <w:rPr>
                <w:noProof/>
                <w:webHidden/>
              </w:rPr>
              <w:fldChar w:fldCharType="separate"/>
            </w:r>
            <w:r w:rsidR="00D9568B">
              <w:rPr>
                <w:noProof/>
                <w:webHidden/>
              </w:rPr>
              <w:t>5</w:t>
            </w:r>
            <w:r w:rsidR="00D9568B">
              <w:rPr>
                <w:noProof/>
                <w:webHidden/>
              </w:rPr>
              <w:fldChar w:fldCharType="end"/>
            </w:r>
          </w:hyperlink>
        </w:p>
        <w:p w14:paraId="5971FEDC" w14:textId="7A46DA29" w:rsidR="00F44860" w:rsidRPr="00F44860" w:rsidRDefault="00F44860" w:rsidP="00751B91">
          <w:r w:rsidRPr="00F44860">
            <w:rPr>
              <w:noProof/>
            </w:rPr>
            <w:fldChar w:fldCharType="end"/>
          </w:r>
        </w:p>
      </w:sdtContent>
    </w:sdt>
    <w:p w14:paraId="2FFC9868" w14:textId="0E9414A7" w:rsidR="00F44860" w:rsidRPr="00F44860" w:rsidRDefault="00F44860" w:rsidP="00751B91"/>
    <w:p w14:paraId="273065B1" w14:textId="3F783495" w:rsidR="00F44860" w:rsidRPr="00F44860" w:rsidRDefault="00F44860" w:rsidP="00751B91"/>
    <w:p w14:paraId="26C612FC" w14:textId="77777777" w:rsidR="003E402A" w:rsidRDefault="003E402A">
      <w:pPr>
        <w:spacing w:after="160" w:line="259" w:lineRule="auto"/>
        <w:jc w:val="left"/>
      </w:pPr>
      <w:r>
        <w:br w:type="page"/>
      </w:r>
    </w:p>
    <w:p w14:paraId="658CA361" w14:textId="48A16D24" w:rsidR="00DC61EE" w:rsidRDefault="00DC61EE" w:rsidP="00D9568B">
      <w:pPr>
        <w:keepNext/>
      </w:pPr>
    </w:p>
    <w:tbl>
      <w:tblPr>
        <w:tblStyle w:val="GridTable1Light"/>
        <w:tblW w:w="10938" w:type="dxa"/>
        <w:tblLook w:val="04A0" w:firstRow="1" w:lastRow="0" w:firstColumn="1" w:lastColumn="0" w:noHBand="0" w:noVBand="1"/>
      </w:tblPr>
      <w:tblGrid>
        <w:gridCol w:w="1548"/>
        <w:gridCol w:w="922"/>
        <w:gridCol w:w="945"/>
        <w:gridCol w:w="1170"/>
        <w:gridCol w:w="1060"/>
        <w:gridCol w:w="830"/>
        <w:gridCol w:w="1285"/>
        <w:gridCol w:w="1060"/>
        <w:gridCol w:w="805"/>
        <w:gridCol w:w="1313"/>
      </w:tblGrid>
      <w:tr w:rsidR="001C1534" w:rsidRPr="002C34F0" w14:paraId="0D93C0D4" w14:textId="77777777" w:rsidTr="002C34F0">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548" w:type="dxa"/>
          </w:tcPr>
          <w:p w14:paraId="6E08DC43" w14:textId="77777777" w:rsidR="001C1534" w:rsidRPr="002C34F0" w:rsidRDefault="001C1534" w:rsidP="002C17F9"/>
        </w:tc>
        <w:tc>
          <w:tcPr>
            <w:tcW w:w="3037" w:type="dxa"/>
            <w:gridSpan w:val="3"/>
          </w:tcPr>
          <w:p w14:paraId="78C70B91" w14:textId="0B2B182C" w:rsidR="001C1534" w:rsidRPr="002C34F0" w:rsidRDefault="001C1534" w:rsidP="002C17F9">
            <w:pPr>
              <w:cnfStyle w:val="100000000000" w:firstRow="1" w:lastRow="0" w:firstColumn="0" w:lastColumn="0" w:oddVBand="0" w:evenVBand="0" w:oddHBand="0" w:evenHBand="0" w:firstRowFirstColumn="0" w:firstRowLastColumn="0" w:lastRowFirstColumn="0" w:lastRowLastColumn="0"/>
            </w:pPr>
            <w:r w:rsidRPr="002C34F0">
              <w:t>&lt;2 weeks after PCR tes</w:t>
            </w:r>
            <w:r w:rsidR="002C34F0" w:rsidRPr="002C34F0">
              <w:t>t</w:t>
            </w:r>
          </w:p>
        </w:tc>
        <w:tc>
          <w:tcPr>
            <w:tcW w:w="3175" w:type="dxa"/>
            <w:gridSpan w:val="3"/>
          </w:tcPr>
          <w:p w14:paraId="53B764B8" w14:textId="77EDCC64" w:rsidR="001C1534" w:rsidRPr="002C34F0" w:rsidRDefault="001C1534" w:rsidP="002C17F9">
            <w:pPr>
              <w:cnfStyle w:val="100000000000" w:firstRow="1" w:lastRow="0" w:firstColumn="0" w:lastColumn="0" w:oddVBand="0" w:evenVBand="0" w:oddHBand="0" w:evenHBand="0" w:firstRowFirstColumn="0" w:firstRowLastColumn="0" w:lastRowFirstColumn="0" w:lastRowLastColumn="0"/>
            </w:pPr>
            <w:r w:rsidRPr="002C34F0">
              <w:t>2-4 weeks after PCR test</w:t>
            </w:r>
          </w:p>
        </w:tc>
        <w:tc>
          <w:tcPr>
            <w:tcW w:w="3178" w:type="dxa"/>
            <w:gridSpan w:val="3"/>
          </w:tcPr>
          <w:p w14:paraId="2333997B" w14:textId="164D38EC" w:rsidR="001C1534" w:rsidRPr="002C34F0" w:rsidRDefault="001C1534" w:rsidP="002C17F9">
            <w:pPr>
              <w:cnfStyle w:val="100000000000" w:firstRow="1" w:lastRow="0" w:firstColumn="0" w:lastColumn="0" w:oddVBand="0" w:evenVBand="0" w:oddHBand="0" w:evenHBand="0" w:firstRowFirstColumn="0" w:firstRowLastColumn="0" w:lastRowFirstColumn="0" w:lastRowLastColumn="0"/>
            </w:pPr>
            <w:r w:rsidRPr="002C34F0">
              <w:t>4-8 weeks after PCR test</w:t>
            </w:r>
          </w:p>
        </w:tc>
      </w:tr>
      <w:tr w:rsidR="002C34F0" w:rsidRPr="002C34F0" w14:paraId="315E03A5" w14:textId="14063F0B" w:rsidTr="002C34F0">
        <w:trPr>
          <w:trHeight w:val="1394"/>
        </w:trPr>
        <w:tc>
          <w:tcPr>
            <w:cnfStyle w:val="001000000000" w:firstRow="0" w:lastRow="0" w:firstColumn="1" w:lastColumn="0" w:oddVBand="0" w:evenVBand="0" w:oddHBand="0" w:evenHBand="0" w:firstRowFirstColumn="0" w:firstRowLastColumn="0" w:lastRowFirstColumn="0" w:lastRowLastColumn="0"/>
            <w:tcW w:w="1548" w:type="dxa"/>
          </w:tcPr>
          <w:p w14:paraId="7D2D9FF1" w14:textId="1655683D" w:rsidR="001C1534" w:rsidRPr="002C34F0" w:rsidRDefault="001C1534" w:rsidP="001C1534">
            <w:r w:rsidRPr="002C34F0">
              <w:br w:type="page"/>
            </w:r>
            <w:r w:rsidRPr="002C34F0">
              <w:br w:type="page"/>
              <w:t>Assay</w:t>
            </w:r>
          </w:p>
        </w:tc>
        <w:tc>
          <w:tcPr>
            <w:tcW w:w="922" w:type="dxa"/>
          </w:tcPr>
          <w:p w14:paraId="2D11EC6C" w14:textId="6E9B9964"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Area Under Curve (AUC)</w:t>
            </w:r>
          </w:p>
        </w:tc>
        <w:tc>
          <w:tcPr>
            <w:tcW w:w="945" w:type="dxa"/>
          </w:tcPr>
          <w:p w14:paraId="5646A019" w14:textId="79B46D15"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AUC 95% CI</w:t>
            </w:r>
          </w:p>
        </w:tc>
        <w:tc>
          <w:tcPr>
            <w:tcW w:w="1170" w:type="dxa"/>
          </w:tcPr>
          <w:p w14:paraId="56236B3C" w14:textId="6B296905"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p-value</w:t>
            </w:r>
          </w:p>
        </w:tc>
        <w:tc>
          <w:tcPr>
            <w:tcW w:w="1060" w:type="dxa"/>
          </w:tcPr>
          <w:p w14:paraId="5A5DEC54" w14:textId="24CD96A6"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Area Under Curve (AUC)</w:t>
            </w:r>
          </w:p>
        </w:tc>
        <w:tc>
          <w:tcPr>
            <w:tcW w:w="830" w:type="dxa"/>
          </w:tcPr>
          <w:p w14:paraId="604039D7" w14:textId="7147B1C2"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AUC 95% CI</w:t>
            </w:r>
          </w:p>
        </w:tc>
        <w:tc>
          <w:tcPr>
            <w:tcW w:w="1285" w:type="dxa"/>
          </w:tcPr>
          <w:p w14:paraId="1AF7D974" w14:textId="53D0E8B0"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p-value</w:t>
            </w:r>
          </w:p>
        </w:tc>
        <w:tc>
          <w:tcPr>
            <w:tcW w:w="1060" w:type="dxa"/>
          </w:tcPr>
          <w:p w14:paraId="485965E2" w14:textId="3E427D7B"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Area Under Curve (AUC)</w:t>
            </w:r>
          </w:p>
        </w:tc>
        <w:tc>
          <w:tcPr>
            <w:tcW w:w="805" w:type="dxa"/>
          </w:tcPr>
          <w:p w14:paraId="1B54D936" w14:textId="2EA016A5"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AUC 95% CI</w:t>
            </w:r>
          </w:p>
        </w:tc>
        <w:tc>
          <w:tcPr>
            <w:tcW w:w="1313" w:type="dxa"/>
          </w:tcPr>
          <w:p w14:paraId="4EAD38A6" w14:textId="65C65D73"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rPr>
                <w:b/>
              </w:rPr>
            </w:pPr>
            <w:r w:rsidRPr="002C34F0">
              <w:rPr>
                <w:b/>
              </w:rPr>
              <w:t>p-value</w:t>
            </w:r>
          </w:p>
        </w:tc>
      </w:tr>
      <w:tr w:rsidR="002C34F0" w:rsidRPr="002C34F0" w14:paraId="02B2C5CB" w14:textId="66632639" w:rsidTr="002C34F0">
        <w:trPr>
          <w:trHeight w:val="697"/>
        </w:trPr>
        <w:tc>
          <w:tcPr>
            <w:cnfStyle w:val="001000000000" w:firstRow="0" w:lastRow="0" w:firstColumn="1" w:lastColumn="0" w:oddVBand="0" w:evenVBand="0" w:oddHBand="0" w:evenHBand="0" w:firstRowFirstColumn="0" w:firstRowLastColumn="0" w:lastRowFirstColumn="0" w:lastRowLastColumn="0"/>
            <w:tcW w:w="1548" w:type="dxa"/>
          </w:tcPr>
          <w:p w14:paraId="7EBE95DF" w14:textId="77777777" w:rsidR="001C1534" w:rsidRPr="002C34F0" w:rsidRDefault="001C1534" w:rsidP="001C1534">
            <w:r w:rsidRPr="002C34F0">
              <w:t>SARS-CoV-2 Spike IgG</w:t>
            </w:r>
          </w:p>
        </w:tc>
        <w:tc>
          <w:tcPr>
            <w:tcW w:w="922" w:type="dxa"/>
          </w:tcPr>
          <w:p w14:paraId="3BF1AB68" w14:textId="01C224F7" w:rsidR="001C1534" w:rsidRPr="002C34F0" w:rsidRDefault="00D70514" w:rsidP="001C1534">
            <w:pPr>
              <w:cnfStyle w:val="000000000000" w:firstRow="0" w:lastRow="0" w:firstColumn="0" w:lastColumn="0" w:oddVBand="0" w:evenVBand="0" w:oddHBand="0" w:evenHBand="0" w:firstRowFirstColumn="0" w:firstRowLastColumn="0" w:lastRowFirstColumn="0" w:lastRowLastColumn="0"/>
            </w:pPr>
            <w:r w:rsidRPr="002C34F0">
              <w:t>0.761</w:t>
            </w:r>
          </w:p>
        </w:tc>
        <w:tc>
          <w:tcPr>
            <w:tcW w:w="945" w:type="dxa"/>
          </w:tcPr>
          <w:p w14:paraId="6AF8395A" w14:textId="0586019C" w:rsidR="001C1534" w:rsidRPr="002C34F0" w:rsidRDefault="002C34F0" w:rsidP="001C1534">
            <w:pPr>
              <w:cnfStyle w:val="000000000000" w:firstRow="0" w:lastRow="0" w:firstColumn="0" w:lastColumn="0" w:oddVBand="0" w:evenVBand="0" w:oddHBand="0" w:evenHBand="0" w:firstRowFirstColumn="0" w:firstRowLastColumn="0" w:lastRowFirstColumn="0" w:lastRowLastColumn="0"/>
            </w:pPr>
            <w:r w:rsidRPr="002C34F0">
              <w:t>0.66-0.87</w:t>
            </w:r>
          </w:p>
        </w:tc>
        <w:tc>
          <w:tcPr>
            <w:tcW w:w="1170" w:type="dxa"/>
          </w:tcPr>
          <w:p w14:paraId="32657367" w14:textId="4C7E5EC9" w:rsidR="001C1534" w:rsidRPr="002C34F0" w:rsidRDefault="002C34F0" w:rsidP="001C1534">
            <w:pPr>
              <w:cnfStyle w:val="000000000000" w:firstRow="0" w:lastRow="0" w:firstColumn="0" w:lastColumn="0" w:oddVBand="0" w:evenVBand="0" w:oddHBand="0" w:evenHBand="0" w:firstRowFirstColumn="0" w:firstRowLastColumn="0" w:lastRowFirstColumn="0" w:lastRowLastColumn="0"/>
            </w:pPr>
            <w:r w:rsidRPr="002C34F0">
              <w:t>1.2×10</w:t>
            </w:r>
            <w:r w:rsidRPr="002C34F0">
              <w:rPr>
                <w:vertAlign w:val="superscript"/>
              </w:rPr>
              <w:t>-5</w:t>
            </w:r>
          </w:p>
        </w:tc>
        <w:tc>
          <w:tcPr>
            <w:tcW w:w="1060" w:type="dxa"/>
          </w:tcPr>
          <w:p w14:paraId="70889068" w14:textId="5BBCD1D2"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0.970</w:t>
            </w:r>
          </w:p>
        </w:tc>
        <w:tc>
          <w:tcPr>
            <w:tcW w:w="830" w:type="dxa"/>
          </w:tcPr>
          <w:p w14:paraId="4218E47C" w14:textId="4E31F52A"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0.95-0.99</w:t>
            </w:r>
          </w:p>
        </w:tc>
        <w:tc>
          <w:tcPr>
            <w:tcW w:w="1285" w:type="dxa"/>
          </w:tcPr>
          <w:p w14:paraId="500248E1" w14:textId="68F86BBF"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6.9×10</w:t>
            </w:r>
            <w:r w:rsidRPr="002C34F0">
              <w:rPr>
                <w:vertAlign w:val="superscript"/>
              </w:rPr>
              <w:t>-14</w:t>
            </w:r>
          </w:p>
        </w:tc>
        <w:tc>
          <w:tcPr>
            <w:tcW w:w="1060" w:type="dxa"/>
          </w:tcPr>
          <w:p w14:paraId="1284FDB1" w14:textId="1E8DDC79"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0.926</w:t>
            </w:r>
          </w:p>
        </w:tc>
        <w:tc>
          <w:tcPr>
            <w:tcW w:w="805" w:type="dxa"/>
          </w:tcPr>
          <w:p w14:paraId="0CE358BC" w14:textId="26AC8A73"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0.85-1.0</w:t>
            </w:r>
          </w:p>
        </w:tc>
        <w:tc>
          <w:tcPr>
            <w:tcW w:w="1313" w:type="dxa"/>
          </w:tcPr>
          <w:p w14:paraId="04BE4475" w14:textId="469E0837"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9.1×10</w:t>
            </w:r>
            <w:r w:rsidRPr="002C34F0">
              <w:rPr>
                <w:vertAlign w:val="superscript"/>
              </w:rPr>
              <w:t>-13</w:t>
            </w:r>
          </w:p>
        </w:tc>
      </w:tr>
      <w:tr w:rsidR="002C34F0" w:rsidRPr="002C34F0" w14:paraId="2B45C8F3" w14:textId="1254F7A0" w:rsidTr="002C34F0">
        <w:trPr>
          <w:trHeight w:val="1045"/>
        </w:trPr>
        <w:tc>
          <w:tcPr>
            <w:cnfStyle w:val="001000000000" w:firstRow="0" w:lastRow="0" w:firstColumn="1" w:lastColumn="0" w:oddVBand="0" w:evenVBand="0" w:oddHBand="0" w:evenHBand="0" w:firstRowFirstColumn="0" w:firstRowLastColumn="0" w:lastRowFirstColumn="0" w:lastRowLastColumn="0"/>
            <w:tcW w:w="1548" w:type="dxa"/>
          </w:tcPr>
          <w:p w14:paraId="1F5ABF5C" w14:textId="77777777" w:rsidR="001C1534" w:rsidRPr="002C34F0" w:rsidRDefault="001C1534" w:rsidP="001C1534">
            <w:r w:rsidRPr="002C34F0">
              <w:t>SARS-CoV-2 S1 RBD IgG</w:t>
            </w:r>
          </w:p>
        </w:tc>
        <w:tc>
          <w:tcPr>
            <w:tcW w:w="922" w:type="dxa"/>
          </w:tcPr>
          <w:p w14:paraId="396816B3" w14:textId="02E0A09F"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0.697</w:t>
            </w:r>
          </w:p>
        </w:tc>
        <w:tc>
          <w:tcPr>
            <w:tcW w:w="945" w:type="dxa"/>
          </w:tcPr>
          <w:p w14:paraId="6375FDE0" w14:textId="11F0A54E" w:rsidR="001C1534" w:rsidRPr="002C34F0" w:rsidRDefault="00D70514" w:rsidP="001C1534">
            <w:pPr>
              <w:cnfStyle w:val="000000000000" w:firstRow="0" w:lastRow="0" w:firstColumn="0" w:lastColumn="0" w:oddVBand="0" w:evenVBand="0" w:oddHBand="0" w:evenHBand="0" w:firstRowFirstColumn="0" w:firstRowLastColumn="0" w:lastRowFirstColumn="0" w:lastRowLastColumn="0"/>
            </w:pPr>
            <w:r w:rsidRPr="002C34F0">
              <w:t>0.57-0.82</w:t>
            </w:r>
          </w:p>
        </w:tc>
        <w:tc>
          <w:tcPr>
            <w:tcW w:w="1170" w:type="dxa"/>
          </w:tcPr>
          <w:p w14:paraId="44965509" w14:textId="594E72E5" w:rsidR="001C1534" w:rsidRPr="002C34F0" w:rsidRDefault="00D70514" w:rsidP="001C1534">
            <w:pPr>
              <w:cnfStyle w:val="000000000000" w:firstRow="0" w:lastRow="0" w:firstColumn="0" w:lastColumn="0" w:oddVBand="0" w:evenVBand="0" w:oddHBand="0" w:evenHBand="0" w:firstRowFirstColumn="0" w:firstRowLastColumn="0" w:lastRowFirstColumn="0" w:lastRowLastColumn="0"/>
            </w:pPr>
            <w:r w:rsidRPr="002C34F0">
              <w:t>0.001</w:t>
            </w:r>
          </w:p>
        </w:tc>
        <w:tc>
          <w:tcPr>
            <w:tcW w:w="1060" w:type="dxa"/>
          </w:tcPr>
          <w:p w14:paraId="776BF241" w14:textId="2903FCD4"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0.894</w:t>
            </w:r>
          </w:p>
        </w:tc>
        <w:tc>
          <w:tcPr>
            <w:tcW w:w="830" w:type="dxa"/>
          </w:tcPr>
          <w:p w14:paraId="0339A38C" w14:textId="6CDA96CA"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0.84-0.95</w:t>
            </w:r>
          </w:p>
        </w:tc>
        <w:tc>
          <w:tcPr>
            <w:tcW w:w="1285" w:type="dxa"/>
          </w:tcPr>
          <w:p w14:paraId="5543F61E" w14:textId="6E081D5B"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4×10</w:t>
            </w:r>
            <w:r w:rsidRPr="002C34F0">
              <w:rPr>
                <w:vertAlign w:val="superscript"/>
              </w:rPr>
              <w:t>-10</w:t>
            </w:r>
          </w:p>
        </w:tc>
        <w:tc>
          <w:tcPr>
            <w:tcW w:w="1060" w:type="dxa"/>
          </w:tcPr>
          <w:p w14:paraId="4924E62B" w14:textId="4253C7D1"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0.883</w:t>
            </w:r>
          </w:p>
        </w:tc>
        <w:tc>
          <w:tcPr>
            <w:tcW w:w="805" w:type="dxa"/>
          </w:tcPr>
          <w:p w14:paraId="271469EF" w14:textId="66483D4E"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0.79-0.98</w:t>
            </w:r>
          </w:p>
        </w:tc>
        <w:tc>
          <w:tcPr>
            <w:tcW w:w="1313" w:type="dxa"/>
          </w:tcPr>
          <w:p w14:paraId="60AC74AA" w14:textId="64B72428"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1.6×10</w:t>
            </w:r>
            <w:r w:rsidRPr="002C34F0">
              <w:rPr>
                <w:vertAlign w:val="superscript"/>
              </w:rPr>
              <w:t>-10</w:t>
            </w:r>
          </w:p>
        </w:tc>
      </w:tr>
      <w:tr w:rsidR="002C34F0" w:rsidRPr="002C34F0" w14:paraId="7C887656" w14:textId="530478CB" w:rsidTr="002C34F0">
        <w:trPr>
          <w:trHeight w:val="723"/>
        </w:trPr>
        <w:tc>
          <w:tcPr>
            <w:cnfStyle w:val="001000000000" w:firstRow="0" w:lastRow="0" w:firstColumn="1" w:lastColumn="0" w:oddVBand="0" w:evenVBand="0" w:oddHBand="0" w:evenHBand="0" w:firstRowFirstColumn="0" w:firstRowLastColumn="0" w:lastRowFirstColumn="0" w:lastRowLastColumn="0"/>
            <w:tcW w:w="1548" w:type="dxa"/>
          </w:tcPr>
          <w:p w14:paraId="2F3AD9E9" w14:textId="77777777" w:rsidR="001C1534" w:rsidRPr="002C34F0" w:rsidRDefault="001C1534" w:rsidP="001C1534">
            <w:r w:rsidRPr="002C34F0">
              <w:t>SARS-CoV-2 N IgG</w:t>
            </w:r>
          </w:p>
        </w:tc>
        <w:tc>
          <w:tcPr>
            <w:tcW w:w="922" w:type="dxa"/>
          </w:tcPr>
          <w:p w14:paraId="06BDAE7E" w14:textId="38899BBC"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0.75</w:t>
            </w:r>
            <w:r w:rsidR="00D70514" w:rsidRPr="002C34F0">
              <w:t>0</w:t>
            </w:r>
          </w:p>
        </w:tc>
        <w:tc>
          <w:tcPr>
            <w:tcW w:w="945" w:type="dxa"/>
          </w:tcPr>
          <w:p w14:paraId="4271CE30" w14:textId="0951EEA3"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0.62-0.88</w:t>
            </w:r>
          </w:p>
        </w:tc>
        <w:tc>
          <w:tcPr>
            <w:tcW w:w="1170" w:type="dxa"/>
          </w:tcPr>
          <w:p w14:paraId="40EF1BB9" w14:textId="26B61F55"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2.9×10</w:t>
            </w:r>
            <w:r w:rsidRPr="002C34F0">
              <w:rPr>
                <w:vertAlign w:val="superscript"/>
              </w:rPr>
              <w:t>-5</w:t>
            </w:r>
          </w:p>
        </w:tc>
        <w:tc>
          <w:tcPr>
            <w:tcW w:w="1060" w:type="dxa"/>
          </w:tcPr>
          <w:p w14:paraId="7FC68BFE" w14:textId="49799805"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0.965</w:t>
            </w:r>
          </w:p>
        </w:tc>
        <w:tc>
          <w:tcPr>
            <w:tcW w:w="830" w:type="dxa"/>
          </w:tcPr>
          <w:p w14:paraId="7EF592FE" w14:textId="0B2627F3" w:rsidR="001C1534" w:rsidRPr="002C34F0" w:rsidRDefault="001C1534" w:rsidP="001C1534">
            <w:pPr>
              <w:cnfStyle w:val="000000000000" w:firstRow="0" w:lastRow="0" w:firstColumn="0" w:lastColumn="0" w:oddVBand="0" w:evenVBand="0" w:oddHBand="0" w:evenHBand="0" w:firstRowFirstColumn="0" w:firstRowLastColumn="0" w:lastRowFirstColumn="0" w:lastRowLastColumn="0"/>
            </w:pPr>
            <w:r w:rsidRPr="002C34F0">
              <w:t>0.94-0.99</w:t>
            </w:r>
          </w:p>
        </w:tc>
        <w:tc>
          <w:tcPr>
            <w:tcW w:w="1285" w:type="dxa"/>
          </w:tcPr>
          <w:p w14:paraId="2E152711" w14:textId="5680B162" w:rsidR="001C1534" w:rsidRPr="002C34F0" w:rsidRDefault="001C1534" w:rsidP="001C1534">
            <w:pPr>
              <w:keepNext/>
              <w:cnfStyle w:val="000000000000" w:firstRow="0" w:lastRow="0" w:firstColumn="0" w:lastColumn="0" w:oddVBand="0" w:evenVBand="0" w:oddHBand="0" w:evenHBand="0" w:firstRowFirstColumn="0" w:firstRowLastColumn="0" w:lastRowFirstColumn="0" w:lastRowLastColumn="0"/>
            </w:pPr>
            <w:r w:rsidRPr="002C34F0">
              <w:t>1.6×10</w:t>
            </w:r>
            <w:r w:rsidRPr="002C34F0">
              <w:rPr>
                <w:vertAlign w:val="superscript"/>
              </w:rPr>
              <w:t>-13</w:t>
            </w:r>
          </w:p>
        </w:tc>
        <w:tc>
          <w:tcPr>
            <w:tcW w:w="1060" w:type="dxa"/>
          </w:tcPr>
          <w:p w14:paraId="155106CC" w14:textId="44295D88" w:rsidR="001C1534" w:rsidRPr="002C34F0" w:rsidRDefault="001C1534" w:rsidP="001C1534">
            <w:pPr>
              <w:keepNext/>
              <w:cnfStyle w:val="000000000000" w:firstRow="0" w:lastRow="0" w:firstColumn="0" w:lastColumn="0" w:oddVBand="0" w:evenVBand="0" w:oddHBand="0" w:evenHBand="0" w:firstRowFirstColumn="0" w:firstRowLastColumn="0" w:lastRowFirstColumn="0" w:lastRowLastColumn="0"/>
            </w:pPr>
            <w:r w:rsidRPr="002C34F0">
              <w:t>0.916</w:t>
            </w:r>
          </w:p>
        </w:tc>
        <w:tc>
          <w:tcPr>
            <w:tcW w:w="805" w:type="dxa"/>
          </w:tcPr>
          <w:p w14:paraId="490F274C" w14:textId="77C8C212" w:rsidR="001C1534" w:rsidRPr="002C34F0" w:rsidRDefault="001C1534" w:rsidP="001C1534">
            <w:pPr>
              <w:keepNext/>
              <w:cnfStyle w:val="000000000000" w:firstRow="0" w:lastRow="0" w:firstColumn="0" w:lastColumn="0" w:oddVBand="0" w:evenVBand="0" w:oddHBand="0" w:evenHBand="0" w:firstRowFirstColumn="0" w:firstRowLastColumn="0" w:lastRowFirstColumn="0" w:lastRowLastColumn="0"/>
            </w:pPr>
            <w:r w:rsidRPr="002C34F0">
              <w:t>0.82-1.0</w:t>
            </w:r>
          </w:p>
        </w:tc>
        <w:tc>
          <w:tcPr>
            <w:tcW w:w="1313" w:type="dxa"/>
          </w:tcPr>
          <w:p w14:paraId="6D9AF82F" w14:textId="397B8E68" w:rsidR="001C1534" w:rsidRPr="002C34F0" w:rsidRDefault="001C1534" w:rsidP="001C1534">
            <w:pPr>
              <w:keepNext/>
              <w:cnfStyle w:val="000000000000" w:firstRow="0" w:lastRow="0" w:firstColumn="0" w:lastColumn="0" w:oddVBand="0" w:evenVBand="0" w:oddHBand="0" w:evenHBand="0" w:firstRowFirstColumn="0" w:firstRowLastColumn="0" w:lastRowFirstColumn="0" w:lastRowLastColumn="0"/>
            </w:pPr>
            <w:r w:rsidRPr="002C34F0">
              <w:t>3.6×10</w:t>
            </w:r>
            <w:r w:rsidRPr="002C34F0">
              <w:rPr>
                <w:vertAlign w:val="superscript"/>
              </w:rPr>
              <w:t>-12</w:t>
            </w:r>
          </w:p>
        </w:tc>
      </w:tr>
    </w:tbl>
    <w:p w14:paraId="1A30C62B" w14:textId="55C40438" w:rsidR="00DC61EE" w:rsidRPr="00751B91" w:rsidRDefault="00DC61EE" w:rsidP="00DC61EE">
      <w:pPr>
        <w:jc w:val="left"/>
      </w:pPr>
      <w:bookmarkStart w:id="1" w:name="_Toc90977607"/>
      <w:r w:rsidRPr="00D9568B">
        <w:rPr>
          <w:rStyle w:val="Heading1Char"/>
        </w:rPr>
        <w:t xml:space="preserve">Supplemental Table </w:t>
      </w:r>
      <w:r w:rsidR="005F31F5" w:rsidRPr="00D9568B">
        <w:rPr>
          <w:rStyle w:val="Heading1Char"/>
        </w:rPr>
        <w:fldChar w:fldCharType="begin"/>
      </w:r>
      <w:r w:rsidR="005F31F5" w:rsidRPr="00D9568B">
        <w:rPr>
          <w:rStyle w:val="Heading1Char"/>
        </w:rPr>
        <w:instrText xml:space="preserve"> SEQ Table \* ARABIC </w:instrText>
      </w:r>
      <w:r w:rsidR="005F31F5" w:rsidRPr="00D9568B">
        <w:rPr>
          <w:rStyle w:val="Heading1Char"/>
        </w:rPr>
        <w:fldChar w:fldCharType="separate"/>
      </w:r>
      <w:r w:rsidR="00D9568B">
        <w:rPr>
          <w:rStyle w:val="Heading1Char"/>
          <w:noProof/>
        </w:rPr>
        <w:t>1</w:t>
      </w:r>
      <w:r w:rsidR="005F31F5" w:rsidRPr="00D9568B">
        <w:rPr>
          <w:rStyle w:val="Heading1Char"/>
        </w:rPr>
        <w:fldChar w:fldCharType="end"/>
      </w:r>
      <w:r w:rsidRPr="00D9568B">
        <w:rPr>
          <w:rStyle w:val="Heading1Char"/>
        </w:rPr>
        <w:t xml:space="preserve"> – Accuracy of salivary serology assays at retrospectively classifying individuals as naïve or non-naïve to SARS-CoV-2 infection.</w:t>
      </w:r>
      <w:bookmarkEnd w:id="1"/>
      <w:r>
        <w:t xml:space="preserve">  </w:t>
      </w:r>
      <w:r w:rsidRPr="00296D36">
        <w:t>AUC values correspond to the graphs shown in Figure 3 of the main text.</w:t>
      </w:r>
      <w:r>
        <w:t xml:space="preserve">  P-values computed using the Wilcoxon test.</w:t>
      </w:r>
    </w:p>
    <w:p w14:paraId="1B4A019E" w14:textId="69FBE989" w:rsidR="00DC61EE" w:rsidRDefault="00DC61EE">
      <w:pPr>
        <w:spacing w:after="160" w:line="259" w:lineRule="auto"/>
        <w:jc w:val="left"/>
      </w:pPr>
    </w:p>
    <w:p w14:paraId="38A59069" w14:textId="77777777" w:rsidR="00125FC2" w:rsidRDefault="00125FC2">
      <w:pPr>
        <w:spacing w:after="160" w:line="259" w:lineRule="auto"/>
        <w:jc w:val="left"/>
      </w:pPr>
    </w:p>
    <w:p w14:paraId="0186144B" w14:textId="1068B08E" w:rsidR="0052264D" w:rsidRDefault="0052264D" w:rsidP="00751B91"/>
    <w:p w14:paraId="34DBB0DE" w14:textId="77777777" w:rsidR="0052264D" w:rsidRDefault="0052264D" w:rsidP="00751B91">
      <w:r>
        <w:rPr>
          <w:noProof/>
        </w:rPr>
        <w:drawing>
          <wp:inline distT="0" distB="0" distL="0" distR="0" wp14:anchorId="55D87689" wp14:editId="6C48557C">
            <wp:extent cx="6229350" cy="2851126"/>
            <wp:effectExtent l="0" t="0" r="0" b="6985"/>
            <wp:docPr id="9" name="Saliva Collection Kit Fig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iva Collection Kit Figu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7089" cy="2863822"/>
                    </a:xfrm>
                    <a:prstGeom prst="rect">
                      <a:avLst/>
                    </a:prstGeom>
                  </pic:spPr>
                </pic:pic>
              </a:graphicData>
            </a:graphic>
          </wp:inline>
        </w:drawing>
      </w:r>
    </w:p>
    <w:p w14:paraId="14E3F785" w14:textId="6DEC0E90" w:rsidR="00F44860" w:rsidRPr="00F44860" w:rsidRDefault="0052264D" w:rsidP="002C3E56">
      <w:pPr>
        <w:jc w:val="left"/>
        <w:sectPr w:rsidR="00F44860" w:rsidRPr="00F44860" w:rsidSect="00F448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bookmarkStart w:id="2" w:name="_Toc71845763"/>
      <w:bookmarkStart w:id="3" w:name="_Toc90977608"/>
      <w:bookmarkStart w:id="4" w:name="_Toc62734085"/>
      <w:r>
        <w:rPr>
          <w:rStyle w:val="Heading1Char"/>
        </w:rPr>
        <w:t xml:space="preserve">Supplemental </w:t>
      </w:r>
      <w:r w:rsidRPr="00772286">
        <w:rPr>
          <w:rStyle w:val="Heading1Char"/>
        </w:rPr>
        <w:t xml:space="preserve">Figure </w:t>
      </w:r>
      <w:r w:rsidRPr="00772286">
        <w:rPr>
          <w:rStyle w:val="Heading1Char"/>
        </w:rPr>
        <w:fldChar w:fldCharType="begin"/>
      </w:r>
      <w:r w:rsidRPr="00772286">
        <w:rPr>
          <w:rStyle w:val="Heading1Char"/>
        </w:rPr>
        <w:instrText xml:space="preserve"> SEQ Figure \* ARABIC </w:instrText>
      </w:r>
      <w:r w:rsidRPr="00772286">
        <w:rPr>
          <w:rStyle w:val="Heading1Char"/>
        </w:rPr>
        <w:fldChar w:fldCharType="separate"/>
      </w:r>
      <w:r w:rsidR="00D9568B">
        <w:rPr>
          <w:rStyle w:val="Heading1Char"/>
          <w:noProof/>
        </w:rPr>
        <w:t>1</w:t>
      </w:r>
      <w:r w:rsidRPr="00772286">
        <w:rPr>
          <w:rStyle w:val="Heading1Char"/>
        </w:rPr>
        <w:fldChar w:fldCharType="end"/>
      </w:r>
      <w:r w:rsidRPr="00772286">
        <w:rPr>
          <w:rStyle w:val="Heading1Char"/>
        </w:rPr>
        <w:t xml:space="preserve"> - </w:t>
      </w:r>
      <w:proofErr w:type="spellStart"/>
      <w:r w:rsidRPr="00772286">
        <w:rPr>
          <w:rStyle w:val="Heading1Char"/>
        </w:rPr>
        <w:t>Mailable</w:t>
      </w:r>
      <w:proofErr w:type="spellEnd"/>
      <w:r w:rsidRPr="00772286">
        <w:rPr>
          <w:rStyle w:val="Heading1Char"/>
        </w:rPr>
        <w:t xml:space="preserve"> kit for self-collection of saliva.</w:t>
      </w:r>
      <w:bookmarkEnd w:id="2"/>
      <w:bookmarkEnd w:id="3"/>
      <w:r>
        <w:t xml:space="preserve">  (A) The saliva collection kit consisted of a </w:t>
      </w:r>
      <w:proofErr w:type="spellStart"/>
      <w:r>
        <w:t>microcentrifuge</w:t>
      </w:r>
      <w:proofErr w:type="spellEnd"/>
      <w:r>
        <w:t xml:space="preserve"> tube, O-ring </w:t>
      </w:r>
      <w:proofErr w:type="spellStart"/>
      <w:r>
        <w:t>screwtop</w:t>
      </w:r>
      <w:proofErr w:type="spellEnd"/>
      <w:r>
        <w:t xml:space="preserve"> cap, and saliva collection aid (SCA) placed inside a sealable biohazard bag containing an absorbent material.  The kit components were packaged in the same way as they were to be returned into the bag by the study participant.  (B) The kit was placed inside of a peel-and-seal cardboard mailer displaying a UN3373 category B label.  </w:t>
      </w:r>
      <w:bookmarkEnd w:id="4"/>
      <w:r>
        <w:t xml:space="preserve">Saliva is collected into a </w:t>
      </w:r>
      <w:proofErr w:type="spellStart"/>
      <w:r>
        <w:t>microcentrifuge</w:t>
      </w:r>
      <w:proofErr w:type="spellEnd"/>
      <w:r>
        <w:t xml:space="preserve"> tube (C), which the participants enclose in a biohazard bag (D) and cardboard box (E) prior to mailing back to the laborat</w:t>
      </w:r>
      <w:r w:rsidR="00B54A0F">
        <w:t>ory</w:t>
      </w:r>
    </w:p>
    <w:tbl>
      <w:tblPr>
        <w:tblStyle w:val="PlainTable5"/>
        <w:tblW w:w="0" w:type="auto"/>
        <w:jc w:val="center"/>
        <w:tblLook w:val="0420" w:firstRow="1" w:lastRow="0" w:firstColumn="0" w:lastColumn="0" w:noHBand="0" w:noVBand="1"/>
      </w:tblPr>
      <w:tblGrid>
        <w:gridCol w:w="1326"/>
        <w:gridCol w:w="1107"/>
        <w:gridCol w:w="1292"/>
        <w:gridCol w:w="1303"/>
        <w:gridCol w:w="1303"/>
        <w:gridCol w:w="1303"/>
        <w:gridCol w:w="670"/>
        <w:gridCol w:w="1200"/>
        <w:gridCol w:w="1187"/>
        <w:gridCol w:w="951"/>
        <w:gridCol w:w="1084"/>
        <w:gridCol w:w="817"/>
        <w:gridCol w:w="857"/>
      </w:tblGrid>
      <w:tr w:rsidR="0052264D" w:rsidRPr="00F44860" w14:paraId="0EFE70B5" w14:textId="77777777" w:rsidTr="00F44860">
        <w:trPr>
          <w:cnfStyle w:val="100000000000" w:firstRow="1" w:lastRow="0" w:firstColumn="0" w:lastColumn="0" w:oddVBand="0" w:evenVBand="0" w:oddHBand="0" w:evenHBand="0" w:firstRowFirstColumn="0" w:firstRowLastColumn="0" w:lastRowFirstColumn="0" w:lastRowLastColumn="0"/>
          <w:trHeight w:val="1187"/>
          <w:jc w:val="center"/>
        </w:trPr>
        <w:tc>
          <w:tcPr>
            <w:tcW w:w="1326" w:type="dxa"/>
          </w:tcPr>
          <w:p w14:paraId="443E0782" w14:textId="4B85392B" w:rsidR="00E87966" w:rsidRPr="0052264D" w:rsidRDefault="00E87966" w:rsidP="00751B91">
            <w:r w:rsidRPr="0052264D">
              <w:rPr>
                <w:rFonts w:eastAsia="Arial"/>
              </w:rPr>
              <w:lastRenderedPageBreak/>
              <w:t>Antigen and Isotype</w:t>
            </w:r>
          </w:p>
        </w:tc>
        <w:tc>
          <w:tcPr>
            <w:tcW w:w="1107" w:type="dxa"/>
          </w:tcPr>
          <w:p w14:paraId="1AB2F160" w14:textId="77777777" w:rsidR="00E87966" w:rsidRPr="0052264D" w:rsidRDefault="00E87966" w:rsidP="00751B91">
            <w:r w:rsidRPr="0052264D">
              <w:rPr>
                <w:rFonts w:eastAsia="Arial"/>
              </w:rPr>
              <w:t>Min</w:t>
            </w:r>
          </w:p>
        </w:tc>
        <w:tc>
          <w:tcPr>
            <w:tcW w:w="0" w:type="auto"/>
          </w:tcPr>
          <w:p w14:paraId="5DE2BFF9" w14:textId="77777777" w:rsidR="00E87966" w:rsidRPr="0052264D" w:rsidRDefault="00E87966" w:rsidP="00751B91">
            <w:r w:rsidRPr="0052264D">
              <w:rPr>
                <w:rFonts w:eastAsia="Arial"/>
              </w:rPr>
              <w:t>5th percentile</w:t>
            </w:r>
          </w:p>
        </w:tc>
        <w:tc>
          <w:tcPr>
            <w:tcW w:w="0" w:type="auto"/>
          </w:tcPr>
          <w:p w14:paraId="5EEB93F7" w14:textId="77777777" w:rsidR="00E87966" w:rsidRPr="0052264D" w:rsidRDefault="00E87966" w:rsidP="00751B91">
            <w:r w:rsidRPr="0052264D">
              <w:rPr>
                <w:rFonts w:eastAsia="Arial"/>
              </w:rPr>
              <w:t>25th percentile</w:t>
            </w:r>
          </w:p>
        </w:tc>
        <w:tc>
          <w:tcPr>
            <w:tcW w:w="0" w:type="auto"/>
          </w:tcPr>
          <w:p w14:paraId="0E9842C6" w14:textId="77777777" w:rsidR="00E87966" w:rsidRPr="0052264D" w:rsidRDefault="00E87966" w:rsidP="00751B91">
            <w:r w:rsidRPr="0052264D">
              <w:rPr>
                <w:rFonts w:eastAsia="Arial"/>
              </w:rPr>
              <w:t>75th percentile</w:t>
            </w:r>
          </w:p>
        </w:tc>
        <w:tc>
          <w:tcPr>
            <w:tcW w:w="0" w:type="auto"/>
          </w:tcPr>
          <w:p w14:paraId="024669D2" w14:textId="77777777" w:rsidR="00E87966" w:rsidRPr="0052264D" w:rsidRDefault="00E87966" w:rsidP="00751B91">
            <w:r w:rsidRPr="0052264D">
              <w:rPr>
                <w:rFonts w:eastAsia="Arial"/>
              </w:rPr>
              <w:t>95th percentile</w:t>
            </w:r>
          </w:p>
        </w:tc>
        <w:tc>
          <w:tcPr>
            <w:tcW w:w="0" w:type="auto"/>
          </w:tcPr>
          <w:p w14:paraId="62564021" w14:textId="77777777" w:rsidR="00E87966" w:rsidRPr="0052264D" w:rsidRDefault="00E87966" w:rsidP="00751B91">
            <w:r w:rsidRPr="0052264D">
              <w:rPr>
                <w:rFonts w:eastAsia="Arial"/>
              </w:rPr>
              <w:t>Max</w:t>
            </w:r>
          </w:p>
        </w:tc>
        <w:tc>
          <w:tcPr>
            <w:tcW w:w="0" w:type="auto"/>
          </w:tcPr>
          <w:p w14:paraId="21E71D97" w14:textId="77777777" w:rsidR="00E87966" w:rsidRPr="0052264D" w:rsidRDefault="00E87966" w:rsidP="00751B91">
            <w:r w:rsidRPr="0052264D">
              <w:rPr>
                <w:rFonts w:eastAsia="Arial"/>
              </w:rPr>
              <w:t>Ratio of Max/Min</w:t>
            </w:r>
          </w:p>
        </w:tc>
        <w:tc>
          <w:tcPr>
            <w:tcW w:w="0" w:type="auto"/>
          </w:tcPr>
          <w:p w14:paraId="3A66EE0A" w14:textId="77777777" w:rsidR="00E87966" w:rsidRPr="0052264D" w:rsidRDefault="00E87966" w:rsidP="00751B91">
            <w:r w:rsidRPr="0052264D">
              <w:rPr>
                <w:rFonts w:eastAsia="Arial"/>
              </w:rPr>
              <w:t>Ratio of 95%/5%</w:t>
            </w:r>
          </w:p>
        </w:tc>
        <w:tc>
          <w:tcPr>
            <w:tcW w:w="0" w:type="auto"/>
          </w:tcPr>
          <w:p w14:paraId="19C6DAB7" w14:textId="77777777" w:rsidR="00E87966" w:rsidRPr="0052264D" w:rsidRDefault="00E87966" w:rsidP="00751B91">
            <w:r w:rsidRPr="0052264D">
              <w:rPr>
                <w:rFonts w:eastAsia="Arial"/>
              </w:rPr>
              <w:t>IQR</w:t>
            </w:r>
          </w:p>
        </w:tc>
        <w:tc>
          <w:tcPr>
            <w:tcW w:w="0" w:type="auto"/>
          </w:tcPr>
          <w:p w14:paraId="7CC1533A" w14:textId="77777777" w:rsidR="00E87966" w:rsidRPr="0052264D" w:rsidRDefault="00E87966" w:rsidP="00751B91">
            <w:r w:rsidRPr="0052264D">
              <w:rPr>
                <w:rFonts w:eastAsia="Arial"/>
              </w:rPr>
              <w:t>Median</w:t>
            </w:r>
          </w:p>
        </w:tc>
        <w:tc>
          <w:tcPr>
            <w:tcW w:w="0" w:type="auto"/>
          </w:tcPr>
          <w:p w14:paraId="1FA2D37B" w14:textId="77777777" w:rsidR="00E87966" w:rsidRPr="0052264D" w:rsidRDefault="00E87966" w:rsidP="00751B91">
            <w:r w:rsidRPr="0052264D">
              <w:rPr>
                <w:rFonts w:eastAsia="Arial"/>
              </w:rPr>
              <w:t>Mean</w:t>
            </w:r>
          </w:p>
        </w:tc>
        <w:tc>
          <w:tcPr>
            <w:tcW w:w="0" w:type="auto"/>
          </w:tcPr>
          <w:p w14:paraId="4497CF74" w14:textId="77777777" w:rsidR="00E87966" w:rsidRPr="0052264D" w:rsidRDefault="00E87966" w:rsidP="00751B91">
            <w:r w:rsidRPr="0052264D">
              <w:rPr>
                <w:rFonts w:eastAsia="Arial"/>
              </w:rPr>
              <w:t>Count</w:t>
            </w:r>
          </w:p>
        </w:tc>
      </w:tr>
      <w:tr w:rsidR="00147027" w:rsidRPr="00F44860" w14:paraId="1ED3F393" w14:textId="77777777" w:rsidTr="00F44860">
        <w:trPr>
          <w:cnfStyle w:val="000000100000" w:firstRow="0" w:lastRow="0" w:firstColumn="0" w:lastColumn="0" w:oddVBand="0" w:evenVBand="0" w:oddHBand="1" w:evenHBand="0" w:firstRowFirstColumn="0" w:firstRowLastColumn="0" w:lastRowFirstColumn="0" w:lastRowLastColumn="0"/>
          <w:trHeight w:val="949"/>
          <w:jc w:val="center"/>
        </w:trPr>
        <w:tc>
          <w:tcPr>
            <w:tcW w:w="1326" w:type="dxa"/>
          </w:tcPr>
          <w:p w14:paraId="523681E1" w14:textId="07DD990D" w:rsidR="00147027" w:rsidRPr="0052264D" w:rsidRDefault="00147027" w:rsidP="00147027">
            <w:r w:rsidRPr="00F06914">
              <w:t>HCoV-229E Spike</w:t>
            </w:r>
            <w:r>
              <w:t xml:space="preserve"> IgG</w:t>
            </w:r>
          </w:p>
        </w:tc>
        <w:tc>
          <w:tcPr>
            <w:tcW w:w="1107" w:type="dxa"/>
          </w:tcPr>
          <w:p w14:paraId="10218270" w14:textId="502D2C88" w:rsidR="00147027" w:rsidRPr="0052264D" w:rsidRDefault="00147027" w:rsidP="00147027">
            <w:r w:rsidRPr="00F06914">
              <w:t xml:space="preserve">0.036  </w:t>
            </w:r>
          </w:p>
        </w:tc>
        <w:tc>
          <w:tcPr>
            <w:tcW w:w="0" w:type="auto"/>
          </w:tcPr>
          <w:p w14:paraId="7095B32A" w14:textId="055723A4" w:rsidR="00147027" w:rsidRPr="0052264D" w:rsidRDefault="00147027" w:rsidP="00147027">
            <w:r w:rsidRPr="00F06914">
              <w:t xml:space="preserve">0.995  </w:t>
            </w:r>
          </w:p>
        </w:tc>
        <w:tc>
          <w:tcPr>
            <w:tcW w:w="0" w:type="auto"/>
          </w:tcPr>
          <w:p w14:paraId="3A07401A" w14:textId="239EAE2C" w:rsidR="00147027" w:rsidRPr="0052264D" w:rsidRDefault="00147027" w:rsidP="00147027">
            <w:r w:rsidRPr="00F06914">
              <w:t xml:space="preserve">8.15   </w:t>
            </w:r>
          </w:p>
        </w:tc>
        <w:tc>
          <w:tcPr>
            <w:tcW w:w="0" w:type="auto"/>
          </w:tcPr>
          <w:p w14:paraId="43330A60" w14:textId="432925AC" w:rsidR="00147027" w:rsidRPr="0052264D" w:rsidRDefault="00147027" w:rsidP="00147027">
            <w:r w:rsidRPr="00F06914">
              <w:t xml:space="preserve">45.5   </w:t>
            </w:r>
          </w:p>
        </w:tc>
        <w:tc>
          <w:tcPr>
            <w:tcW w:w="0" w:type="auto"/>
          </w:tcPr>
          <w:p w14:paraId="1821D20E" w14:textId="68194A7F" w:rsidR="00147027" w:rsidRPr="0052264D" w:rsidRDefault="00147027" w:rsidP="00147027">
            <w:r w:rsidRPr="00F06914">
              <w:t xml:space="preserve">143    </w:t>
            </w:r>
          </w:p>
        </w:tc>
        <w:tc>
          <w:tcPr>
            <w:tcW w:w="0" w:type="auto"/>
          </w:tcPr>
          <w:p w14:paraId="64841A02" w14:textId="54475ED4" w:rsidR="00147027" w:rsidRPr="0052264D" w:rsidRDefault="00147027" w:rsidP="00147027">
            <w:r w:rsidRPr="00F06914">
              <w:t>150</w:t>
            </w:r>
          </w:p>
        </w:tc>
        <w:tc>
          <w:tcPr>
            <w:tcW w:w="0" w:type="auto"/>
          </w:tcPr>
          <w:p w14:paraId="3AE69E09" w14:textId="19DE04DE" w:rsidR="00147027" w:rsidRPr="0052264D" w:rsidRDefault="00147027" w:rsidP="00147027">
            <w:r w:rsidRPr="00F06914">
              <w:t>4.2e+03</w:t>
            </w:r>
          </w:p>
        </w:tc>
        <w:tc>
          <w:tcPr>
            <w:tcW w:w="0" w:type="auto"/>
          </w:tcPr>
          <w:p w14:paraId="3C499AE8" w14:textId="0612A8AD" w:rsidR="00147027" w:rsidRPr="0052264D" w:rsidRDefault="00147027" w:rsidP="00147027">
            <w:r w:rsidRPr="00F06914">
              <w:t xml:space="preserve">140      </w:t>
            </w:r>
          </w:p>
        </w:tc>
        <w:tc>
          <w:tcPr>
            <w:tcW w:w="0" w:type="auto"/>
          </w:tcPr>
          <w:p w14:paraId="6EC895BD" w14:textId="1444E436" w:rsidR="00147027" w:rsidRPr="0052264D" w:rsidRDefault="00147027" w:rsidP="00147027">
            <w:r w:rsidRPr="00F06914">
              <w:t xml:space="preserve">37.3   </w:t>
            </w:r>
          </w:p>
        </w:tc>
        <w:tc>
          <w:tcPr>
            <w:tcW w:w="0" w:type="auto"/>
          </w:tcPr>
          <w:p w14:paraId="20255D3D" w14:textId="699B73DB" w:rsidR="00147027" w:rsidRPr="0052264D" w:rsidRDefault="00147027" w:rsidP="00147027">
            <w:r w:rsidRPr="00F06914">
              <w:t xml:space="preserve">21.4    </w:t>
            </w:r>
          </w:p>
        </w:tc>
        <w:tc>
          <w:tcPr>
            <w:tcW w:w="0" w:type="auto"/>
          </w:tcPr>
          <w:p w14:paraId="54769E16" w14:textId="401A6CEE" w:rsidR="00147027" w:rsidRPr="0052264D" w:rsidRDefault="00147027" w:rsidP="00147027">
            <w:r w:rsidRPr="00F06914">
              <w:t xml:space="preserve">36.2  </w:t>
            </w:r>
          </w:p>
        </w:tc>
        <w:tc>
          <w:tcPr>
            <w:tcW w:w="0" w:type="auto"/>
          </w:tcPr>
          <w:p w14:paraId="659BA348" w14:textId="1B12CCE7" w:rsidR="00147027" w:rsidRPr="0052264D" w:rsidRDefault="00147027" w:rsidP="00147027">
            <w:r w:rsidRPr="00F06914">
              <w:t>302</w:t>
            </w:r>
          </w:p>
        </w:tc>
      </w:tr>
      <w:tr w:rsidR="00147027" w:rsidRPr="00F44860" w14:paraId="5C153CD8" w14:textId="77777777" w:rsidTr="00F44860">
        <w:trPr>
          <w:trHeight w:val="949"/>
          <w:jc w:val="center"/>
        </w:trPr>
        <w:tc>
          <w:tcPr>
            <w:tcW w:w="1326" w:type="dxa"/>
          </w:tcPr>
          <w:p w14:paraId="44340FE4" w14:textId="2706EF78" w:rsidR="00147027" w:rsidRPr="0052264D" w:rsidRDefault="00147027" w:rsidP="00147027">
            <w:r w:rsidRPr="00F06914">
              <w:t>HCoV-HKU1 Spike</w:t>
            </w:r>
            <w:r>
              <w:t xml:space="preserve"> IgG</w:t>
            </w:r>
          </w:p>
        </w:tc>
        <w:tc>
          <w:tcPr>
            <w:tcW w:w="1107" w:type="dxa"/>
          </w:tcPr>
          <w:p w14:paraId="1C526E3B" w14:textId="37A353A0" w:rsidR="00147027" w:rsidRPr="0052264D" w:rsidRDefault="00147027" w:rsidP="00147027">
            <w:r w:rsidRPr="00F06914">
              <w:t xml:space="preserve">0.148  </w:t>
            </w:r>
          </w:p>
        </w:tc>
        <w:tc>
          <w:tcPr>
            <w:tcW w:w="0" w:type="auto"/>
          </w:tcPr>
          <w:p w14:paraId="215B7D17" w14:textId="1DF7B7F5" w:rsidR="00147027" w:rsidRPr="0052264D" w:rsidRDefault="00147027" w:rsidP="00147027">
            <w:r w:rsidRPr="00F06914">
              <w:t xml:space="preserve">0.515  </w:t>
            </w:r>
          </w:p>
        </w:tc>
        <w:tc>
          <w:tcPr>
            <w:tcW w:w="0" w:type="auto"/>
          </w:tcPr>
          <w:p w14:paraId="4DDAA2E9" w14:textId="48A70078" w:rsidR="00147027" w:rsidRPr="0052264D" w:rsidRDefault="00147027" w:rsidP="00147027">
            <w:r w:rsidRPr="00F06914">
              <w:t xml:space="preserve">4.28   </w:t>
            </w:r>
          </w:p>
        </w:tc>
        <w:tc>
          <w:tcPr>
            <w:tcW w:w="0" w:type="auto"/>
          </w:tcPr>
          <w:p w14:paraId="57A8B064" w14:textId="61413BA5" w:rsidR="00147027" w:rsidRPr="0052264D" w:rsidRDefault="00147027" w:rsidP="00147027">
            <w:r w:rsidRPr="00F06914">
              <w:t xml:space="preserve">35.1   </w:t>
            </w:r>
          </w:p>
        </w:tc>
        <w:tc>
          <w:tcPr>
            <w:tcW w:w="0" w:type="auto"/>
          </w:tcPr>
          <w:p w14:paraId="7D83CDCE" w14:textId="1AC78683" w:rsidR="00147027" w:rsidRPr="0052264D" w:rsidRDefault="00147027" w:rsidP="00147027">
            <w:r w:rsidRPr="00F06914">
              <w:t xml:space="preserve">150    </w:t>
            </w:r>
          </w:p>
        </w:tc>
        <w:tc>
          <w:tcPr>
            <w:tcW w:w="0" w:type="auto"/>
          </w:tcPr>
          <w:p w14:paraId="447B641A" w14:textId="14B14A6F" w:rsidR="00147027" w:rsidRPr="0052264D" w:rsidRDefault="00147027" w:rsidP="00147027">
            <w:r w:rsidRPr="00F06914">
              <w:t>150</w:t>
            </w:r>
          </w:p>
        </w:tc>
        <w:tc>
          <w:tcPr>
            <w:tcW w:w="0" w:type="auto"/>
          </w:tcPr>
          <w:p w14:paraId="4CBC147C" w14:textId="26E2152F" w:rsidR="00147027" w:rsidRPr="0052264D" w:rsidRDefault="00147027" w:rsidP="00147027">
            <w:r w:rsidRPr="00F06914">
              <w:t xml:space="preserve">1e+03      </w:t>
            </w:r>
          </w:p>
        </w:tc>
        <w:tc>
          <w:tcPr>
            <w:tcW w:w="0" w:type="auto"/>
          </w:tcPr>
          <w:p w14:paraId="666AA71F" w14:textId="7D516133" w:rsidR="00147027" w:rsidRPr="0052264D" w:rsidRDefault="00147027" w:rsidP="00147027">
            <w:r w:rsidRPr="00F06914">
              <w:t xml:space="preserve">290      </w:t>
            </w:r>
          </w:p>
        </w:tc>
        <w:tc>
          <w:tcPr>
            <w:tcW w:w="0" w:type="auto"/>
          </w:tcPr>
          <w:p w14:paraId="249A3471" w14:textId="595D61DF" w:rsidR="00147027" w:rsidRPr="0052264D" w:rsidRDefault="00147027" w:rsidP="00147027">
            <w:r w:rsidRPr="00F06914">
              <w:t xml:space="preserve">30.8   </w:t>
            </w:r>
          </w:p>
        </w:tc>
        <w:tc>
          <w:tcPr>
            <w:tcW w:w="0" w:type="auto"/>
          </w:tcPr>
          <w:p w14:paraId="4ADAA745" w14:textId="53BD3176" w:rsidR="00147027" w:rsidRPr="0052264D" w:rsidRDefault="00147027" w:rsidP="00147027">
            <w:r w:rsidRPr="00F06914">
              <w:t xml:space="preserve">12.1    </w:t>
            </w:r>
          </w:p>
        </w:tc>
        <w:tc>
          <w:tcPr>
            <w:tcW w:w="0" w:type="auto"/>
          </w:tcPr>
          <w:p w14:paraId="414FE233" w14:textId="793351E8" w:rsidR="00147027" w:rsidRPr="0052264D" w:rsidRDefault="00147027" w:rsidP="00147027">
            <w:r w:rsidRPr="00F06914">
              <w:t xml:space="preserve">29.4  </w:t>
            </w:r>
          </w:p>
        </w:tc>
        <w:tc>
          <w:tcPr>
            <w:tcW w:w="0" w:type="auto"/>
          </w:tcPr>
          <w:p w14:paraId="30A59A17" w14:textId="0B1F9106" w:rsidR="00147027" w:rsidRPr="0052264D" w:rsidRDefault="00147027" w:rsidP="00147027">
            <w:r w:rsidRPr="00F06914">
              <w:t>302</w:t>
            </w:r>
          </w:p>
        </w:tc>
      </w:tr>
      <w:tr w:rsidR="00147027" w:rsidRPr="00F44860" w14:paraId="7625F8C7" w14:textId="77777777" w:rsidTr="00F44860">
        <w:trPr>
          <w:cnfStyle w:val="000000100000" w:firstRow="0" w:lastRow="0" w:firstColumn="0" w:lastColumn="0" w:oddVBand="0" w:evenVBand="0" w:oddHBand="1" w:evenHBand="0" w:firstRowFirstColumn="0" w:firstRowLastColumn="0" w:lastRowFirstColumn="0" w:lastRowLastColumn="0"/>
          <w:trHeight w:val="949"/>
          <w:jc w:val="center"/>
        </w:trPr>
        <w:tc>
          <w:tcPr>
            <w:tcW w:w="1326" w:type="dxa"/>
          </w:tcPr>
          <w:p w14:paraId="35CC182A" w14:textId="57EBED4A" w:rsidR="00147027" w:rsidRPr="0052264D" w:rsidRDefault="00147027" w:rsidP="00147027">
            <w:r w:rsidRPr="00F06914">
              <w:t>HCoV-NL63 Spike</w:t>
            </w:r>
            <w:r>
              <w:t xml:space="preserve"> IgG</w:t>
            </w:r>
          </w:p>
        </w:tc>
        <w:tc>
          <w:tcPr>
            <w:tcW w:w="1107" w:type="dxa"/>
          </w:tcPr>
          <w:p w14:paraId="71C7DA19" w14:textId="5E549B50" w:rsidR="00147027" w:rsidRPr="0052264D" w:rsidRDefault="00147027" w:rsidP="00147027">
            <w:r w:rsidRPr="00F06914">
              <w:t xml:space="preserve">0.0389 </w:t>
            </w:r>
          </w:p>
        </w:tc>
        <w:tc>
          <w:tcPr>
            <w:tcW w:w="0" w:type="auto"/>
          </w:tcPr>
          <w:p w14:paraId="1B06DEEE" w14:textId="5259981C" w:rsidR="00147027" w:rsidRPr="0052264D" w:rsidRDefault="00147027" w:rsidP="00147027">
            <w:r w:rsidRPr="00F06914">
              <w:t xml:space="preserve">0.289  </w:t>
            </w:r>
          </w:p>
        </w:tc>
        <w:tc>
          <w:tcPr>
            <w:tcW w:w="0" w:type="auto"/>
          </w:tcPr>
          <w:p w14:paraId="71A30F06" w14:textId="2FB36073" w:rsidR="00147027" w:rsidRPr="0052264D" w:rsidRDefault="00147027" w:rsidP="00147027">
            <w:r w:rsidRPr="00F06914">
              <w:t xml:space="preserve">1.41   </w:t>
            </w:r>
          </w:p>
        </w:tc>
        <w:tc>
          <w:tcPr>
            <w:tcW w:w="0" w:type="auto"/>
          </w:tcPr>
          <w:p w14:paraId="17844CB9" w14:textId="6CB5CDC7" w:rsidR="00147027" w:rsidRPr="0052264D" w:rsidRDefault="00147027" w:rsidP="00147027">
            <w:r w:rsidRPr="00F06914">
              <w:t xml:space="preserve">7.85  </w:t>
            </w:r>
          </w:p>
        </w:tc>
        <w:tc>
          <w:tcPr>
            <w:tcW w:w="0" w:type="auto"/>
          </w:tcPr>
          <w:p w14:paraId="49800C47" w14:textId="57594244" w:rsidR="00147027" w:rsidRPr="0052264D" w:rsidRDefault="00147027" w:rsidP="00147027">
            <w:r w:rsidRPr="00F06914">
              <w:t xml:space="preserve">25    </w:t>
            </w:r>
          </w:p>
        </w:tc>
        <w:tc>
          <w:tcPr>
            <w:tcW w:w="0" w:type="auto"/>
          </w:tcPr>
          <w:p w14:paraId="5063ED0A" w14:textId="19ED1617" w:rsidR="00147027" w:rsidRPr="0052264D" w:rsidRDefault="00147027" w:rsidP="00147027">
            <w:r w:rsidRPr="00F06914">
              <w:t>25</w:t>
            </w:r>
          </w:p>
        </w:tc>
        <w:tc>
          <w:tcPr>
            <w:tcW w:w="0" w:type="auto"/>
          </w:tcPr>
          <w:p w14:paraId="24896C08" w14:textId="240652E4" w:rsidR="00147027" w:rsidRPr="0052264D" w:rsidRDefault="00147027" w:rsidP="00147027">
            <w:r w:rsidRPr="00F06914">
              <w:t xml:space="preserve">640      </w:t>
            </w:r>
          </w:p>
        </w:tc>
        <w:tc>
          <w:tcPr>
            <w:tcW w:w="0" w:type="auto"/>
          </w:tcPr>
          <w:p w14:paraId="470228C0" w14:textId="11B32897" w:rsidR="00147027" w:rsidRPr="0052264D" w:rsidRDefault="00147027" w:rsidP="00147027">
            <w:r w:rsidRPr="00F06914">
              <w:t xml:space="preserve">87      </w:t>
            </w:r>
          </w:p>
        </w:tc>
        <w:tc>
          <w:tcPr>
            <w:tcW w:w="0" w:type="auto"/>
          </w:tcPr>
          <w:p w14:paraId="38E23048" w14:textId="367CE75B" w:rsidR="00147027" w:rsidRPr="0052264D" w:rsidRDefault="00147027" w:rsidP="00147027">
            <w:r w:rsidRPr="00F06914">
              <w:t xml:space="preserve">6.44  </w:t>
            </w:r>
          </w:p>
        </w:tc>
        <w:tc>
          <w:tcPr>
            <w:tcW w:w="0" w:type="auto"/>
          </w:tcPr>
          <w:p w14:paraId="58630E86" w14:textId="37A7ED30" w:rsidR="00147027" w:rsidRPr="0052264D" w:rsidRDefault="00147027" w:rsidP="00147027">
            <w:r w:rsidRPr="00F06914">
              <w:t xml:space="preserve">3.5    </w:t>
            </w:r>
          </w:p>
        </w:tc>
        <w:tc>
          <w:tcPr>
            <w:tcW w:w="0" w:type="auto"/>
          </w:tcPr>
          <w:p w14:paraId="6B3118BF" w14:textId="693B5BD4" w:rsidR="00147027" w:rsidRPr="0052264D" w:rsidRDefault="00147027" w:rsidP="00147027">
            <w:r w:rsidRPr="00F06914">
              <w:t xml:space="preserve">6.33 </w:t>
            </w:r>
          </w:p>
        </w:tc>
        <w:tc>
          <w:tcPr>
            <w:tcW w:w="0" w:type="auto"/>
          </w:tcPr>
          <w:p w14:paraId="558F5112" w14:textId="7204EC31" w:rsidR="00147027" w:rsidRPr="0052264D" w:rsidRDefault="00147027" w:rsidP="00147027">
            <w:r w:rsidRPr="00F06914">
              <w:t>302</w:t>
            </w:r>
          </w:p>
        </w:tc>
      </w:tr>
      <w:tr w:rsidR="00147027" w:rsidRPr="00F44860" w14:paraId="64D9450F" w14:textId="77777777" w:rsidTr="00F44860">
        <w:trPr>
          <w:trHeight w:val="949"/>
          <w:jc w:val="center"/>
        </w:trPr>
        <w:tc>
          <w:tcPr>
            <w:tcW w:w="1326" w:type="dxa"/>
          </w:tcPr>
          <w:p w14:paraId="29C5D0F2" w14:textId="51C8C135" w:rsidR="00147027" w:rsidRPr="0052264D" w:rsidRDefault="00147027" w:rsidP="00147027">
            <w:r w:rsidRPr="00F06914">
              <w:t>HCoV-OC43 Spike</w:t>
            </w:r>
            <w:r>
              <w:t xml:space="preserve"> IgG</w:t>
            </w:r>
          </w:p>
        </w:tc>
        <w:tc>
          <w:tcPr>
            <w:tcW w:w="1107" w:type="dxa"/>
          </w:tcPr>
          <w:p w14:paraId="24EDA80F" w14:textId="25B88F0B" w:rsidR="00147027" w:rsidRPr="0052264D" w:rsidRDefault="00147027" w:rsidP="00147027">
            <w:r w:rsidRPr="00F06914">
              <w:t xml:space="preserve">0.392  </w:t>
            </w:r>
          </w:p>
        </w:tc>
        <w:tc>
          <w:tcPr>
            <w:tcW w:w="0" w:type="auto"/>
          </w:tcPr>
          <w:p w14:paraId="4C55209D" w14:textId="22739F35" w:rsidR="00147027" w:rsidRPr="0052264D" w:rsidRDefault="00147027" w:rsidP="00147027">
            <w:r w:rsidRPr="00F06914">
              <w:t xml:space="preserve">2.13   </w:t>
            </w:r>
          </w:p>
        </w:tc>
        <w:tc>
          <w:tcPr>
            <w:tcW w:w="0" w:type="auto"/>
          </w:tcPr>
          <w:p w14:paraId="78D106B7" w14:textId="0E280BB8" w:rsidR="00147027" w:rsidRPr="0052264D" w:rsidRDefault="00147027" w:rsidP="00147027">
            <w:r w:rsidRPr="00F06914">
              <w:t xml:space="preserve">13      </w:t>
            </w:r>
          </w:p>
        </w:tc>
        <w:tc>
          <w:tcPr>
            <w:tcW w:w="0" w:type="auto"/>
          </w:tcPr>
          <w:p w14:paraId="05FB98F7" w14:textId="5588CE24" w:rsidR="00147027" w:rsidRPr="0052264D" w:rsidRDefault="00147027" w:rsidP="00147027">
            <w:r w:rsidRPr="00F06914">
              <w:t xml:space="preserve">91.1   </w:t>
            </w:r>
          </w:p>
        </w:tc>
        <w:tc>
          <w:tcPr>
            <w:tcW w:w="0" w:type="auto"/>
          </w:tcPr>
          <w:p w14:paraId="2027E039" w14:textId="02BA9392" w:rsidR="00147027" w:rsidRPr="0052264D" w:rsidRDefault="00147027" w:rsidP="00147027">
            <w:r w:rsidRPr="00F06914">
              <w:t xml:space="preserve">250    </w:t>
            </w:r>
          </w:p>
        </w:tc>
        <w:tc>
          <w:tcPr>
            <w:tcW w:w="0" w:type="auto"/>
          </w:tcPr>
          <w:p w14:paraId="34D1AFCB" w14:textId="27AFD403" w:rsidR="00147027" w:rsidRPr="0052264D" w:rsidRDefault="00147027" w:rsidP="00147027">
            <w:r w:rsidRPr="00F06914">
              <w:t>250</w:t>
            </w:r>
          </w:p>
        </w:tc>
        <w:tc>
          <w:tcPr>
            <w:tcW w:w="0" w:type="auto"/>
          </w:tcPr>
          <w:p w14:paraId="6B51C45A" w14:textId="075B2BA3" w:rsidR="00147027" w:rsidRPr="0052264D" w:rsidRDefault="00147027" w:rsidP="00147027">
            <w:r w:rsidRPr="00F06914">
              <w:t xml:space="preserve">640      </w:t>
            </w:r>
          </w:p>
        </w:tc>
        <w:tc>
          <w:tcPr>
            <w:tcW w:w="0" w:type="auto"/>
          </w:tcPr>
          <w:p w14:paraId="3AE6A715" w14:textId="232DECB1" w:rsidR="00147027" w:rsidRPr="0052264D" w:rsidRDefault="00147027" w:rsidP="00147027">
            <w:r w:rsidRPr="00F06914">
              <w:t xml:space="preserve">120      </w:t>
            </w:r>
          </w:p>
        </w:tc>
        <w:tc>
          <w:tcPr>
            <w:tcW w:w="0" w:type="auto"/>
          </w:tcPr>
          <w:p w14:paraId="3DA4AA2B" w14:textId="69385647" w:rsidR="00147027" w:rsidRPr="0052264D" w:rsidRDefault="00147027" w:rsidP="00147027">
            <w:r w:rsidRPr="00F06914">
              <w:t xml:space="preserve">78.1   </w:t>
            </w:r>
          </w:p>
        </w:tc>
        <w:tc>
          <w:tcPr>
            <w:tcW w:w="0" w:type="auto"/>
          </w:tcPr>
          <w:p w14:paraId="71210FC8" w14:textId="4F2899AF" w:rsidR="00147027" w:rsidRPr="0052264D" w:rsidRDefault="00147027" w:rsidP="00147027">
            <w:r w:rsidRPr="00F06914">
              <w:t xml:space="preserve">38.4    </w:t>
            </w:r>
          </w:p>
        </w:tc>
        <w:tc>
          <w:tcPr>
            <w:tcW w:w="0" w:type="auto"/>
          </w:tcPr>
          <w:p w14:paraId="1C675588" w14:textId="0ECCFB77" w:rsidR="00147027" w:rsidRPr="0052264D" w:rsidRDefault="00147027" w:rsidP="00147027">
            <w:r w:rsidRPr="00F06914">
              <w:t xml:space="preserve">67.3  </w:t>
            </w:r>
          </w:p>
        </w:tc>
        <w:tc>
          <w:tcPr>
            <w:tcW w:w="0" w:type="auto"/>
          </w:tcPr>
          <w:p w14:paraId="43490F35" w14:textId="359898F9" w:rsidR="00147027" w:rsidRPr="0052264D" w:rsidRDefault="00147027" w:rsidP="00147027">
            <w:r w:rsidRPr="00F06914">
              <w:t>302</w:t>
            </w:r>
          </w:p>
        </w:tc>
      </w:tr>
      <w:tr w:rsidR="00147027" w:rsidRPr="00F44860" w14:paraId="46C6F236" w14:textId="77777777" w:rsidTr="00F44860">
        <w:trPr>
          <w:cnfStyle w:val="000000100000" w:firstRow="0" w:lastRow="0" w:firstColumn="0" w:lastColumn="0" w:oddVBand="0" w:evenVBand="0" w:oddHBand="1" w:evenHBand="0" w:firstRowFirstColumn="0" w:firstRowLastColumn="0" w:lastRowFirstColumn="0" w:lastRowLastColumn="0"/>
          <w:trHeight w:val="949"/>
          <w:jc w:val="center"/>
        </w:trPr>
        <w:tc>
          <w:tcPr>
            <w:tcW w:w="1326" w:type="dxa"/>
          </w:tcPr>
          <w:p w14:paraId="7E3B445C" w14:textId="2515F8DD" w:rsidR="00147027" w:rsidRPr="0052264D" w:rsidRDefault="00147027" w:rsidP="00147027">
            <w:r w:rsidRPr="00F06914">
              <w:t>SARS-CoV-1 Spike</w:t>
            </w:r>
            <w:r>
              <w:t xml:space="preserve"> IgG</w:t>
            </w:r>
          </w:p>
        </w:tc>
        <w:tc>
          <w:tcPr>
            <w:tcW w:w="1107" w:type="dxa"/>
          </w:tcPr>
          <w:p w14:paraId="42BA7D8D" w14:textId="3B4099A6" w:rsidR="00147027" w:rsidRPr="0052264D" w:rsidRDefault="00147027" w:rsidP="00147027">
            <w:r w:rsidRPr="00F06914">
              <w:t xml:space="preserve">0.0438 </w:t>
            </w:r>
          </w:p>
        </w:tc>
        <w:tc>
          <w:tcPr>
            <w:tcW w:w="0" w:type="auto"/>
          </w:tcPr>
          <w:p w14:paraId="076F5514" w14:textId="6BE294B6" w:rsidR="00147027" w:rsidRPr="0052264D" w:rsidRDefault="00147027" w:rsidP="00147027">
            <w:r w:rsidRPr="00F06914">
              <w:t xml:space="preserve">0.0438 </w:t>
            </w:r>
          </w:p>
        </w:tc>
        <w:tc>
          <w:tcPr>
            <w:tcW w:w="0" w:type="auto"/>
          </w:tcPr>
          <w:p w14:paraId="551FA559" w14:textId="57C50617" w:rsidR="00147027" w:rsidRPr="0052264D" w:rsidRDefault="00147027" w:rsidP="00147027">
            <w:r w:rsidRPr="00F06914">
              <w:t xml:space="preserve">0.0569 </w:t>
            </w:r>
          </w:p>
        </w:tc>
        <w:tc>
          <w:tcPr>
            <w:tcW w:w="0" w:type="auto"/>
          </w:tcPr>
          <w:p w14:paraId="3A17334E" w14:textId="34452364" w:rsidR="00147027" w:rsidRPr="0052264D" w:rsidRDefault="00147027" w:rsidP="00147027">
            <w:r w:rsidRPr="00F06914">
              <w:t xml:space="preserve">0.843 </w:t>
            </w:r>
          </w:p>
        </w:tc>
        <w:tc>
          <w:tcPr>
            <w:tcW w:w="0" w:type="auto"/>
          </w:tcPr>
          <w:p w14:paraId="2718075C" w14:textId="43EBEC25" w:rsidR="00147027" w:rsidRPr="0052264D" w:rsidRDefault="00147027" w:rsidP="00147027">
            <w:r w:rsidRPr="00F06914">
              <w:t xml:space="preserve">15.3  </w:t>
            </w:r>
          </w:p>
        </w:tc>
        <w:tc>
          <w:tcPr>
            <w:tcW w:w="0" w:type="auto"/>
          </w:tcPr>
          <w:p w14:paraId="5FDF2DF6" w14:textId="3FB5AA6B" w:rsidR="00147027" w:rsidRPr="0052264D" w:rsidRDefault="00147027" w:rsidP="00147027">
            <w:r w:rsidRPr="00F06914">
              <w:t>25</w:t>
            </w:r>
          </w:p>
        </w:tc>
        <w:tc>
          <w:tcPr>
            <w:tcW w:w="0" w:type="auto"/>
          </w:tcPr>
          <w:p w14:paraId="0FF31288" w14:textId="3606866E" w:rsidR="00147027" w:rsidRPr="0052264D" w:rsidRDefault="00147027" w:rsidP="00147027">
            <w:r w:rsidRPr="00F06914">
              <w:t xml:space="preserve">570      </w:t>
            </w:r>
          </w:p>
        </w:tc>
        <w:tc>
          <w:tcPr>
            <w:tcW w:w="0" w:type="auto"/>
          </w:tcPr>
          <w:p w14:paraId="7B1AAEEA" w14:textId="062B1964" w:rsidR="00147027" w:rsidRPr="0052264D" w:rsidRDefault="00147027" w:rsidP="00147027">
            <w:r w:rsidRPr="00F06914">
              <w:t xml:space="preserve">350      </w:t>
            </w:r>
          </w:p>
        </w:tc>
        <w:tc>
          <w:tcPr>
            <w:tcW w:w="0" w:type="auto"/>
          </w:tcPr>
          <w:p w14:paraId="49B53A19" w14:textId="5DDF42C5" w:rsidR="00147027" w:rsidRPr="0052264D" w:rsidRDefault="00147027" w:rsidP="00147027">
            <w:r w:rsidRPr="00F06914">
              <w:t xml:space="preserve">0.786 </w:t>
            </w:r>
          </w:p>
        </w:tc>
        <w:tc>
          <w:tcPr>
            <w:tcW w:w="0" w:type="auto"/>
          </w:tcPr>
          <w:p w14:paraId="4882AAEC" w14:textId="0A57B42E" w:rsidR="00147027" w:rsidRPr="0052264D" w:rsidRDefault="00147027" w:rsidP="00147027">
            <w:r w:rsidRPr="00F06914">
              <w:t xml:space="preserve">0.169  </w:t>
            </w:r>
          </w:p>
        </w:tc>
        <w:tc>
          <w:tcPr>
            <w:tcW w:w="0" w:type="auto"/>
          </w:tcPr>
          <w:p w14:paraId="57E3F168" w14:textId="0529479D" w:rsidR="00147027" w:rsidRPr="0052264D" w:rsidRDefault="00147027" w:rsidP="00147027">
            <w:r w:rsidRPr="00F06914">
              <w:t xml:space="preserve">2.22 </w:t>
            </w:r>
          </w:p>
        </w:tc>
        <w:tc>
          <w:tcPr>
            <w:tcW w:w="0" w:type="auto"/>
          </w:tcPr>
          <w:p w14:paraId="5EB0FC2B" w14:textId="5654D44C" w:rsidR="00147027" w:rsidRPr="0052264D" w:rsidRDefault="00147027" w:rsidP="00147027">
            <w:r w:rsidRPr="00F06914">
              <w:t>302</w:t>
            </w:r>
          </w:p>
        </w:tc>
      </w:tr>
      <w:tr w:rsidR="00147027" w:rsidRPr="00F44860" w14:paraId="2ECB12D5" w14:textId="77777777" w:rsidTr="00F44860">
        <w:trPr>
          <w:trHeight w:val="712"/>
          <w:jc w:val="center"/>
        </w:trPr>
        <w:tc>
          <w:tcPr>
            <w:tcW w:w="1326" w:type="dxa"/>
          </w:tcPr>
          <w:p w14:paraId="5946CD5E" w14:textId="124366F5" w:rsidR="00147027" w:rsidRPr="0052264D" w:rsidRDefault="00147027" w:rsidP="00147027">
            <w:r w:rsidRPr="00F06914">
              <w:t>SARS-CoV-2 N</w:t>
            </w:r>
            <w:r>
              <w:t xml:space="preserve"> IgG</w:t>
            </w:r>
          </w:p>
        </w:tc>
        <w:tc>
          <w:tcPr>
            <w:tcW w:w="1107" w:type="dxa"/>
          </w:tcPr>
          <w:p w14:paraId="0C41817E" w14:textId="7D17DAE1" w:rsidR="00147027" w:rsidRPr="0052264D" w:rsidRDefault="00147027" w:rsidP="00147027">
            <w:r w:rsidRPr="00F06914">
              <w:t xml:space="preserve">0.0381 </w:t>
            </w:r>
          </w:p>
        </w:tc>
        <w:tc>
          <w:tcPr>
            <w:tcW w:w="0" w:type="auto"/>
          </w:tcPr>
          <w:p w14:paraId="4811794B" w14:textId="64BD4BC3" w:rsidR="00147027" w:rsidRPr="0052264D" w:rsidRDefault="00147027" w:rsidP="00147027">
            <w:r w:rsidRPr="00F06914">
              <w:t xml:space="preserve">0.0381 </w:t>
            </w:r>
          </w:p>
        </w:tc>
        <w:tc>
          <w:tcPr>
            <w:tcW w:w="0" w:type="auto"/>
          </w:tcPr>
          <w:p w14:paraId="616706C3" w14:textId="06902C96" w:rsidR="00147027" w:rsidRPr="0052264D" w:rsidRDefault="00147027" w:rsidP="00147027">
            <w:r w:rsidRPr="00F06914">
              <w:t xml:space="preserve">0.0687 </w:t>
            </w:r>
          </w:p>
        </w:tc>
        <w:tc>
          <w:tcPr>
            <w:tcW w:w="0" w:type="auto"/>
          </w:tcPr>
          <w:p w14:paraId="487B62D9" w14:textId="18F19C51" w:rsidR="00147027" w:rsidRPr="0052264D" w:rsidRDefault="00147027" w:rsidP="00147027">
            <w:r w:rsidRPr="00F06914">
              <w:t xml:space="preserve">4.65  </w:t>
            </w:r>
          </w:p>
        </w:tc>
        <w:tc>
          <w:tcPr>
            <w:tcW w:w="0" w:type="auto"/>
          </w:tcPr>
          <w:p w14:paraId="408BE9E9" w14:textId="7C181240" w:rsidR="00147027" w:rsidRPr="0052264D" w:rsidRDefault="00147027" w:rsidP="00147027">
            <w:r w:rsidRPr="00F06914">
              <w:t xml:space="preserve">250    </w:t>
            </w:r>
          </w:p>
        </w:tc>
        <w:tc>
          <w:tcPr>
            <w:tcW w:w="0" w:type="auto"/>
          </w:tcPr>
          <w:p w14:paraId="529969A2" w14:textId="6FFE44AC" w:rsidR="00147027" w:rsidRPr="0052264D" w:rsidRDefault="00147027" w:rsidP="00147027">
            <w:r w:rsidRPr="00F06914">
              <w:t>400</w:t>
            </w:r>
          </w:p>
        </w:tc>
        <w:tc>
          <w:tcPr>
            <w:tcW w:w="0" w:type="auto"/>
          </w:tcPr>
          <w:p w14:paraId="62764B75" w14:textId="1D501A10" w:rsidR="00147027" w:rsidRPr="0052264D" w:rsidRDefault="00147027" w:rsidP="00147027">
            <w:r w:rsidRPr="00F06914">
              <w:t xml:space="preserve">1e+04      </w:t>
            </w:r>
          </w:p>
        </w:tc>
        <w:tc>
          <w:tcPr>
            <w:tcW w:w="0" w:type="auto"/>
          </w:tcPr>
          <w:p w14:paraId="6F39BF03" w14:textId="3C127407" w:rsidR="00147027" w:rsidRPr="0052264D" w:rsidRDefault="00147027" w:rsidP="00147027">
            <w:r w:rsidRPr="00F06914">
              <w:t>6.6e+03</w:t>
            </w:r>
          </w:p>
        </w:tc>
        <w:tc>
          <w:tcPr>
            <w:tcW w:w="0" w:type="auto"/>
          </w:tcPr>
          <w:p w14:paraId="1561CB6E" w14:textId="541712AA" w:rsidR="00147027" w:rsidRPr="0052264D" w:rsidRDefault="00147027" w:rsidP="00147027">
            <w:r w:rsidRPr="00F06914">
              <w:t xml:space="preserve">4.58  </w:t>
            </w:r>
          </w:p>
        </w:tc>
        <w:tc>
          <w:tcPr>
            <w:tcW w:w="0" w:type="auto"/>
          </w:tcPr>
          <w:p w14:paraId="63C5FFD1" w14:textId="2378B763" w:rsidR="00147027" w:rsidRPr="0052264D" w:rsidRDefault="00147027" w:rsidP="00147027">
            <w:r w:rsidRPr="00F06914">
              <w:t xml:space="preserve">0.382  </w:t>
            </w:r>
          </w:p>
        </w:tc>
        <w:tc>
          <w:tcPr>
            <w:tcW w:w="0" w:type="auto"/>
          </w:tcPr>
          <w:p w14:paraId="3DF3F25B" w14:textId="0F8A6FDE" w:rsidR="00147027" w:rsidRPr="0052264D" w:rsidRDefault="00147027" w:rsidP="00147027">
            <w:r w:rsidRPr="00F06914">
              <w:t xml:space="preserve">26.8  </w:t>
            </w:r>
          </w:p>
        </w:tc>
        <w:tc>
          <w:tcPr>
            <w:tcW w:w="0" w:type="auto"/>
          </w:tcPr>
          <w:p w14:paraId="52A56972" w14:textId="085DE399" w:rsidR="00147027" w:rsidRPr="0052264D" w:rsidRDefault="00147027" w:rsidP="00147027">
            <w:r w:rsidRPr="00F06914">
              <w:t>302</w:t>
            </w:r>
          </w:p>
        </w:tc>
      </w:tr>
      <w:tr w:rsidR="00147027" w:rsidRPr="00F44860" w14:paraId="3106D924" w14:textId="77777777" w:rsidTr="00F44860">
        <w:trPr>
          <w:cnfStyle w:val="000000100000" w:firstRow="0" w:lastRow="0" w:firstColumn="0" w:lastColumn="0" w:oddVBand="0" w:evenVBand="0" w:oddHBand="1" w:evenHBand="0" w:firstRowFirstColumn="0" w:firstRowLastColumn="0" w:lastRowFirstColumn="0" w:lastRowLastColumn="0"/>
          <w:trHeight w:val="949"/>
          <w:jc w:val="center"/>
        </w:trPr>
        <w:tc>
          <w:tcPr>
            <w:tcW w:w="1326" w:type="dxa"/>
          </w:tcPr>
          <w:p w14:paraId="3F9E35BE" w14:textId="6F59706F" w:rsidR="00147027" w:rsidRPr="0052264D" w:rsidRDefault="00147027" w:rsidP="00147027">
            <w:r w:rsidRPr="00F06914">
              <w:t>SARS-CoV-2 NTD</w:t>
            </w:r>
            <w:r>
              <w:t xml:space="preserve"> IgG</w:t>
            </w:r>
          </w:p>
        </w:tc>
        <w:tc>
          <w:tcPr>
            <w:tcW w:w="1107" w:type="dxa"/>
          </w:tcPr>
          <w:p w14:paraId="338094FD" w14:textId="3CE2ECC3" w:rsidR="00147027" w:rsidRPr="0052264D" w:rsidRDefault="00147027" w:rsidP="00147027">
            <w:r w:rsidRPr="00F06914">
              <w:t>0.00361</w:t>
            </w:r>
          </w:p>
        </w:tc>
        <w:tc>
          <w:tcPr>
            <w:tcW w:w="0" w:type="auto"/>
          </w:tcPr>
          <w:p w14:paraId="66E07504" w14:textId="2323B3A5" w:rsidR="00147027" w:rsidRPr="0052264D" w:rsidRDefault="00147027" w:rsidP="00147027">
            <w:r w:rsidRPr="00F06914">
              <w:t>0.00361</w:t>
            </w:r>
          </w:p>
        </w:tc>
        <w:tc>
          <w:tcPr>
            <w:tcW w:w="0" w:type="auto"/>
          </w:tcPr>
          <w:p w14:paraId="4BF602C1" w14:textId="04E9C05C" w:rsidR="00147027" w:rsidRPr="0052264D" w:rsidRDefault="00147027" w:rsidP="00147027">
            <w:r w:rsidRPr="00F06914">
              <w:t>0.00361</w:t>
            </w:r>
          </w:p>
        </w:tc>
        <w:tc>
          <w:tcPr>
            <w:tcW w:w="0" w:type="auto"/>
          </w:tcPr>
          <w:p w14:paraId="37D479F5" w14:textId="0D92B6DB" w:rsidR="00147027" w:rsidRPr="0052264D" w:rsidRDefault="00147027" w:rsidP="00147027">
            <w:r w:rsidRPr="00F06914">
              <w:t>0.0352</w:t>
            </w:r>
          </w:p>
        </w:tc>
        <w:tc>
          <w:tcPr>
            <w:tcW w:w="0" w:type="auto"/>
          </w:tcPr>
          <w:p w14:paraId="6D578FA8" w14:textId="7E6BA75F" w:rsidR="00147027" w:rsidRPr="0052264D" w:rsidRDefault="00147027" w:rsidP="00147027">
            <w:r w:rsidRPr="00F06914">
              <w:t>0.865</w:t>
            </w:r>
          </w:p>
        </w:tc>
        <w:tc>
          <w:tcPr>
            <w:tcW w:w="0" w:type="auto"/>
          </w:tcPr>
          <w:p w14:paraId="532F1033" w14:textId="51E64A55" w:rsidR="00147027" w:rsidRPr="0052264D" w:rsidRDefault="00147027" w:rsidP="00147027">
            <w:r w:rsidRPr="00F06914">
              <w:t>5</w:t>
            </w:r>
          </w:p>
        </w:tc>
        <w:tc>
          <w:tcPr>
            <w:tcW w:w="0" w:type="auto"/>
          </w:tcPr>
          <w:p w14:paraId="4F8D4B38" w14:textId="4C040729" w:rsidR="00147027" w:rsidRPr="0052264D" w:rsidRDefault="00147027" w:rsidP="00147027">
            <w:r w:rsidRPr="00F06914">
              <w:t>1.4e+03</w:t>
            </w:r>
          </w:p>
        </w:tc>
        <w:tc>
          <w:tcPr>
            <w:tcW w:w="0" w:type="auto"/>
          </w:tcPr>
          <w:p w14:paraId="7A8B8340" w14:textId="238DC92E" w:rsidR="00147027" w:rsidRPr="0052264D" w:rsidRDefault="00147027" w:rsidP="00147027">
            <w:r w:rsidRPr="00F06914">
              <w:t xml:space="preserve">240      </w:t>
            </w:r>
          </w:p>
        </w:tc>
        <w:tc>
          <w:tcPr>
            <w:tcW w:w="0" w:type="auto"/>
          </w:tcPr>
          <w:p w14:paraId="55371B45" w14:textId="694EC289" w:rsidR="00147027" w:rsidRPr="0052264D" w:rsidRDefault="00147027" w:rsidP="00147027">
            <w:r w:rsidRPr="00F06914">
              <w:t>0.0316</w:t>
            </w:r>
          </w:p>
        </w:tc>
        <w:tc>
          <w:tcPr>
            <w:tcW w:w="0" w:type="auto"/>
          </w:tcPr>
          <w:p w14:paraId="3E1E0AFF" w14:textId="02B3FC8C" w:rsidR="00147027" w:rsidRPr="0052264D" w:rsidRDefault="00147027" w:rsidP="00147027">
            <w:r w:rsidRPr="00F06914">
              <w:t>0.00517</w:t>
            </w:r>
          </w:p>
        </w:tc>
        <w:tc>
          <w:tcPr>
            <w:tcW w:w="0" w:type="auto"/>
          </w:tcPr>
          <w:p w14:paraId="2198A5D1" w14:textId="799B1185" w:rsidR="00147027" w:rsidRPr="0052264D" w:rsidRDefault="00147027" w:rsidP="00147027">
            <w:r w:rsidRPr="00F06914">
              <w:t>0.178</w:t>
            </w:r>
          </w:p>
        </w:tc>
        <w:tc>
          <w:tcPr>
            <w:tcW w:w="0" w:type="auto"/>
          </w:tcPr>
          <w:p w14:paraId="781DF9D8" w14:textId="7B405719" w:rsidR="00147027" w:rsidRPr="0052264D" w:rsidRDefault="00147027" w:rsidP="00147027">
            <w:r w:rsidRPr="00F06914">
              <w:t>302</w:t>
            </w:r>
          </w:p>
        </w:tc>
      </w:tr>
      <w:tr w:rsidR="00147027" w:rsidRPr="00F44860" w14:paraId="4BCAC243" w14:textId="77777777" w:rsidTr="00F44860">
        <w:trPr>
          <w:trHeight w:val="966"/>
          <w:jc w:val="center"/>
        </w:trPr>
        <w:tc>
          <w:tcPr>
            <w:tcW w:w="1326" w:type="dxa"/>
          </w:tcPr>
          <w:p w14:paraId="6EC515B7" w14:textId="7F6FFC4A" w:rsidR="00147027" w:rsidRPr="0052264D" w:rsidRDefault="00147027" w:rsidP="00147027">
            <w:r w:rsidRPr="00F06914">
              <w:t>SARS-CoV-2 S1 RBD</w:t>
            </w:r>
            <w:r>
              <w:t xml:space="preserve"> IgG</w:t>
            </w:r>
          </w:p>
        </w:tc>
        <w:tc>
          <w:tcPr>
            <w:tcW w:w="1107" w:type="dxa"/>
          </w:tcPr>
          <w:p w14:paraId="19DEECF1" w14:textId="46BFBB6F" w:rsidR="00147027" w:rsidRPr="0052264D" w:rsidRDefault="00147027" w:rsidP="00147027">
            <w:r w:rsidRPr="00F06914">
              <w:t xml:space="preserve">0.0488 </w:t>
            </w:r>
          </w:p>
        </w:tc>
        <w:tc>
          <w:tcPr>
            <w:tcW w:w="0" w:type="auto"/>
          </w:tcPr>
          <w:p w14:paraId="18349CEA" w14:textId="73684053" w:rsidR="00147027" w:rsidRPr="0052264D" w:rsidRDefault="00147027" w:rsidP="00147027">
            <w:r w:rsidRPr="00F06914">
              <w:t xml:space="preserve">0.0488 </w:t>
            </w:r>
          </w:p>
        </w:tc>
        <w:tc>
          <w:tcPr>
            <w:tcW w:w="0" w:type="auto"/>
          </w:tcPr>
          <w:p w14:paraId="35747BCC" w14:textId="0C017C9B" w:rsidR="00147027" w:rsidRPr="0052264D" w:rsidRDefault="00147027" w:rsidP="00147027">
            <w:r w:rsidRPr="00F06914">
              <w:t xml:space="preserve">0.0969 </w:t>
            </w:r>
          </w:p>
        </w:tc>
        <w:tc>
          <w:tcPr>
            <w:tcW w:w="0" w:type="auto"/>
          </w:tcPr>
          <w:p w14:paraId="50BE2331" w14:textId="55BD9576" w:rsidR="00147027" w:rsidRPr="0052264D" w:rsidRDefault="00147027" w:rsidP="00147027">
            <w:r w:rsidRPr="00F06914">
              <w:t xml:space="preserve">0.928 </w:t>
            </w:r>
          </w:p>
        </w:tc>
        <w:tc>
          <w:tcPr>
            <w:tcW w:w="0" w:type="auto"/>
          </w:tcPr>
          <w:p w14:paraId="2958DFBA" w14:textId="70CD4C03" w:rsidR="00147027" w:rsidRPr="0052264D" w:rsidRDefault="00147027" w:rsidP="00147027">
            <w:r w:rsidRPr="00F06914">
              <w:t xml:space="preserve">18.9  </w:t>
            </w:r>
          </w:p>
        </w:tc>
        <w:tc>
          <w:tcPr>
            <w:tcW w:w="0" w:type="auto"/>
          </w:tcPr>
          <w:p w14:paraId="518B9CA4" w14:textId="41E11E72" w:rsidR="00147027" w:rsidRPr="0052264D" w:rsidRDefault="00147027" w:rsidP="00147027">
            <w:r w:rsidRPr="00F06914">
              <w:t>150</w:t>
            </w:r>
          </w:p>
        </w:tc>
        <w:tc>
          <w:tcPr>
            <w:tcW w:w="0" w:type="auto"/>
          </w:tcPr>
          <w:p w14:paraId="740510A6" w14:textId="34349D59" w:rsidR="00147027" w:rsidRPr="0052264D" w:rsidRDefault="00147027" w:rsidP="00147027">
            <w:r w:rsidRPr="00F06914">
              <w:t>3.1e+03</w:t>
            </w:r>
          </w:p>
        </w:tc>
        <w:tc>
          <w:tcPr>
            <w:tcW w:w="0" w:type="auto"/>
          </w:tcPr>
          <w:p w14:paraId="015C9EAE" w14:textId="4E036943" w:rsidR="00147027" w:rsidRPr="0052264D" w:rsidRDefault="00147027" w:rsidP="00147027">
            <w:r w:rsidRPr="00F06914">
              <w:t xml:space="preserve">390      </w:t>
            </w:r>
          </w:p>
        </w:tc>
        <w:tc>
          <w:tcPr>
            <w:tcW w:w="0" w:type="auto"/>
          </w:tcPr>
          <w:p w14:paraId="59401BC0" w14:textId="734408D4" w:rsidR="00147027" w:rsidRPr="0052264D" w:rsidRDefault="00147027" w:rsidP="00147027">
            <w:r w:rsidRPr="00F06914">
              <w:t xml:space="preserve">0.831 </w:t>
            </w:r>
          </w:p>
        </w:tc>
        <w:tc>
          <w:tcPr>
            <w:tcW w:w="0" w:type="auto"/>
          </w:tcPr>
          <w:p w14:paraId="0B758AD7" w14:textId="52DA843A" w:rsidR="00147027" w:rsidRPr="0052264D" w:rsidRDefault="00147027" w:rsidP="00147027">
            <w:r w:rsidRPr="00F06914">
              <w:t xml:space="preserve">0.233  </w:t>
            </w:r>
          </w:p>
        </w:tc>
        <w:tc>
          <w:tcPr>
            <w:tcW w:w="0" w:type="auto"/>
          </w:tcPr>
          <w:p w14:paraId="375C233D" w14:textId="025C189F" w:rsidR="00147027" w:rsidRPr="0052264D" w:rsidRDefault="00147027" w:rsidP="00147027">
            <w:r w:rsidRPr="00F06914">
              <w:t xml:space="preserve">6.37 </w:t>
            </w:r>
          </w:p>
        </w:tc>
        <w:tc>
          <w:tcPr>
            <w:tcW w:w="0" w:type="auto"/>
          </w:tcPr>
          <w:p w14:paraId="64C0996C" w14:textId="23073D5D" w:rsidR="00147027" w:rsidRPr="0052264D" w:rsidRDefault="00147027" w:rsidP="00147027">
            <w:r w:rsidRPr="00F06914">
              <w:t>302</w:t>
            </w:r>
          </w:p>
        </w:tc>
      </w:tr>
      <w:tr w:rsidR="00147027" w:rsidRPr="00F44860" w14:paraId="67D76D69" w14:textId="77777777" w:rsidTr="00F44860">
        <w:trPr>
          <w:cnfStyle w:val="000000100000" w:firstRow="0" w:lastRow="0" w:firstColumn="0" w:lastColumn="0" w:oddVBand="0" w:evenVBand="0" w:oddHBand="1" w:evenHBand="0" w:firstRowFirstColumn="0" w:firstRowLastColumn="0" w:lastRowFirstColumn="0" w:lastRowLastColumn="0"/>
          <w:trHeight w:val="949"/>
          <w:jc w:val="center"/>
        </w:trPr>
        <w:tc>
          <w:tcPr>
            <w:tcW w:w="1326" w:type="dxa"/>
          </w:tcPr>
          <w:p w14:paraId="3C8B721C" w14:textId="65A721DA" w:rsidR="00147027" w:rsidRPr="0052264D" w:rsidRDefault="00147027" w:rsidP="00147027">
            <w:r w:rsidRPr="00F06914">
              <w:t>SARS-CoV-2 Spike</w:t>
            </w:r>
            <w:r>
              <w:t xml:space="preserve"> IgG</w:t>
            </w:r>
          </w:p>
        </w:tc>
        <w:tc>
          <w:tcPr>
            <w:tcW w:w="1107" w:type="dxa"/>
          </w:tcPr>
          <w:p w14:paraId="4CA579FB" w14:textId="4EFB5500" w:rsidR="00147027" w:rsidRPr="0052264D" w:rsidRDefault="00147027" w:rsidP="00147027">
            <w:r w:rsidRPr="00F06914">
              <w:t xml:space="preserve">0.0355 </w:t>
            </w:r>
          </w:p>
        </w:tc>
        <w:tc>
          <w:tcPr>
            <w:tcW w:w="0" w:type="auto"/>
          </w:tcPr>
          <w:p w14:paraId="03457BE9" w14:textId="54D3C861" w:rsidR="00147027" w:rsidRPr="0052264D" w:rsidRDefault="00147027" w:rsidP="00147027">
            <w:r w:rsidRPr="00F06914">
              <w:t xml:space="preserve">0.0355 </w:t>
            </w:r>
          </w:p>
        </w:tc>
        <w:tc>
          <w:tcPr>
            <w:tcW w:w="0" w:type="auto"/>
          </w:tcPr>
          <w:p w14:paraId="1BAF5870" w14:textId="30ECD837" w:rsidR="00147027" w:rsidRPr="0052264D" w:rsidRDefault="00147027" w:rsidP="00147027">
            <w:r w:rsidRPr="00F06914">
              <w:t xml:space="preserve">0.0416 </w:t>
            </w:r>
          </w:p>
        </w:tc>
        <w:tc>
          <w:tcPr>
            <w:tcW w:w="0" w:type="auto"/>
          </w:tcPr>
          <w:p w14:paraId="30E07C69" w14:textId="7FE40603" w:rsidR="00147027" w:rsidRPr="0052264D" w:rsidRDefault="00147027" w:rsidP="00147027">
            <w:r w:rsidRPr="00F06914">
              <w:t xml:space="preserve">2.21  </w:t>
            </w:r>
          </w:p>
        </w:tc>
        <w:tc>
          <w:tcPr>
            <w:tcW w:w="0" w:type="auto"/>
          </w:tcPr>
          <w:p w14:paraId="2F1189B5" w14:textId="27AF2C96" w:rsidR="00147027" w:rsidRPr="0052264D" w:rsidRDefault="00147027" w:rsidP="00147027">
            <w:r w:rsidRPr="00F06914">
              <w:t xml:space="preserve">80    </w:t>
            </w:r>
          </w:p>
        </w:tc>
        <w:tc>
          <w:tcPr>
            <w:tcW w:w="0" w:type="auto"/>
          </w:tcPr>
          <w:p w14:paraId="4EDCBC1F" w14:textId="010E70DD" w:rsidR="00147027" w:rsidRPr="0052264D" w:rsidRDefault="00147027" w:rsidP="00147027">
            <w:r w:rsidRPr="00F06914">
              <w:t>350</w:t>
            </w:r>
          </w:p>
        </w:tc>
        <w:tc>
          <w:tcPr>
            <w:tcW w:w="0" w:type="auto"/>
          </w:tcPr>
          <w:p w14:paraId="0529C32A" w14:textId="53905662" w:rsidR="00147027" w:rsidRPr="0052264D" w:rsidRDefault="00147027" w:rsidP="00147027">
            <w:r w:rsidRPr="00F06914">
              <w:t>9.9e+03</w:t>
            </w:r>
          </w:p>
        </w:tc>
        <w:tc>
          <w:tcPr>
            <w:tcW w:w="0" w:type="auto"/>
          </w:tcPr>
          <w:p w14:paraId="2E30C3D4" w14:textId="63F65133" w:rsidR="00147027" w:rsidRPr="0052264D" w:rsidRDefault="00147027" w:rsidP="00147027">
            <w:r w:rsidRPr="00F06914">
              <w:t>2.3e+03</w:t>
            </w:r>
          </w:p>
        </w:tc>
        <w:tc>
          <w:tcPr>
            <w:tcW w:w="0" w:type="auto"/>
          </w:tcPr>
          <w:p w14:paraId="1FD55DE1" w14:textId="44F41E78" w:rsidR="00147027" w:rsidRPr="0052264D" w:rsidRDefault="00147027" w:rsidP="00147027">
            <w:r w:rsidRPr="00F06914">
              <w:t xml:space="preserve">2.17  </w:t>
            </w:r>
          </w:p>
        </w:tc>
        <w:tc>
          <w:tcPr>
            <w:tcW w:w="0" w:type="auto"/>
          </w:tcPr>
          <w:p w14:paraId="577F4D9D" w14:textId="4B7DC371" w:rsidR="00147027" w:rsidRPr="0052264D" w:rsidRDefault="00147027" w:rsidP="00147027">
            <w:r w:rsidRPr="00F06914">
              <w:t xml:space="preserve">0.114  </w:t>
            </w:r>
          </w:p>
        </w:tc>
        <w:tc>
          <w:tcPr>
            <w:tcW w:w="0" w:type="auto"/>
          </w:tcPr>
          <w:p w14:paraId="49D167D0" w14:textId="7B1E0E3D" w:rsidR="00147027" w:rsidRPr="0052264D" w:rsidRDefault="00147027" w:rsidP="00147027">
            <w:r w:rsidRPr="00F06914">
              <w:t xml:space="preserve">16.5  </w:t>
            </w:r>
          </w:p>
        </w:tc>
        <w:tc>
          <w:tcPr>
            <w:tcW w:w="0" w:type="auto"/>
          </w:tcPr>
          <w:p w14:paraId="01885FFF" w14:textId="09C5C404" w:rsidR="00147027" w:rsidRPr="0052264D" w:rsidRDefault="00147027" w:rsidP="00147027">
            <w:r w:rsidRPr="00F06914">
              <w:t>302</w:t>
            </w:r>
          </w:p>
        </w:tc>
      </w:tr>
    </w:tbl>
    <w:p w14:paraId="1C4454AC" w14:textId="52675B79" w:rsidR="00E87966" w:rsidRPr="00F44860" w:rsidRDefault="00E87966" w:rsidP="00D9568B">
      <w:pPr>
        <w:jc w:val="both"/>
      </w:pPr>
      <w:bookmarkStart w:id="5" w:name="_Toc90977609"/>
      <w:r w:rsidRPr="00F44860">
        <w:rPr>
          <w:rStyle w:val="Heading1Char"/>
        </w:rPr>
        <w:t xml:space="preserve">Supplemental Table </w:t>
      </w:r>
      <w:r w:rsidR="005F31F5">
        <w:rPr>
          <w:rStyle w:val="Heading1Char"/>
        </w:rPr>
        <w:fldChar w:fldCharType="begin"/>
      </w:r>
      <w:r w:rsidR="005F31F5">
        <w:rPr>
          <w:rStyle w:val="Heading1Char"/>
        </w:rPr>
        <w:instrText xml:space="preserve"> SEQ Table \* ARABIC </w:instrText>
      </w:r>
      <w:r w:rsidR="005F31F5">
        <w:rPr>
          <w:rStyle w:val="Heading1Char"/>
        </w:rPr>
        <w:fldChar w:fldCharType="separate"/>
      </w:r>
      <w:r w:rsidR="00D9568B">
        <w:rPr>
          <w:rStyle w:val="Heading1Char"/>
          <w:noProof/>
        </w:rPr>
        <w:t>2</w:t>
      </w:r>
      <w:r w:rsidR="005F31F5">
        <w:rPr>
          <w:rStyle w:val="Heading1Char"/>
        </w:rPr>
        <w:fldChar w:fldCharType="end"/>
      </w:r>
      <w:r w:rsidRPr="00F44860">
        <w:rPr>
          <w:rStyle w:val="Heading1Char"/>
        </w:rPr>
        <w:t xml:space="preserve"> – Range of immunoglobulin G (IgG) concentrations in saliva self-collected by donors and returned through the mail.</w:t>
      </w:r>
      <w:bookmarkEnd w:id="5"/>
      <w:r w:rsidRPr="00F44860">
        <w:t xml:space="preserve">  Sample concentrations are in AU/</w:t>
      </w:r>
      <w:proofErr w:type="spellStart"/>
      <w:r w:rsidRPr="00F44860">
        <w:t>mL.</w:t>
      </w:r>
      <w:proofErr w:type="spellEnd"/>
      <w:r w:rsidRPr="00F44860">
        <w:t xml:space="preserve">  Data shown for all 30</w:t>
      </w:r>
      <w:r w:rsidR="00147027">
        <w:t>2</w:t>
      </w:r>
      <w:r w:rsidRPr="00F44860">
        <w:t xml:space="preserve"> samples received from 1</w:t>
      </w:r>
      <w:r w:rsidR="00147027">
        <w:t>21</w:t>
      </w:r>
      <w:r w:rsidRPr="00F44860">
        <w:t xml:space="preserve"> unique participants.</w:t>
      </w:r>
      <w:r w:rsidRPr="00F44860">
        <w:br w:type="page"/>
      </w:r>
    </w:p>
    <w:p w14:paraId="75CAB00F" w14:textId="05C83C91" w:rsidR="005F31F5" w:rsidRDefault="005F31F5">
      <w:pPr>
        <w:spacing w:after="160" w:line="259" w:lineRule="auto"/>
        <w:jc w:val="left"/>
      </w:pPr>
    </w:p>
    <w:tbl>
      <w:tblPr>
        <w:tblStyle w:val="PlainTable5"/>
        <w:tblW w:w="5000" w:type="pct"/>
        <w:jc w:val="center"/>
        <w:tblLook w:val="0420" w:firstRow="1" w:lastRow="0" w:firstColumn="0" w:lastColumn="0" w:noHBand="0" w:noVBand="1"/>
      </w:tblPr>
      <w:tblGrid>
        <w:gridCol w:w="1438"/>
        <w:gridCol w:w="1140"/>
        <w:gridCol w:w="1170"/>
        <w:gridCol w:w="1170"/>
        <w:gridCol w:w="1170"/>
        <w:gridCol w:w="1170"/>
        <w:gridCol w:w="834"/>
        <w:gridCol w:w="1048"/>
        <w:gridCol w:w="1036"/>
        <w:gridCol w:w="1140"/>
        <w:gridCol w:w="1140"/>
        <w:gridCol w:w="1140"/>
        <w:gridCol w:w="804"/>
      </w:tblGrid>
      <w:tr w:rsidR="005F31F5" w:rsidRPr="005F31F5" w14:paraId="12580FCC" w14:textId="77777777" w:rsidTr="005F31F5">
        <w:trPr>
          <w:cnfStyle w:val="100000000000" w:firstRow="1" w:lastRow="0" w:firstColumn="0" w:lastColumn="0" w:oddVBand="0" w:evenVBand="0" w:oddHBand="0" w:evenHBand="0" w:firstRowFirstColumn="0" w:firstRowLastColumn="0" w:lastRowFirstColumn="0" w:lastRowLastColumn="0"/>
          <w:jc w:val="center"/>
        </w:trPr>
        <w:tc>
          <w:tcPr>
            <w:tcW w:w="530" w:type="pct"/>
          </w:tcPr>
          <w:p w14:paraId="024BD0A5" w14:textId="185AB2DC" w:rsidR="005F31F5" w:rsidRPr="005F31F5" w:rsidRDefault="005F31F5" w:rsidP="005F31F5">
            <w:pPr>
              <w:rPr>
                <w:rFonts w:eastAsia="Arial"/>
                <w:sz w:val="22"/>
              </w:rPr>
            </w:pPr>
            <w:r w:rsidRPr="005F31F5">
              <w:rPr>
                <w:rFonts w:eastAsia="Arial"/>
                <w:sz w:val="22"/>
              </w:rPr>
              <w:t>Isotype</w:t>
            </w:r>
          </w:p>
        </w:tc>
        <w:tc>
          <w:tcPr>
            <w:tcW w:w="393" w:type="pct"/>
          </w:tcPr>
          <w:p w14:paraId="3190019D" w14:textId="77777777" w:rsidR="005F31F5" w:rsidRPr="005F31F5" w:rsidRDefault="005F31F5" w:rsidP="005F31F5">
            <w:pPr>
              <w:jc w:val="right"/>
              <w:rPr>
                <w:rFonts w:eastAsia="Arial"/>
                <w:sz w:val="22"/>
              </w:rPr>
            </w:pPr>
            <w:r w:rsidRPr="005F31F5">
              <w:rPr>
                <w:rFonts w:eastAsia="Arial"/>
                <w:sz w:val="22"/>
              </w:rPr>
              <w:t>Min</w:t>
            </w:r>
          </w:p>
        </w:tc>
        <w:tc>
          <w:tcPr>
            <w:tcW w:w="403" w:type="pct"/>
          </w:tcPr>
          <w:p w14:paraId="7C9ABC4D" w14:textId="77777777" w:rsidR="005F31F5" w:rsidRPr="005F31F5" w:rsidRDefault="005F31F5" w:rsidP="005F31F5">
            <w:pPr>
              <w:jc w:val="right"/>
              <w:rPr>
                <w:rFonts w:eastAsia="Arial"/>
                <w:sz w:val="22"/>
              </w:rPr>
            </w:pPr>
            <w:r w:rsidRPr="005F31F5">
              <w:rPr>
                <w:rFonts w:eastAsia="Arial"/>
                <w:sz w:val="22"/>
              </w:rPr>
              <w:t>5th percentile</w:t>
            </w:r>
          </w:p>
        </w:tc>
        <w:tc>
          <w:tcPr>
            <w:tcW w:w="403" w:type="pct"/>
          </w:tcPr>
          <w:p w14:paraId="5736C5C4" w14:textId="77777777" w:rsidR="005F31F5" w:rsidRPr="005F31F5" w:rsidRDefault="005F31F5" w:rsidP="005F31F5">
            <w:pPr>
              <w:jc w:val="right"/>
              <w:rPr>
                <w:rFonts w:eastAsia="Arial"/>
                <w:sz w:val="22"/>
              </w:rPr>
            </w:pPr>
            <w:r w:rsidRPr="005F31F5">
              <w:rPr>
                <w:rFonts w:eastAsia="Arial"/>
                <w:sz w:val="22"/>
              </w:rPr>
              <w:t>25th percentile</w:t>
            </w:r>
          </w:p>
        </w:tc>
        <w:tc>
          <w:tcPr>
            <w:tcW w:w="403" w:type="pct"/>
          </w:tcPr>
          <w:p w14:paraId="6B4DCA57" w14:textId="77777777" w:rsidR="005F31F5" w:rsidRPr="005F31F5" w:rsidRDefault="005F31F5" w:rsidP="005F31F5">
            <w:pPr>
              <w:jc w:val="right"/>
              <w:rPr>
                <w:rFonts w:eastAsia="Arial"/>
                <w:sz w:val="22"/>
              </w:rPr>
            </w:pPr>
            <w:r w:rsidRPr="005F31F5">
              <w:rPr>
                <w:rFonts w:eastAsia="Arial"/>
                <w:sz w:val="22"/>
              </w:rPr>
              <w:t>75th percentile</w:t>
            </w:r>
          </w:p>
        </w:tc>
        <w:tc>
          <w:tcPr>
            <w:tcW w:w="403" w:type="pct"/>
          </w:tcPr>
          <w:p w14:paraId="22585927" w14:textId="77777777" w:rsidR="005F31F5" w:rsidRPr="005F31F5" w:rsidRDefault="005F31F5" w:rsidP="005F31F5">
            <w:pPr>
              <w:jc w:val="right"/>
              <w:rPr>
                <w:rFonts w:eastAsia="Arial"/>
                <w:sz w:val="22"/>
              </w:rPr>
            </w:pPr>
            <w:r w:rsidRPr="005F31F5">
              <w:rPr>
                <w:rFonts w:eastAsia="Arial"/>
                <w:sz w:val="22"/>
              </w:rPr>
              <w:t>95th percentile</w:t>
            </w:r>
          </w:p>
        </w:tc>
        <w:tc>
          <w:tcPr>
            <w:tcW w:w="288" w:type="pct"/>
          </w:tcPr>
          <w:p w14:paraId="3260F639" w14:textId="77777777" w:rsidR="005F31F5" w:rsidRPr="005F31F5" w:rsidRDefault="005F31F5" w:rsidP="005F31F5">
            <w:pPr>
              <w:jc w:val="right"/>
              <w:rPr>
                <w:rFonts w:eastAsia="Arial"/>
                <w:sz w:val="22"/>
              </w:rPr>
            </w:pPr>
            <w:r w:rsidRPr="005F31F5">
              <w:rPr>
                <w:rFonts w:eastAsia="Arial"/>
                <w:sz w:val="22"/>
              </w:rPr>
              <w:t>Max</w:t>
            </w:r>
          </w:p>
        </w:tc>
        <w:tc>
          <w:tcPr>
            <w:tcW w:w="361" w:type="pct"/>
          </w:tcPr>
          <w:p w14:paraId="4CD2C65E" w14:textId="77777777" w:rsidR="005F31F5" w:rsidRPr="005F31F5" w:rsidRDefault="005F31F5" w:rsidP="005F31F5">
            <w:pPr>
              <w:jc w:val="right"/>
              <w:rPr>
                <w:rFonts w:eastAsia="Arial"/>
                <w:sz w:val="22"/>
              </w:rPr>
            </w:pPr>
            <w:r w:rsidRPr="005F31F5">
              <w:rPr>
                <w:rFonts w:eastAsia="Arial"/>
                <w:sz w:val="22"/>
              </w:rPr>
              <w:t>Ratio of Max/Min</w:t>
            </w:r>
          </w:p>
        </w:tc>
        <w:tc>
          <w:tcPr>
            <w:tcW w:w="357" w:type="pct"/>
          </w:tcPr>
          <w:p w14:paraId="4D10DFEF" w14:textId="77777777" w:rsidR="005F31F5" w:rsidRPr="005F31F5" w:rsidRDefault="005F31F5" w:rsidP="005F31F5">
            <w:pPr>
              <w:jc w:val="right"/>
              <w:rPr>
                <w:rFonts w:eastAsia="Arial"/>
                <w:sz w:val="22"/>
              </w:rPr>
            </w:pPr>
            <w:r w:rsidRPr="005F31F5">
              <w:rPr>
                <w:rFonts w:eastAsia="Arial"/>
                <w:sz w:val="22"/>
              </w:rPr>
              <w:t>Ratio of 95%/5%</w:t>
            </w:r>
          </w:p>
        </w:tc>
        <w:tc>
          <w:tcPr>
            <w:tcW w:w="393" w:type="pct"/>
          </w:tcPr>
          <w:p w14:paraId="1B6BC139" w14:textId="77777777" w:rsidR="005F31F5" w:rsidRPr="005F31F5" w:rsidRDefault="005F31F5" w:rsidP="005F31F5">
            <w:pPr>
              <w:jc w:val="right"/>
              <w:rPr>
                <w:rFonts w:eastAsia="Arial"/>
                <w:sz w:val="22"/>
              </w:rPr>
            </w:pPr>
            <w:r w:rsidRPr="005F31F5">
              <w:rPr>
                <w:rFonts w:eastAsia="Arial"/>
                <w:sz w:val="22"/>
              </w:rPr>
              <w:t>IQR</w:t>
            </w:r>
          </w:p>
        </w:tc>
        <w:tc>
          <w:tcPr>
            <w:tcW w:w="393" w:type="pct"/>
          </w:tcPr>
          <w:p w14:paraId="0FE062AE" w14:textId="77777777" w:rsidR="005F31F5" w:rsidRPr="005F31F5" w:rsidRDefault="005F31F5" w:rsidP="005F31F5">
            <w:pPr>
              <w:jc w:val="right"/>
              <w:rPr>
                <w:rFonts w:eastAsia="Arial"/>
                <w:sz w:val="22"/>
              </w:rPr>
            </w:pPr>
            <w:r w:rsidRPr="005F31F5">
              <w:rPr>
                <w:rFonts w:eastAsia="Arial"/>
                <w:sz w:val="22"/>
              </w:rPr>
              <w:t>Median</w:t>
            </w:r>
          </w:p>
        </w:tc>
        <w:tc>
          <w:tcPr>
            <w:tcW w:w="393" w:type="pct"/>
          </w:tcPr>
          <w:p w14:paraId="2E365ED1" w14:textId="77777777" w:rsidR="005F31F5" w:rsidRPr="005F31F5" w:rsidRDefault="005F31F5" w:rsidP="005F31F5">
            <w:pPr>
              <w:jc w:val="right"/>
              <w:rPr>
                <w:rFonts w:eastAsia="Arial"/>
                <w:sz w:val="22"/>
              </w:rPr>
            </w:pPr>
            <w:r w:rsidRPr="005F31F5">
              <w:rPr>
                <w:rFonts w:eastAsia="Arial"/>
                <w:sz w:val="22"/>
              </w:rPr>
              <w:t>Mean</w:t>
            </w:r>
          </w:p>
        </w:tc>
        <w:tc>
          <w:tcPr>
            <w:tcW w:w="277" w:type="pct"/>
          </w:tcPr>
          <w:p w14:paraId="76E034D7" w14:textId="77777777" w:rsidR="005F31F5" w:rsidRPr="005F31F5" w:rsidRDefault="005F31F5" w:rsidP="005F31F5">
            <w:pPr>
              <w:jc w:val="right"/>
              <w:rPr>
                <w:rFonts w:eastAsia="Arial"/>
                <w:sz w:val="22"/>
              </w:rPr>
            </w:pPr>
            <w:r w:rsidRPr="005F31F5">
              <w:rPr>
                <w:rFonts w:eastAsia="Arial"/>
                <w:sz w:val="22"/>
              </w:rPr>
              <w:t>Count</w:t>
            </w:r>
          </w:p>
        </w:tc>
      </w:tr>
      <w:tr w:rsidR="005F31F5" w:rsidRPr="005F31F5" w14:paraId="39F98B77" w14:textId="77777777" w:rsidTr="005F31F5">
        <w:trPr>
          <w:cnfStyle w:val="000000100000" w:firstRow="0" w:lastRow="0" w:firstColumn="0" w:lastColumn="0" w:oddVBand="0" w:evenVBand="0" w:oddHBand="1" w:evenHBand="0" w:firstRowFirstColumn="0" w:firstRowLastColumn="0" w:lastRowFirstColumn="0" w:lastRowLastColumn="0"/>
          <w:jc w:val="center"/>
        </w:trPr>
        <w:tc>
          <w:tcPr>
            <w:tcW w:w="530" w:type="pct"/>
          </w:tcPr>
          <w:p w14:paraId="5762C9F8" w14:textId="77777777" w:rsidR="005F31F5" w:rsidRPr="005F31F5" w:rsidRDefault="005F31F5" w:rsidP="005F31F5">
            <w:pPr>
              <w:rPr>
                <w:rFonts w:eastAsia="Arial"/>
                <w:sz w:val="22"/>
              </w:rPr>
            </w:pPr>
            <w:r w:rsidRPr="005F31F5">
              <w:rPr>
                <w:rFonts w:eastAsia="Arial"/>
                <w:sz w:val="22"/>
              </w:rPr>
              <w:t>IgA</w:t>
            </w:r>
          </w:p>
        </w:tc>
        <w:tc>
          <w:tcPr>
            <w:tcW w:w="393" w:type="pct"/>
          </w:tcPr>
          <w:p w14:paraId="03EB062A" w14:textId="77777777" w:rsidR="005F31F5" w:rsidRPr="005F31F5" w:rsidRDefault="005F31F5" w:rsidP="005F31F5">
            <w:pPr>
              <w:jc w:val="right"/>
              <w:rPr>
                <w:rFonts w:eastAsia="Arial"/>
                <w:sz w:val="22"/>
              </w:rPr>
            </w:pPr>
            <w:r w:rsidRPr="005F31F5">
              <w:rPr>
                <w:rFonts w:eastAsia="Arial"/>
                <w:sz w:val="22"/>
              </w:rPr>
              <w:t>5.32e+04</w:t>
            </w:r>
          </w:p>
        </w:tc>
        <w:tc>
          <w:tcPr>
            <w:tcW w:w="403" w:type="pct"/>
          </w:tcPr>
          <w:p w14:paraId="6A582F47" w14:textId="77777777" w:rsidR="005F31F5" w:rsidRPr="005F31F5" w:rsidRDefault="005F31F5" w:rsidP="005F31F5">
            <w:pPr>
              <w:jc w:val="right"/>
              <w:rPr>
                <w:rFonts w:eastAsia="Arial"/>
                <w:sz w:val="22"/>
              </w:rPr>
            </w:pPr>
            <w:r w:rsidRPr="005F31F5">
              <w:rPr>
                <w:rFonts w:eastAsia="Arial"/>
                <w:sz w:val="22"/>
              </w:rPr>
              <w:t>7.22e+06</w:t>
            </w:r>
          </w:p>
        </w:tc>
        <w:tc>
          <w:tcPr>
            <w:tcW w:w="403" w:type="pct"/>
          </w:tcPr>
          <w:p w14:paraId="541AB592" w14:textId="77777777" w:rsidR="005F31F5" w:rsidRPr="005F31F5" w:rsidRDefault="005F31F5" w:rsidP="005F31F5">
            <w:pPr>
              <w:jc w:val="right"/>
              <w:rPr>
                <w:rFonts w:eastAsia="Arial"/>
                <w:sz w:val="22"/>
              </w:rPr>
            </w:pPr>
            <w:r w:rsidRPr="005F31F5">
              <w:rPr>
                <w:rFonts w:eastAsia="Arial"/>
                <w:sz w:val="22"/>
              </w:rPr>
              <w:t xml:space="preserve">2e+08       </w:t>
            </w:r>
          </w:p>
        </w:tc>
        <w:tc>
          <w:tcPr>
            <w:tcW w:w="403" w:type="pct"/>
          </w:tcPr>
          <w:p w14:paraId="1FB488C5" w14:textId="77777777" w:rsidR="005F31F5" w:rsidRPr="005F31F5" w:rsidRDefault="005F31F5" w:rsidP="005F31F5">
            <w:pPr>
              <w:jc w:val="right"/>
              <w:rPr>
                <w:rFonts w:eastAsia="Arial"/>
                <w:sz w:val="22"/>
              </w:rPr>
            </w:pPr>
            <w:r w:rsidRPr="005F31F5">
              <w:rPr>
                <w:rFonts w:eastAsia="Arial"/>
                <w:sz w:val="22"/>
              </w:rPr>
              <w:t xml:space="preserve">2e+08       </w:t>
            </w:r>
          </w:p>
        </w:tc>
        <w:tc>
          <w:tcPr>
            <w:tcW w:w="403" w:type="pct"/>
          </w:tcPr>
          <w:p w14:paraId="6BEFA22A" w14:textId="77777777" w:rsidR="005F31F5" w:rsidRPr="005F31F5" w:rsidRDefault="005F31F5" w:rsidP="005F31F5">
            <w:pPr>
              <w:jc w:val="right"/>
              <w:rPr>
                <w:rFonts w:eastAsia="Arial"/>
                <w:sz w:val="22"/>
              </w:rPr>
            </w:pPr>
            <w:r w:rsidRPr="005F31F5">
              <w:rPr>
                <w:rFonts w:eastAsia="Arial"/>
                <w:sz w:val="22"/>
              </w:rPr>
              <w:t xml:space="preserve">2e+08       </w:t>
            </w:r>
          </w:p>
        </w:tc>
        <w:tc>
          <w:tcPr>
            <w:tcW w:w="288" w:type="pct"/>
          </w:tcPr>
          <w:p w14:paraId="632D12BA" w14:textId="77777777" w:rsidR="005F31F5" w:rsidRPr="005F31F5" w:rsidRDefault="005F31F5" w:rsidP="005F31F5">
            <w:pPr>
              <w:jc w:val="right"/>
              <w:rPr>
                <w:rFonts w:eastAsia="Arial"/>
                <w:sz w:val="22"/>
              </w:rPr>
            </w:pPr>
            <w:r w:rsidRPr="005F31F5">
              <w:rPr>
                <w:rFonts w:eastAsia="Arial"/>
                <w:sz w:val="22"/>
              </w:rPr>
              <w:t xml:space="preserve">2e+08  </w:t>
            </w:r>
          </w:p>
        </w:tc>
        <w:tc>
          <w:tcPr>
            <w:tcW w:w="361" w:type="pct"/>
          </w:tcPr>
          <w:p w14:paraId="533451F2" w14:textId="77777777" w:rsidR="005F31F5" w:rsidRPr="005F31F5" w:rsidRDefault="005F31F5" w:rsidP="005F31F5">
            <w:pPr>
              <w:jc w:val="right"/>
              <w:rPr>
                <w:rFonts w:eastAsia="Arial"/>
                <w:sz w:val="22"/>
              </w:rPr>
            </w:pPr>
            <w:r w:rsidRPr="005F31F5">
              <w:rPr>
                <w:rFonts w:eastAsia="Arial"/>
                <w:sz w:val="22"/>
              </w:rPr>
              <w:t>3.8e+03</w:t>
            </w:r>
          </w:p>
        </w:tc>
        <w:tc>
          <w:tcPr>
            <w:tcW w:w="357" w:type="pct"/>
          </w:tcPr>
          <w:p w14:paraId="19388BBB" w14:textId="77777777" w:rsidR="005F31F5" w:rsidRPr="005F31F5" w:rsidRDefault="005F31F5" w:rsidP="005F31F5">
            <w:pPr>
              <w:jc w:val="right"/>
              <w:rPr>
                <w:rFonts w:eastAsia="Arial"/>
                <w:sz w:val="22"/>
              </w:rPr>
            </w:pPr>
            <w:r w:rsidRPr="005F31F5">
              <w:rPr>
                <w:rFonts w:eastAsia="Arial"/>
                <w:sz w:val="22"/>
              </w:rPr>
              <w:t xml:space="preserve">28  </w:t>
            </w:r>
          </w:p>
        </w:tc>
        <w:tc>
          <w:tcPr>
            <w:tcW w:w="393" w:type="pct"/>
          </w:tcPr>
          <w:p w14:paraId="29553E1B" w14:textId="77777777" w:rsidR="005F31F5" w:rsidRPr="005F31F5" w:rsidRDefault="005F31F5" w:rsidP="005F31F5">
            <w:pPr>
              <w:jc w:val="right"/>
              <w:rPr>
                <w:rFonts w:eastAsia="Arial"/>
                <w:sz w:val="22"/>
              </w:rPr>
            </w:pPr>
            <w:r w:rsidRPr="005F31F5">
              <w:rPr>
                <w:rFonts w:eastAsia="Arial"/>
                <w:sz w:val="22"/>
              </w:rPr>
              <w:t xml:space="preserve">0       </w:t>
            </w:r>
          </w:p>
        </w:tc>
        <w:tc>
          <w:tcPr>
            <w:tcW w:w="393" w:type="pct"/>
          </w:tcPr>
          <w:p w14:paraId="463C5BFD" w14:textId="77777777" w:rsidR="005F31F5" w:rsidRPr="005F31F5" w:rsidRDefault="005F31F5" w:rsidP="005F31F5">
            <w:pPr>
              <w:jc w:val="right"/>
              <w:rPr>
                <w:rFonts w:eastAsia="Arial"/>
                <w:sz w:val="22"/>
              </w:rPr>
            </w:pPr>
            <w:r w:rsidRPr="005F31F5">
              <w:rPr>
                <w:rFonts w:eastAsia="Arial"/>
                <w:sz w:val="22"/>
              </w:rPr>
              <w:t xml:space="preserve">2e+08       </w:t>
            </w:r>
          </w:p>
        </w:tc>
        <w:tc>
          <w:tcPr>
            <w:tcW w:w="393" w:type="pct"/>
          </w:tcPr>
          <w:p w14:paraId="14A1CC02" w14:textId="77777777" w:rsidR="005F31F5" w:rsidRPr="005F31F5" w:rsidRDefault="005F31F5" w:rsidP="005F31F5">
            <w:pPr>
              <w:jc w:val="right"/>
              <w:rPr>
                <w:rFonts w:eastAsia="Arial"/>
                <w:sz w:val="22"/>
              </w:rPr>
            </w:pPr>
            <w:r w:rsidRPr="005F31F5">
              <w:rPr>
                <w:rFonts w:eastAsia="Arial"/>
                <w:sz w:val="22"/>
              </w:rPr>
              <w:t>1.82e+08</w:t>
            </w:r>
          </w:p>
        </w:tc>
        <w:tc>
          <w:tcPr>
            <w:tcW w:w="277" w:type="pct"/>
          </w:tcPr>
          <w:p w14:paraId="1E1C2D10" w14:textId="77777777" w:rsidR="005F31F5" w:rsidRPr="005F31F5" w:rsidRDefault="005F31F5" w:rsidP="005F31F5">
            <w:pPr>
              <w:jc w:val="right"/>
              <w:rPr>
                <w:rFonts w:eastAsia="Arial"/>
                <w:sz w:val="22"/>
              </w:rPr>
            </w:pPr>
            <w:r w:rsidRPr="005F31F5">
              <w:rPr>
                <w:rFonts w:eastAsia="Arial"/>
                <w:sz w:val="22"/>
              </w:rPr>
              <w:t>302</w:t>
            </w:r>
          </w:p>
        </w:tc>
      </w:tr>
      <w:tr w:rsidR="005F31F5" w:rsidRPr="005F31F5" w14:paraId="1CBED0DD" w14:textId="77777777" w:rsidTr="005F31F5">
        <w:trPr>
          <w:jc w:val="center"/>
        </w:trPr>
        <w:tc>
          <w:tcPr>
            <w:tcW w:w="530" w:type="pct"/>
          </w:tcPr>
          <w:p w14:paraId="3568271A" w14:textId="77777777" w:rsidR="005F31F5" w:rsidRPr="005F31F5" w:rsidRDefault="005F31F5" w:rsidP="005F31F5">
            <w:pPr>
              <w:rPr>
                <w:rFonts w:eastAsia="Arial"/>
                <w:sz w:val="22"/>
              </w:rPr>
            </w:pPr>
            <w:r w:rsidRPr="005F31F5">
              <w:rPr>
                <w:rFonts w:eastAsia="Arial"/>
                <w:sz w:val="22"/>
              </w:rPr>
              <w:t>IgG</w:t>
            </w:r>
          </w:p>
        </w:tc>
        <w:tc>
          <w:tcPr>
            <w:tcW w:w="393" w:type="pct"/>
          </w:tcPr>
          <w:p w14:paraId="77B0E63C" w14:textId="77777777" w:rsidR="005F31F5" w:rsidRPr="005F31F5" w:rsidRDefault="005F31F5" w:rsidP="005F31F5">
            <w:pPr>
              <w:jc w:val="right"/>
              <w:rPr>
                <w:rFonts w:eastAsia="Arial"/>
                <w:sz w:val="22"/>
              </w:rPr>
            </w:pPr>
            <w:r w:rsidRPr="005F31F5">
              <w:rPr>
                <w:rFonts w:eastAsia="Arial"/>
                <w:sz w:val="22"/>
              </w:rPr>
              <w:t>2.07e+05</w:t>
            </w:r>
          </w:p>
        </w:tc>
        <w:tc>
          <w:tcPr>
            <w:tcW w:w="403" w:type="pct"/>
          </w:tcPr>
          <w:p w14:paraId="587D8B2C" w14:textId="77777777" w:rsidR="005F31F5" w:rsidRPr="005F31F5" w:rsidRDefault="005F31F5" w:rsidP="005F31F5">
            <w:pPr>
              <w:jc w:val="right"/>
              <w:rPr>
                <w:rFonts w:eastAsia="Arial"/>
                <w:sz w:val="22"/>
              </w:rPr>
            </w:pPr>
            <w:r w:rsidRPr="005F31F5">
              <w:rPr>
                <w:rFonts w:eastAsia="Arial"/>
                <w:sz w:val="22"/>
              </w:rPr>
              <w:t>2.74e+05</w:t>
            </w:r>
          </w:p>
        </w:tc>
        <w:tc>
          <w:tcPr>
            <w:tcW w:w="403" w:type="pct"/>
          </w:tcPr>
          <w:p w14:paraId="63510F18" w14:textId="77777777" w:rsidR="005F31F5" w:rsidRPr="005F31F5" w:rsidRDefault="005F31F5" w:rsidP="005F31F5">
            <w:pPr>
              <w:jc w:val="right"/>
              <w:rPr>
                <w:rFonts w:eastAsia="Arial"/>
                <w:sz w:val="22"/>
              </w:rPr>
            </w:pPr>
            <w:r w:rsidRPr="005F31F5">
              <w:rPr>
                <w:rFonts w:eastAsia="Arial"/>
                <w:sz w:val="22"/>
              </w:rPr>
              <w:t>1.35e+06</w:t>
            </w:r>
          </w:p>
        </w:tc>
        <w:tc>
          <w:tcPr>
            <w:tcW w:w="403" w:type="pct"/>
          </w:tcPr>
          <w:p w14:paraId="37BCEC14" w14:textId="77777777" w:rsidR="005F31F5" w:rsidRPr="005F31F5" w:rsidRDefault="005F31F5" w:rsidP="005F31F5">
            <w:pPr>
              <w:jc w:val="right"/>
              <w:rPr>
                <w:rFonts w:eastAsia="Arial"/>
                <w:sz w:val="22"/>
              </w:rPr>
            </w:pPr>
            <w:r w:rsidRPr="005F31F5">
              <w:rPr>
                <w:rFonts w:eastAsia="Arial"/>
                <w:sz w:val="22"/>
              </w:rPr>
              <w:t>8.04e+06</w:t>
            </w:r>
          </w:p>
        </w:tc>
        <w:tc>
          <w:tcPr>
            <w:tcW w:w="403" w:type="pct"/>
          </w:tcPr>
          <w:p w14:paraId="65B9855E" w14:textId="77777777" w:rsidR="005F31F5" w:rsidRPr="005F31F5" w:rsidRDefault="005F31F5" w:rsidP="005F31F5">
            <w:pPr>
              <w:jc w:val="right"/>
              <w:rPr>
                <w:rFonts w:eastAsia="Arial"/>
                <w:sz w:val="22"/>
              </w:rPr>
            </w:pPr>
            <w:r w:rsidRPr="005F31F5">
              <w:rPr>
                <w:rFonts w:eastAsia="Arial"/>
                <w:sz w:val="22"/>
              </w:rPr>
              <w:t>3.57e+07</w:t>
            </w:r>
          </w:p>
        </w:tc>
        <w:tc>
          <w:tcPr>
            <w:tcW w:w="288" w:type="pct"/>
          </w:tcPr>
          <w:p w14:paraId="193E59A4" w14:textId="77777777" w:rsidR="005F31F5" w:rsidRPr="005F31F5" w:rsidRDefault="005F31F5" w:rsidP="005F31F5">
            <w:pPr>
              <w:jc w:val="right"/>
              <w:rPr>
                <w:rFonts w:eastAsia="Arial"/>
                <w:sz w:val="22"/>
              </w:rPr>
            </w:pPr>
            <w:r w:rsidRPr="005F31F5">
              <w:rPr>
                <w:rFonts w:eastAsia="Arial"/>
                <w:sz w:val="22"/>
              </w:rPr>
              <w:t xml:space="preserve">2e+08  </w:t>
            </w:r>
          </w:p>
        </w:tc>
        <w:tc>
          <w:tcPr>
            <w:tcW w:w="361" w:type="pct"/>
          </w:tcPr>
          <w:p w14:paraId="0801B10A" w14:textId="77777777" w:rsidR="005F31F5" w:rsidRPr="005F31F5" w:rsidRDefault="005F31F5" w:rsidP="005F31F5">
            <w:pPr>
              <w:jc w:val="right"/>
              <w:rPr>
                <w:rFonts w:eastAsia="Arial"/>
                <w:sz w:val="22"/>
              </w:rPr>
            </w:pPr>
            <w:r w:rsidRPr="005F31F5">
              <w:rPr>
                <w:rFonts w:eastAsia="Arial"/>
                <w:sz w:val="22"/>
              </w:rPr>
              <w:t xml:space="preserve">970      </w:t>
            </w:r>
          </w:p>
        </w:tc>
        <w:tc>
          <w:tcPr>
            <w:tcW w:w="357" w:type="pct"/>
          </w:tcPr>
          <w:p w14:paraId="43F1728C" w14:textId="77777777" w:rsidR="005F31F5" w:rsidRPr="005F31F5" w:rsidRDefault="005F31F5" w:rsidP="005F31F5">
            <w:pPr>
              <w:jc w:val="right"/>
              <w:rPr>
                <w:rFonts w:eastAsia="Arial"/>
                <w:sz w:val="22"/>
              </w:rPr>
            </w:pPr>
            <w:r w:rsidRPr="005F31F5">
              <w:rPr>
                <w:rFonts w:eastAsia="Arial"/>
                <w:sz w:val="22"/>
              </w:rPr>
              <w:t xml:space="preserve">130  </w:t>
            </w:r>
          </w:p>
        </w:tc>
        <w:tc>
          <w:tcPr>
            <w:tcW w:w="393" w:type="pct"/>
          </w:tcPr>
          <w:p w14:paraId="20C43B41" w14:textId="77777777" w:rsidR="005F31F5" w:rsidRPr="005F31F5" w:rsidRDefault="005F31F5" w:rsidP="005F31F5">
            <w:pPr>
              <w:jc w:val="right"/>
              <w:rPr>
                <w:rFonts w:eastAsia="Arial"/>
                <w:sz w:val="22"/>
              </w:rPr>
            </w:pPr>
            <w:r w:rsidRPr="005F31F5">
              <w:rPr>
                <w:rFonts w:eastAsia="Arial"/>
                <w:sz w:val="22"/>
              </w:rPr>
              <w:t>6.68e+06</w:t>
            </w:r>
          </w:p>
        </w:tc>
        <w:tc>
          <w:tcPr>
            <w:tcW w:w="393" w:type="pct"/>
          </w:tcPr>
          <w:p w14:paraId="2321F0A6" w14:textId="77777777" w:rsidR="005F31F5" w:rsidRPr="005F31F5" w:rsidRDefault="005F31F5" w:rsidP="005F31F5">
            <w:pPr>
              <w:jc w:val="right"/>
              <w:rPr>
                <w:rFonts w:eastAsia="Arial"/>
                <w:sz w:val="22"/>
              </w:rPr>
            </w:pPr>
            <w:r w:rsidRPr="005F31F5">
              <w:rPr>
                <w:rFonts w:eastAsia="Arial"/>
                <w:sz w:val="22"/>
              </w:rPr>
              <w:t>3.26e+06</w:t>
            </w:r>
          </w:p>
        </w:tc>
        <w:tc>
          <w:tcPr>
            <w:tcW w:w="393" w:type="pct"/>
          </w:tcPr>
          <w:p w14:paraId="6819E772" w14:textId="77777777" w:rsidR="005F31F5" w:rsidRPr="005F31F5" w:rsidRDefault="005F31F5" w:rsidP="005F31F5">
            <w:pPr>
              <w:jc w:val="right"/>
              <w:rPr>
                <w:rFonts w:eastAsia="Arial"/>
                <w:sz w:val="22"/>
              </w:rPr>
            </w:pPr>
            <w:r w:rsidRPr="005F31F5">
              <w:rPr>
                <w:rFonts w:eastAsia="Arial"/>
                <w:sz w:val="22"/>
              </w:rPr>
              <w:t>1.13e+07</w:t>
            </w:r>
          </w:p>
        </w:tc>
        <w:tc>
          <w:tcPr>
            <w:tcW w:w="277" w:type="pct"/>
          </w:tcPr>
          <w:p w14:paraId="44D0E3C5" w14:textId="77777777" w:rsidR="005F31F5" w:rsidRPr="005F31F5" w:rsidRDefault="005F31F5" w:rsidP="005F31F5">
            <w:pPr>
              <w:jc w:val="right"/>
              <w:rPr>
                <w:rFonts w:eastAsia="Arial"/>
                <w:sz w:val="22"/>
              </w:rPr>
            </w:pPr>
            <w:r w:rsidRPr="005F31F5">
              <w:rPr>
                <w:rFonts w:eastAsia="Arial"/>
                <w:sz w:val="22"/>
              </w:rPr>
              <w:t>302</w:t>
            </w:r>
          </w:p>
        </w:tc>
      </w:tr>
      <w:tr w:rsidR="005F31F5" w:rsidRPr="005F31F5" w14:paraId="43B519A5" w14:textId="77777777" w:rsidTr="005F31F5">
        <w:trPr>
          <w:cnfStyle w:val="000000100000" w:firstRow="0" w:lastRow="0" w:firstColumn="0" w:lastColumn="0" w:oddVBand="0" w:evenVBand="0" w:oddHBand="1" w:evenHBand="0" w:firstRowFirstColumn="0" w:firstRowLastColumn="0" w:lastRowFirstColumn="0" w:lastRowLastColumn="0"/>
          <w:jc w:val="center"/>
        </w:trPr>
        <w:tc>
          <w:tcPr>
            <w:tcW w:w="530" w:type="pct"/>
          </w:tcPr>
          <w:p w14:paraId="5F5F6F06" w14:textId="77777777" w:rsidR="005F31F5" w:rsidRPr="005F31F5" w:rsidRDefault="005F31F5" w:rsidP="005F31F5">
            <w:pPr>
              <w:rPr>
                <w:rFonts w:eastAsia="Arial"/>
                <w:sz w:val="22"/>
              </w:rPr>
            </w:pPr>
            <w:r w:rsidRPr="005F31F5">
              <w:rPr>
                <w:rFonts w:eastAsia="Arial"/>
                <w:sz w:val="22"/>
              </w:rPr>
              <w:t>IgM</w:t>
            </w:r>
          </w:p>
        </w:tc>
        <w:tc>
          <w:tcPr>
            <w:tcW w:w="393" w:type="pct"/>
          </w:tcPr>
          <w:p w14:paraId="6B33109E" w14:textId="77777777" w:rsidR="005F31F5" w:rsidRPr="005F31F5" w:rsidRDefault="005F31F5" w:rsidP="005F31F5">
            <w:pPr>
              <w:jc w:val="right"/>
              <w:rPr>
                <w:rFonts w:eastAsia="Arial"/>
                <w:sz w:val="22"/>
              </w:rPr>
            </w:pPr>
            <w:r w:rsidRPr="005F31F5">
              <w:rPr>
                <w:rFonts w:eastAsia="Arial"/>
                <w:sz w:val="22"/>
              </w:rPr>
              <w:t>4.54e+04</w:t>
            </w:r>
          </w:p>
        </w:tc>
        <w:tc>
          <w:tcPr>
            <w:tcW w:w="403" w:type="pct"/>
          </w:tcPr>
          <w:p w14:paraId="21117CA1" w14:textId="77777777" w:rsidR="005F31F5" w:rsidRPr="005F31F5" w:rsidRDefault="005F31F5" w:rsidP="005F31F5">
            <w:pPr>
              <w:jc w:val="right"/>
              <w:rPr>
                <w:rFonts w:eastAsia="Arial"/>
                <w:sz w:val="22"/>
              </w:rPr>
            </w:pPr>
            <w:r w:rsidRPr="005F31F5">
              <w:rPr>
                <w:rFonts w:eastAsia="Arial"/>
                <w:sz w:val="22"/>
              </w:rPr>
              <w:t>6.23e+04</w:t>
            </w:r>
          </w:p>
        </w:tc>
        <w:tc>
          <w:tcPr>
            <w:tcW w:w="403" w:type="pct"/>
          </w:tcPr>
          <w:p w14:paraId="36E6F073" w14:textId="77777777" w:rsidR="005F31F5" w:rsidRPr="005F31F5" w:rsidRDefault="005F31F5" w:rsidP="005F31F5">
            <w:pPr>
              <w:jc w:val="right"/>
              <w:rPr>
                <w:rFonts w:eastAsia="Arial"/>
                <w:sz w:val="22"/>
              </w:rPr>
            </w:pPr>
            <w:r w:rsidRPr="005F31F5">
              <w:rPr>
                <w:rFonts w:eastAsia="Arial"/>
                <w:sz w:val="22"/>
              </w:rPr>
              <w:t>1.19e+06</w:t>
            </w:r>
          </w:p>
        </w:tc>
        <w:tc>
          <w:tcPr>
            <w:tcW w:w="403" w:type="pct"/>
          </w:tcPr>
          <w:p w14:paraId="54A33BF3" w14:textId="77777777" w:rsidR="005F31F5" w:rsidRPr="005F31F5" w:rsidRDefault="005F31F5" w:rsidP="005F31F5">
            <w:pPr>
              <w:jc w:val="right"/>
              <w:rPr>
                <w:rFonts w:eastAsia="Arial"/>
                <w:sz w:val="22"/>
              </w:rPr>
            </w:pPr>
            <w:r w:rsidRPr="005F31F5">
              <w:rPr>
                <w:rFonts w:eastAsia="Arial"/>
                <w:sz w:val="22"/>
              </w:rPr>
              <w:t xml:space="preserve">8.6e+06 </w:t>
            </w:r>
          </w:p>
        </w:tc>
        <w:tc>
          <w:tcPr>
            <w:tcW w:w="403" w:type="pct"/>
          </w:tcPr>
          <w:p w14:paraId="153FC0C2" w14:textId="77777777" w:rsidR="005F31F5" w:rsidRPr="005F31F5" w:rsidRDefault="005F31F5" w:rsidP="005F31F5">
            <w:pPr>
              <w:jc w:val="right"/>
              <w:rPr>
                <w:rFonts w:eastAsia="Arial"/>
                <w:sz w:val="22"/>
              </w:rPr>
            </w:pPr>
            <w:r w:rsidRPr="005F31F5">
              <w:rPr>
                <w:rFonts w:eastAsia="Arial"/>
                <w:sz w:val="22"/>
              </w:rPr>
              <w:t>3.53e+07</w:t>
            </w:r>
          </w:p>
        </w:tc>
        <w:tc>
          <w:tcPr>
            <w:tcW w:w="288" w:type="pct"/>
          </w:tcPr>
          <w:p w14:paraId="49D28008" w14:textId="77777777" w:rsidR="005F31F5" w:rsidRPr="005F31F5" w:rsidRDefault="005F31F5" w:rsidP="005F31F5">
            <w:pPr>
              <w:jc w:val="right"/>
              <w:rPr>
                <w:rFonts w:eastAsia="Arial"/>
                <w:sz w:val="22"/>
              </w:rPr>
            </w:pPr>
            <w:r w:rsidRPr="005F31F5">
              <w:rPr>
                <w:rFonts w:eastAsia="Arial"/>
                <w:sz w:val="22"/>
              </w:rPr>
              <w:t xml:space="preserve">2e+08  </w:t>
            </w:r>
          </w:p>
        </w:tc>
        <w:tc>
          <w:tcPr>
            <w:tcW w:w="361" w:type="pct"/>
          </w:tcPr>
          <w:p w14:paraId="2B869D88" w14:textId="77777777" w:rsidR="005F31F5" w:rsidRPr="005F31F5" w:rsidRDefault="005F31F5" w:rsidP="005F31F5">
            <w:pPr>
              <w:jc w:val="right"/>
              <w:rPr>
                <w:rFonts w:eastAsia="Arial"/>
                <w:sz w:val="22"/>
              </w:rPr>
            </w:pPr>
            <w:r w:rsidRPr="005F31F5">
              <w:rPr>
                <w:rFonts w:eastAsia="Arial"/>
                <w:sz w:val="22"/>
              </w:rPr>
              <w:t>4.4e+03</w:t>
            </w:r>
          </w:p>
        </w:tc>
        <w:tc>
          <w:tcPr>
            <w:tcW w:w="357" w:type="pct"/>
          </w:tcPr>
          <w:p w14:paraId="66563016" w14:textId="77777777" w:rsidR="005F31F5" w:rsidRPr="005F31F5" w:rsidRDefault="005F31F5" w:rsidP="005F31F5">
            <w:pPr>
              <w:jc w:val="right"/>
              <w:rPr>
                <w:rFonts w:eastAsia="Arial"/>
                <w:sz w:val="22"/>
              </w:rPr>
            </w:pPr>
            <w:r w:rsidRPr="005F31F5">
              <w:rPr>
                <w:rFonts w:eastAsia="Arial"/>
                <w:sz w:val="22"/>
              </w:rPr>
              <w:t xml:space="preserve">570  </w:t>
            </w:r>
          </w:p>
        </w:tc>
        <w:tc>
          <w:tcPr>
            <w:tcW w:w="393" w:type="pct"/>
          </w:tcPr>
          <w:p w14:paraId="137FB95A" w14:textId="77777777" w:rsidR="005F31F5" w:rsidRPr="005F31F5" w:rsidRDefault="005F31F5" w:rsidP="005F31F5">
            <w:pPr>
              <w:jc w:val="right"/>
              <w:rPr>
                <w:rFonts w:eastAsia="Arial"/>
                <w:sz w:val="22"/>
              </w:rPr>
            </w:pPr>
            <w:r w:rsidRPr="005F31F5">
              <w:rPr>
                <w:rFonts w:eastAsia="Arial"/>
                <w:sz w:val="22"/>
              </w:rPr>
              <w:t xml:space="preserve">7.4e+06 </w:t>
            </w:r>
          </w:p>
        </w:tc>
        <w:tc>
          <w:tcPr>
            <w:tcW w:w="393" w:type="pct"/>
          </w:tcPr>
          <w:p w14:paraId="25F660C1" w14:textId="77777777" w:rsidR="005F31F5" w:rsidRPr="005F31F5" w:rsidRDefault="005F31F5" w:rsidP="005F31F5">
            <w:pPr>
              <w:jc w:val="right"/>
              <w:rPr>
                <w:rFonts w:eastAsia="Arial"/>
                <w:sz w:val="22"/>
              </w:rPr>
            </w:pPr>
            <w:r w:rsidRPr="005F31F5">
              <w:rPr>
                <w:rFonts w:eastAsia="Arial"/>
                <w:sz w:val="22"/>
              </w:rPr>
              <w:t>3.41e+06</w:t>
            </w:r>
          </w:p>
        </w:tc>
        <w:tc>
          <w:tcPr>
            <w:tcW w:w="393" w:type="pct"/>
          </w:tcPr>
          <w:p w14:paraId="77EA8249" w14:textId="77777777" w:rsidR="005F31F5" w:rsidRPr="005F31F5" w:rsidRDefault="005F31F5" w:rsidP="005F31F5">
            <w:pPr>
              <w:jc w:val="right"/>
              <w:rPr>
                <w:rFonts w:eastAsia="Arial"/>
                <w:sz w:val="22"/>
              </w:rPr>
            </w:pPr>
            <w:r w:rsidRPr="005F31F5">
              <w:rPr>
                <w:rFonts w:eastAsia="Arial"/>
                <w:sz w:val="22"/>
              </w:rPr>
              <w:t>1.06e+07</w:t>
            </w:r>
          </w:p>
        </w:tc>
        <w:tc>
          <w:tcPr>
            <w:tcW w:w="277" w:type="pct"/>
          </w:tcPr>
          <w:p w14:paraId="7A9510DE" w14:textId="77777777" w:rsidR="005F31F5" w:rsidRPr="005F31F5" w:rsidRDefault="005F31F5" w:rsidP="005F31F5">
            <w:pPr>
              <w:keepNext/>
              <w:jc w:val="right"/>
              <w:rPr>
                <w:rFonts w:eastAsia="Arial"/>
                <w:sz w:val="22"/>
              </w:rPr>
            </w:pPr>
            <w:r w:rsidRPr="005F31F5">
              <w:rPr>
                <w:rFonts w:eastAsia="Arial"/>
                <w:sz w:val="22"/>
              </w:rPr>
              <w:t>302</w:t>
            </w:r>
          </w:p>
        </w:tc>
      </w:tr>
    </w:tbl>
    <w:p w14:paraId="0F8B1A3C" w14:textId="5CCE21D8" w:rsidR="0000411C" w:rsidRPr="00F44860" w:rsidRDefault="005F31F5" w:rsidP="005F31F5">
      <w:pPr>
        <w:jc w:val="left"/>
      </w:pPr>
      <w:bookmarkStart w:id="6" w:name="_Toc90977610"/>
      <w:r w:rsidRPr="005F31F5">
        <w:rPr>
          <w:rStyle w:val="Heading1Char"/>
        </w:rPr>
        <w:t xml:space="preserve">Supplemental Table </w:t>
      </w:r>
      <w:r w:rsidRPr="005F31F5">
        <w:rPr>
          <w:rStyle w:val="Heading1Char"/>
        </w:rPr>
        <w:fldChar w:fldCharType="begin"/>
      </w:r>
      <w:r w:rsidRPr="005F31F5">
        <w:rPr>
          <w:rStyle w:val="Heading1Char"/>
        </w:rPr>
        <w:instrText xml:space="preserve"> SEQ Table \* ARABIC </w:instrText>
      </w:r>
      <w:r w:rsidRPr="005F31F5">
        <w:rPr>
          <w:rStyle w:val="Heading1Char"/>
        </w:rPr>
        <w:fldChar w:fldCharType="separate"/>
      </w:r>
      <w:r w:rsidR="00D9568B">
        <w:rPr>
          <w:rStyle w:val="Heading1Char"/>
          <w:noProof/>
        </w:rPr>
        <w:t>3</w:t>
      </w:r>
      <w:r w:rsidRPr="005F31F5">
        <w:rPr>
          <w:rStyle w:val="Heading1Char"/>
        </w:rPr>
        <w:fldChar w:fldCharType="end"/>
      </w:r>
      <w:r w:rsidRPr="005F31F5">
        <w:rPr>
          <w:rStyle w:val="Heading1Char"/>
        </w:rPr>
        <w:t xml:space="preserve"> – Range of total immunoglobulins in saliva self-collected by donors and returned through the mail.</w:t>
      </w:r>
      <w:bookmarkEnd w:id="6"/>
      <w:r w:rsidRPr="005F31F5">
        <w:t xml:space="preserve"> </w:t>
      </w:r>
      <w:r>
        <w:t xml:space="preserve"> Sample concentrations are in </w:t>
      </w:r>
      <w:proofErr w:type="spellStart"/>
      <w:r>
        <w:t>pg</w:t>
      </w:r>
      <w:proofErr w:type="spellEnd"/>
      <w:r w:rsidRPr="005F31F5">
        <w:t>/</w:t>
      </w:r>
      <w:proofErr w:type="spellStart"/>
      <w:r w:rsidRPr="005F31F5">
        <w:t>mL.</w:t>
      </w:r>
      <w:proofErr w:type="spellEnd"/>
      <w:r w:rsidRPr="005F31F5">
        <w:t xml:space="preserve">  Data shown for all 302 samples received from 121 unique participants.</w:t>
      </w:r>
    </w:p>
    <w:p w14:paraId="7701868C" w14:textId="11DA0674" w:rsidR="008A1905" w:rsidRDefault="008A1905" w:rsidP="005F31F5">
      <w:pPr>
        <w:jc w:val="left"/>
        <w:sectPr w:rsidR="008A1905" w:rsidSect="00E87966">
          <w:pgSz w:w="15840" w:h="12240" w:orient="landscape"/>
          <w:pgMar w:top="720" w:right="720" w:bottom="720" w:left="720" w:header="720" w:footer="720" w:gutter="0"/>
          <w:cols w:space="720"/>
          <w:docGrid w:linePitch="360"/>
        </w:sectPr>
      </w:pPr>
    </w:p>
    <w:p w14:paraId="0BD9AFE6" w14:textId="451EA1EC" w:rsidR="008A1905" w:rsidRDefault="008A1905" w:rsidP="00751B91"/>
    <w:p w14:paraId="0C889A54" w14:textId="77777777" w:rsidR="00D9568B" w:rsidRDefault="00707CA2" w:rsidP="00D9568B">
      <w:pPr>
        <w:rPr>
          <w:rStyle w:val="Heading1Char"/>
        </w:rPr>
      </w:pPr>
      <w:r>
        <w:rPr>
          <w:noProof/>
        </w:rPr>
        <w:drawing>
          <wp:inline distT="0" distB="0" distL="0" distR="0" wp14:anchorId="1996C7B7" wp14:editId="1C27BFAE">
            <wp:extent cx="5943600" cy="5617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 Fig 2 Concentration Dotplot  Cir HCoV.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617845"/>
                    </a:xfrm>
                    <a:prstGeom prst="rect">
                      <a:avLst/>
                    </a:prstGeom>
                  </pic:spPr>
                </pic:pic>
              </a:graphicData>
            </a:graphic>
          </wp:inline>
        </w:drawing>
      </w:r>
      <w:bookmarkStart w:id="7" w:name="_Toc90977611"/>
    </w:p>
    <w:p w14:paraId="17A41ED9" w14:textId="77777777" w:rsidR="00D9568B" w:rsidRDefault="00D9568B" w:rsidP="00D9568B">
      <w:pPr>
        <w:rPr>
          <w:rStyle w:val="Heading1Char"/>
        </w:rPr>
      </w:pPr>
    </w:p>
    <w:p w14:paraId="53726C72" w14:textId="5D080491" w:rsidR="008A1905" w:rsidRDefault="00A44E10" w:rsidP="00D9568B">
      <w:pPr>
        <w:jc w:val="left"/>
      </w:pPr>
      <w:r w:rsidRPr="00751B91">
        <w:rPr>
          <w:rStyle w:val="Heading1Char"/>
        </w:rPr>
        <w:t xml:space="preserve">Supplemental Figure </w:t>
      </w:r>
      <w:r w:rsidRPr="00751B91">
        <w:rPr>
          <w:rStyle w:val="Heading1Char"/>
        </w:rPr>
        <w:fldChar w:fldCharType="begin"/>
      </w:r>
      <w:r w:rsidRPr="00751B91">
        <w:rPr>
          <w:rStyle w:val="Heading1Char"/>
        </w:rPr>
        <w:instrText xml:space="preserve"> SEQ Figure \* ARABIC </w:instrText>
      </w:r>
      <w:r w:rsidRPr="00751B91">
        <w:rPr>
          <w:rStyle w:val="Heading1Char"/>
        </w:rPr>
        <w:fldChar w:fldCharType="separate"/>
      </w:r>
      <w:r w:rsidR="00D9568B">
        <w:rPr>
          <w:rStyle w:val="Heading1Char"/>
          <w:noProof/>
        </w:rPr>
        <w:t>2</w:t>
      </w:r>
      <w:r w:rsidRPr="00751B91">
        <w:rPr>
          <w:rStyle w:val="Heading1Char"/>
        </w:rPr>
        <w:fldChar w:fldCharType="end"/>
      </w:r>
      <w:r w:rsidRPr="00751B91">
        <w:rPr>
          <w:rStyle w:val="Heading1Char"/>
        </w:rPr>
        <w:t xml:space="preserve"> – Salivary IgG for endemic coronaviruses in the weeks after a PCR test for SARS-CoV-2.</w:t>
      </w:r>
      <w:bookmarkEnd w:id="7"/>
      <w:r w:rsidRPr="00751B91">
        <w:rPr>
          <w:rStyle w:val="Heading1Char"/>
        </w:rPr>
        <w:t xml:space="preserve"> </w:t>
      </w:r>
      <w:r w:rsidRPr="00751B91">
        <w:t xml:space="preserve"> IgG reactivity to the spike proteins for (a) NL63, (b) HKU1, (c) OC43, and (d) 229E was measured in saliva provided by the same 1</w:t>
      </w:r>
      <w:r w:rsidR="000A0212">
        <w:t>21</w:t>
      </w:r>
      <w:r w:rsidRPr="00751B91">
        <w:t xml:space="preserve"> participants whose react</w:t>
      </w:r>
      <w:r w:rsidR="00751B91" w:rsidRPr="00751B91">
        <w:t xml:space="preserve">ivity to SARS-CoV-2 antigens is shown in Figure 1 of the main manuscript.  Participants provided </w:t>
      </w:r>
      <w:r w:rsidR="000A0212" w:rsidRPr="00751B91">
        <w:t>up to</w:t>
      </w:r>
      <w:r w:rsidR="00751B91" w:rsidRPr="00751B91">
        <w:t xml:space="preserve"> three samples in the weeks after receiving a </w:t>
      </w:r>
      <w:r w:rsidRPr="00751B91">
        <w:t xml:space="preserve">PCR test for SARS-CoV-2.  </w:t>
      </w:r>
      <w:r w:rsidR="00751B91" w:rsidRPr="00751B91">
        <w:t xml:space="preserve">Matched samples provided by the same donor are connected with lines.  </w:t>
      </w:r>
      <w:r w:rsidR="004B7E4D">
        <w:t>81</w:t>
      </w:r>
      <w:r w:rsidR="00751B91" w:rsidRPr="00751B91">
        <w:t xml:space="preserve"> participants tested negative for SAR</w:t>
      </w:r>
      <w:r w:rsidR="004B7E4D">
        <w:t>S-CoV-2 (colored purple), and 40</w:t>
      </w:r>
      <w:r w:rsidR="00751B91" w:rsidRPr="00751B91">
        <w:t xml:space="preserve"> participants tested positive (colored </w:t>
      </w:r>
      <w:r w:rsidR="00751B91">
        <w:t>green).</w:t>
      </w:r>
    </w:p>
    <w:sectPr w:rsidR="008A1905" w:rsidSect="008A19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B7CE" w14:textId="77777777" w:rsidR="004E2DDF" w:rsidRDefault="004E2DDF" w:rsidP="00834D2E">
      <w:r>
        <w:separator/>
      </w:r>
    </w:p>
  </w:endnote>
  <w:endnote w:type="continuationSeparator" w:id="0">
    <w:p w14:paraId="10D11F30" w14:textId="77777777" w:rsidR="004E2DDF" w:rsidRDefault="004E2DDF" w:rsidP="0083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9500" w14:textId="77777777" w:rsidR="00C22963" w:rsidRDefault="00C2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987D" w14:textId="77777777" w:rsidR="00834D2E" w:rsidRPr="00C22963" w:rsidRDefault="00834D2E" w:rsidP="00C22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DF7B" w14:textId="77777777" w:rsidR="00C22963" w:rsidRDefault="00C2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4B67" w14:textId="77777777" w:rsidR="004E2DDF" w:rsidRDefault="004E2DDF" w:rsidP="00834D2E">
      <w:r>
        <w:separator/>
      </w:r>
    </w:p>
  </w:footnote>
  <w:footnote w:type="continuationSeparator" w:id="0">
    <w:p w14:paraId="19656CB7" w14:textId="77777777" w:rsidR="004E2DDF" w:rsidRDefault="004E2DDF" w:rsidP="0083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B304" w14:textId="77777777" w:rsidR="00C22963" w:rsidRDefault="00C2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76A5" w14:textId="77777777" w:rsidR="00C22963" w:rsidRDefault="00C22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5829" w14:textId="77777777" w:rsidR="00C22963" w:rsidRDefault="00C2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23EF2"/>
    <w:multiLevelType w:val="hybridMultilevel"/>
    <w:tmpl w:val="20409C7A"/>
    <w:lvl w:ilvl="0" w:tplc="CC1E42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66"/>
    <w:rsid w:val="0000411C"/>
    <w:rsid w:val="00041125"/>
    <w:rsid w:val="00090AB3"/>
    <w:rsid w:val="000A0212"/>
    <w:rsid w:val="00125FC2"/>
    <w:rsid w:val="00147027"/>
    <w:rsid w:val="001B5DB6"/>
    <w:rsid w:val="001C1534"/>
    <w:rsid w:val="001E4E99"/>
    <w:rsid w:val="00233974"/>
    <w:rsid w:val="00273C0E"/>
    <w:rsid w:val="00296D36"/>
    <w:rsid w:val="002C17F9"/>
    <w:rsid w:val="002C34F0"/>
    <w:rsid w:val="002C3E56"/>
    <w:rsid w:val="003D5147"/>
    <w:rsid w:val="003E402A"/>
    <w:rsid w:val="00466B64"/>
    <w:rsid w:val="00473BF1"/>
    <w:rsid w:val="004B7E4D"/>
    <w:rsid w:val="004C658C"/>
    <w:rsid w:val="004E2DDF"/>
    <w:rsid w:val="0052264D"/>
    <w:rsid w:val="005F31F5"/>
    <w:rsid w:val="00637229"/>
    <w:rsid w:val="006F75F3"/>
    <w:rsid w:val="00707CA2"/>
    <w:rsid w:val="007150EE"/>
    <w:rsid w:val="00751B91"/>
    <w:rsid w:val="007E30A9"/>
    <w:rsid w:val="0083400A"/>
    <w:rsid w:val="00834D2E"/>
    <w:rsid w:val="00845774"/>
    <w:rsid w:val="008563ED"/>
    <w:rsid w:val="008A1905"/>
    <w:rsid w:val="009337D4"/>
    <w:rsid w:val="009F639D"/>
    <w:rsid w:val="00A44E10"/>
    <w:rsid w:val="00A839FF"/>
    <w:rsid w:val="00AE1891"/>
    <w:rsid w:val="00AE75F6"/>
    <w:rsid w:val="00B54A0F"/>
    <w:rsid w:val="00BB0DB3"/>
    <w:rsid w:val="00C22963"/>
    <w:rsid w:val="00C841A2"/>
    <w:rsid w:val="00CB6778"/>
    <w:rsid w:val="00CD0272"/>
    <w:rsid w:val="00D70514"/>
    <w:rsid w:val="00D9568B"/>
    <w:rsid w:val="00DC61EE"/>
    <w:rsid w:val="00DF1015"/>
    <w:rsid w:val="00E43D4F"/>
    <w:rsid w:val="00E87966"/>
    <w:rsid w:val="00E95688"/>
    <w:rsid w:val="00F44860"/>
    <w:rsid w:val="00FA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6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91"/>
    <w:pPr>
      <w:spacing w:after="0" w:line="240" w:lineRule="auto"/>
      <w:jc w:val="center"/>
    </w:pPr>
    <w:rPr>
      <w:rFonts w:ascii="Arial" w:eastAsiaTheme="minorEastAsia" w:hAnsi="Arial" w:cs="Arial"/>
      <w:sz w:val="24"/>
      <w:szCs w:val="24"/>
    </w:rPr>
  </w:style>
  <w:style w:type="paragraph" w:styleId="Heading1">
    <w:name w:val="heading 1"/>
    <w:basedOn w:val="Normal"/>
    <w:next w:val="Normal"/>
    <w:link w:val="Heading1Char"/>
    <w:uiPriority w:val="9"/>
    <w:qFormat/>
    <w:rsid w:val="0000411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E879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E87966"/>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8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66"/>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00411C"/>
    <w:rPr>
      <w:rFonts w:eastAsiaTheme="minorEastAsia"/>
      <w:b/>
      <w:sz w:val="24"/>
      <w:szCs w:val="24"/>
    </w:rPr>
  </w:style>
  <w:style w:type="paragraph" w:styleId="TableofFigures">
    <w:name w:val="table of figures"/>
    <w:basedOn w:val="Normal"/>
    <w:next w:val="Normal"/>
    <w:uiPriority w:val="99"/>
    <w:unhideWhenUsed/>
    <w:rsid w:val="00F44860"/>
  </w:style>
  <w:style w:type="character" w:styleId="Hyperlink">
    <w:name w:val="Hyperlink"/>
    <w:basedOn w:val="DefaultParagraphFont"/>
    <w:uiPriority w:val="99"/>
    <w:unhideWhenUsed/>
    <w:rsid w:val="00F44860"/>
    <w:rPr>
      <w:color w:val="0563C1" w:themeColor="hyperlink"/>
      <w:u w:val="single"/>
    </w:rPr>
  </w:style>
  <w:style w:type="paragraph" w:styleId="TOCHeading">
    <w:name w:val="TOC Heading"/>
    <w:basedOn w:val="Heading1"/>
    <w:next w:val="Normal"/>
    <w:uiPriority w:val="39"/>
    <w:unhideWhenUsed/>
    <w:qFormat/>
    <w:rsid w:val="00F44860"/>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337D4"/>
    <w:pPr>
      <w:tabs>
        <w:tab w:val="right" w:leader="dot" w:pos="10790"/>
      </w:tabs>
      <w:spacing w:after="100"/>
      <w:jc w:val="both"/>
    </w:pPr>
  </w:style>
  <w:style w:type="table" w:styleId="TableGrid">
    <w:name w:val="Table Grid"/>
    <w:basedOn w:val="TableNormal"/>
    <w:uiPriority w:val="39"/>
    <w:rsid w:val="008A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E30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34D2E"/>
    <w:pPr>
      <w:tabs>
        <w:tab w:val="center" w:pos="4680"/>
        <w:tab w:val="right" w:pos="9360"/>
      </w:tabs>
    </w:pPr>
  </w:style>
  <w:style w:type="character" w:customStyle="1" w:styleId="HeaderChar">
    <w:name w:val="Header Char"/>
    <w:basedOn w:val="DefaultParagraphFont"/>
    <w:link w:val="Header"/>
    <w:uiPriority w:val="99"/>
    <w:rsid w:val="00834D2E"/>
    <w:rPr>
      <w:rFonts w:ascii="Arial" w:eastAsiaTheme="minorEastAsia" w:hAnsi="Arial" w:cs="Arial"/>
      <w:sz w:val="24"/>
      <w:szCs w:val="24"/>
    </w:rPr>
  </w:style>
  <w:style w:type="paragraph" w:styleId="Footer">
    <w:name w:val="footer"/>
    <w:basedOn w:val="Normal"/>
    <w:link w:val="FooterChar"/>
    <w:uiPriority w:val="99"/>
    <w:unhideWhenUsed/>
    <w:rsid w:val="00834D2E"/>
    <w:pPr>
      <w:tabs>
        <w:tab w:val="center" w:pos="4680"/>
        <w:tab w:val="right" w:pos="9360"/>
      </w:tabs>
    </w:pPr>
  </w:style>
  <w:style w:type="character" w:customStyle="1" w:styleId="FooterChar">
    <w:name w:val="Footer Char"/>
    <w:basedOn w:val="DefaultParagraphFont"/>
    <w:link w:val="Footer"/>
    <w:uiPriority w:val="99"/>
    <w:rsid w:val="00834D2E"/>
    <w:rPr>
      <w:rFonts w:ascii="Arial" w:eastAsiaTheme="minorEastAsia" w:hAnsi="Arial" w:cs="Arial"/>
      <w:sz w:val="24"/>
      <w:szCs w:val="24"/>
    </w:rPr>
  </w:style>
  <w:style w:type="paragraph" w:styleId="ListParagraph">
    <w:name w:val="List Paragraph"/>
    <w:basedOn w:val="Normal"/>
    <w:uiPriority w:val="34"/>
    <w:qFormat/>
    <w:rsid w:val="005F31F5"/>
    <w:pPr>
      <w:ind w:left="720"/>
      <w:contextualSpacing/>
    </w:pPr>
  </w:style>
  <w:style w:type="character" w:styleId="CommentReference">
    <w:name w:val="annotation reference"/>
    <w:basedOn w:val="DefaultParagraphFont"/>
    <w:uiPriority w:val="99"/>
    <w:semiHidden/>
    <w:unhideWhenUsed/>
    <w:rsid w:val="00FA29D2"/>
    <w:rPr>
      <w:sz w:val="16"/>
      <w:szCs w:val="16"/>
    </w:rPr>
  </w:style>
  <w:style w:type="paragraph" w:styleId="CommentText">
    <w:name w:val="annotation text"/>
    <w:basedOn w:val="Normal"/>
    <w:link w:val="CommentTextChar"/>
    <w:uiPriority w:val="99"/>
    <w:semiHidden/>
    <w:unhideWhenUsed/>
    <w:rsid w:val="00FA29D2"/>
    <w:rPr>
      <w:sz w:val="20"/>
      <w:szCs w:val="20"/>
    </w:rPr>
  </w:style>
  <w:style w:type="character" w:customStyle="1" w:styleId="CommentTextChar">
    <w:name w:val="Comment Text Char"/>
    <w:basedOn w:val="DefaultParagraphFont"/>
    <w:link w:val="CommentText"/>
    <w:uiPriority w:val="99"/>
    <w:semiHidden/>
    <w:rsid w:val="00FA29D2"/>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A29D2"/>
    <w:rPr>
      <w:b/>
      <w:bCs/>
    </w:rPr>
  </w:style>
  <w:style w:type="character" w:customStyle="1" w:styleId="CommentSubjectChar">
    <w:name w:val="Comment Subject Char"/>
    <w:basedOn w:val="CommentTextChar"/>
    <w:link w:val="CommentSubject"/>
    <w:uiPriority w:val="99"/>
    <w:semiHidden/>
    <w:rsid w:val="00FA29D2"/>
    <w:rPr>
      <w:rFonts w:ascii="Arial" w:eastAsiaTheme="minorEastAsia" w:hAnsi="Arial" w:cs="Arial"/>
      <w:b/>
      <w:bCs/>
      <w:sz w:val="20"/>
      <w:szCs w:val="20"/>
    </w:rPr>
  </w:style>
  <w:style w:type="paragraph" w:styleId="Revision">
    <w:name w:val="Revision"/>
    <w:hidden/>
    <w:uiPriority w:val="99"/>
    <w:semiHidden/>
    <w:rsid w:val="00FA29D2"/>
    <w:pPr>
      <w:spacing w:after="0" w:line="240" w:lineRule="auto"/>
    </w:pPr>
    <w:rPr>
      <w:rFonts w:ascii="Arial" w:eastAsiaTheme="minorEastAsia" w:hAnsi="Arial" w:cs="Arial"/>
      <w:sz w:val="24"/>
      <w:szCs w:val="24"/>
    </w:rPr>
  </w:style>
  <w:style w:type="paragraph" w:styleId="TOC2">
    <w:name w:val="toc 2"/>
    <w:basedOn w:val="Normal"/>
    <w:next w:val="Normal"/>
    <w:autoRedefine/>
    <w:uiPriority w:val="39"/>
    <w:unhideWhenUsed/>
    <w:rsid w:val="009337D4"/>
    <w:pPr>
      <w:spacing w:after="100" w:line="259" w:lineRule="auto"/>
      <w:ind w:left="220"/>
      <w:jc w:val="left"/>
    </w:pPr>
    <w:rPr>
      <w:rFonts w:asciiTheme="minorHAnsi" w:hAnsiTheme="minorHAnsi" w:cs="Times New Roman"/>
      <w:sz w:val="22"/>
      <w:szCs w:val="22"/>
    </w:rPr>
  </w:style>
  <w:style w:type="paragraph" w:styleId="TOC3">
    <w:name w:val="toc 3"/>
    <w:basedOn w:val="Normal"/>
    <w:next w:val="Normal"/>
    <w:autoRedefine/>
    <w:uiPriority w:val="39"/>
    <w:unhideWhenUsed/>
    <w:rsid w:val="009337D4"/>
    <w:pPr>
      <w:spacing w:after="100" w:line="259" w:lineRule="auto"/>
      <w:ind w:left="440"/>
      <w:jc w:val="left"/>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9E61-5096-42EB-A199-1F4A635F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2022-01-18T16:56:00Z</dcterms:created>
  <dcterms:modified xsi:type="dcterms:W3CDTF">2022-01-18T16:56:00Z</dcterms:modified>
</cp:coreProperties>
</file>