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65" w:rsidRDefault="00747665" w:rsidP="00747665">
      <w:pPr>
        <w:suppressLineNumbers/>
        <w:rPr>
          <w:rFonts w:hint="eastAsia"/>
          <w:b/>
        </w:rPr>
      </w:pPr>
      <w:r>
        <w:rPr>
          <w:rFonts w:hint="eastAsia"/>
          <w:b/>
        </w:rPr>
        <w:t>Additional file</w:t>
      </w:r>
      <w:r w:rsidRPr="00695F8D">
        <w:rPr>
          <w:rFonts w:hint="eastAsia"/>
          <w:b/>
        </w:rPr>
        <w:t xml:space="preserve"> </w:t>
      </w:r>
      <w:r>
        <w:rPr>
          <w:rFonts w:hint="eastAsia"/>
          <w:b/>
        </w:rPr>
        <w:t>1</w:t>
      </w:r>
    </w:p>
    <w:p w:rsidR="00747665" w:rsidRDefault="00747665" w:rsidP="00747665">
      <w:pPr>
        <w:suppressLineNumbers/>
        <w:rPr>
          <w:rFonts w:hint="eastAsia"/>
        </w:rPr>
      </w:pPr>
      <w:r w:rsidRPr="001F4EEF">
        <w:rPr>
          <w:rFonts w:hint="eastAsia"/>
        </w:rPr>
        <w:t>Table e</w:t>
      </w:r>
      <w:r>
        <w:rPr>
          <w:rFonts w:hint="eastAsia"/>
        </w:rPr>
        <w:t>1</w:t>
      </w:r>
      <w:r w:rsidRPr="001F4EEF">
        <w:rPr>
          <w:rFonts w:hint="eastAsia"/>
        </w:rPr>
        <w:t xml:space="preserve">. </w:t>
      </w:r>
      <w:r>
        <w:rPr>
          <w:rFonts w:hint="eastAsia"/>
        </w:rPr>
        <w:t xml:space="preserve">General characteristics of 1,442 hospitals in the </w:t>
      </w:r>
      <w:r w:rsidRPr="00695F8D">
        <w:rPr>
          <w:rFonts w:hint="eastAsia"/>
        </w:rPr>
        <w:t xml:space="preserve">Korean national IPC </w:t>
      </w:r>
      <w:r>
        <w:rPr>
          <w:rFonts w:hint="eastAsia"/>
        </w:rPr>
        <w:t>survey.</w:t>
      </w:r>
    </w:p>
    <w:tbl>
      <w:tblPr>
        <w:tblW w:w="860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149"/>
        <w:gridCol w:w="979"/>
        <w:gridCol w:w="980"/>
        <w:gridCol w:w="980"/>
        <w:gridCol w:w="980"/>
      </w:tblGrid>
      <w:tr w:rsidR="00747665" w:rsidRPr="00E434FB" w:rsidTr="007F5530">
        <w:trPr>
          <w:trHeight w:val="642"/>
        </w:trPr>
        <w:tc>
          <w:tcPr>
            <w:tcW w:w="2532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Characteristics</w:t>
            </w:r>
          </w:p>
        </w:tc>
        <w:tc>
          <w:tcPr>
            <w:tcW w:w="2149" w:type="dxa"/>
            <w:tcBorders>
              <w:bottom w:val="single" w:sz="2" w:space="0" w:color="000000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Tertiary 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(n=42)</w:t>
            </w:r>
          </w:p>
        </w:tc>
        <w:tc>
          <w:tcPr>
            <w:tcW w:w="980" w:type="dxa"/>
            <w:tcBorders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General 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(n=260)</w:t>
            </w:r>
          </w:p>
        </w:tc>
        <w:tc>
          <w:tcPr>
            <w:tcW w:w="980" w:type="dxa"/>
            <w:tcBorders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(n=167)</w:t>
            </w:r>
          </w:p>
        </w:tc>
        <w:tc>
          <w:tcPr>
            <w:tcW w:w="980" w:type="dxa"/>
            <w:tcBorders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Long-term care 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(n=973)</w:t>
            </w:r>
          </w:p>
        </w:tc>
      </w:tr>
      <w:tr w:rsidR="00747665" w:rsidRPr="00E434FB" w:rsidTr="007F5530">
        <w:trPr>
          <w:trHeight w:val="309"/>
        </w:trPr>
        <w:tc>
          <w:tcPr>
            <w:tcW w:w="253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Response rate</w:t>
            </w:r>
            <w:r w:rsidRPr="00E434FB">
              <w:rPr>
                <w:rFonts w:eastAsia="Batang" w:cs="Calibri"/>
                <w:sz w:val="20"/>
                <w:szCs w:val="20"/>
              </w:rPr>
              <w:t xml:space="preserve"> </w:t>
            </w:r>
            <w:r>
              <w:rPr>
                <w:rFonts w:eastAsia="Batang" w:cs="Calibri" w:hint="eastAsia"/>
                <w:sz w:val="20"/>
                <w:szCs w:val="20"/>
              </w:rPr>
              <w:t>(%)</w:t>
            </w:r>
          </w:p>
        </w:tc>
        <w:tc>
          <w:tcPr>
            <w:tcW w:w="2149" w:type="dxa"/>
            <w:tcBorders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100.0</w:t>
            </w:r>
          </w:p>
        </w:tc>
        <w:tc>
          <w:tcPr>
            <w:tcW w:w="980" w:type="dxa"/>
            <w:tcBorders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87.2</w:t>
            </w:r>
          </w:p>
        </w:tc>
        <w:tc>
          <w:tcPr>
            <w:tcW w:w="980" w:type="dxa"/>
            <w:tcBorders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61.4</w:t>
            </w:r>
          </w:p>
        </w:tc>
        <w:tc>
          <w:tcPr>
            <w:tcW w:w="980" w:type="dxa"/>
            <w:tcBorders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65.0</w:t>
            </w:r>
          </w:p>
        </w:tc>
      </w:tr>
      <w:tr w:rsidR="00747665" w:rsidRPr="00E434FB" w:rsidTr="007F5530">
        <w:trPr>
          <w:trHeight w:val="215"/>
        </w:trPr>
        <w:tc>
          <w:tcPr>
            <w:tcW w:w="2532" w:type="dxa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 w:hint="eastAsia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Seoul and greater Seoul metropolitan area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eastAsia="Malgun Gothic" w:hAnsi="Calibri" w:cs="Calibri"/>
                <w:sz w:val="20"/>
                <w:szCs w:val="20"/>
              </w:rPr>
              <w:t>21(50.0)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xl67"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hAnsi="Calibri" w:cs="Calibri"/>
                <w:sz w:val="20"/>
                <w:szCs w:val="20"/>
              </w:rPr>
              <w:t>105(40.3)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xl67"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hAnsi="Calibri" w:cs="Calibri"/>
                <w:sz w:val="20"/>
                <w:szCs w:val="20"/>
              </w:rPr>
              <w:t>50(29.9)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xl67"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hAnsi="Calibri" w:cs="Calibri"/>
                <w:sz w:val="20"/>
                <w:szCs w:val="20"/>
              </w:rPr>
              <w:t>295(30.3)</w:t>
            </w:r>
          </w:p>
        </w:tc>
      </w:tr>
      <w:tr w:rsidR="00747665" w:rsidRPr="00E434FB" w:rsidTr="007F5530">
        <w:trPr>
          <w:trHeight w:val="287"/>
        </w:trPr>
        <w:tc>
          <w:tcPr>
            <w:tcW w:w="2532" w:type="dxa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sz w:val="20"/>
                <w:szCs w:val="20"/>
              </w:rPr>
            </w:pPr>
            <w:r>
              <w:rPr>
                <w:rFonts w:ascii="Calibri" w:eastAsia="Malgun Gothic" w:hAnsi="Calibri" w:cs="Calibri" w:hint="eastAsia"/>
                <w:sz w:val="20"/>
                <w:szCs w:val="20"/>
              </w:rPr>
              <w:t>Other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sz w:val="20"/>
                <w:szCs w:val="20"/>
              </w:rPr>
            </w:pPr>
            <w:r w:rsidRPr="00F757D4">
              <w:rPr>
                <w:rFonts w:ascii="Calibri" w:eastAsia="Malgun Gothic" w:hAnsi="Calibri" w:cs="Calibri"/>
                <w:sz w:val="20"/>
                <w:szCs w:val="20"/>
              </w:rPr>
              <w:t>21(50.0)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  <w:r w:rsidRPr="00F757D4">
              <w:rPr>
                <w:rFonts w:ascii="Calibri" w:eastAsia="Malgun Gothic" w:hAnsi="Calibri" w:cs="Calibri"/>
                <w:bCs/>
                <w:sz w:val="20"/>
                <w:szCs w:val="20"/>
              </w:rPr>
              <w:t>155(59.7)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sz w:val="20"/>
                <w:szCs w:val="20"/>
              </w:rPr>
            </w:pPr>
            <w:r w:rsidRPr="00F757D4">
              <w:rPr>
                <w:rFonts w:ascii="Calibri" w:eastAsia="Malgun Gothic" w:hAnsi="Calibri" w:cs="Calibri"/>
                <w:sz w:val="20"/>
                <w:szCs w:val="20"/>
              </w:rPr>
              <w:t>117(70.1)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sz w:val="20"/>
                <w:szCs w:val="20"/>
              </w:rPr>
            </w:pPr>
            <w:r w:rsidRPr="00F757D4">
              <w:rPr>
                <w:rFonts w:ascii="Calibri" w:eastAsia="Malgun Gothic" w:hAnsi="Calibri" w:cs="Calibri"/>
                <w:sz w:val="20"/>
                <w:szCs w:val="20"/>
              </w:rPr>
              <w:t>678(69.7)</w:t>
            </w:r>
          </w:p>
        </w:tc>
      </w:tr>
      <w:tr w:rsidR="00747665" w:rsidRPr="00E434FB" w:rsidTr="007F5530">
        <w:trPr>
          <w:trHeight w:val="287"/>
        </w:trPr>
        <w:tc>
          <w:tcPr>
            <w:tcW w:w="2532" w:type="dxa"/>
            <w:vMerge w:val="restart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Number of hospital beds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center"/>
          </w:tcPr>
          <w:p w:rsidR="00747665" w:rsidRPr="00B32817" w:rsidRDefault="00747665" w:rsidP="007F5530">
            <w:pPr>
              <w:pStyle w:val="xl67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hAnsi="Calibri" w:cs="Calibri"/>
                <w:sz w:val="20"/>
                <w:szCs w:val="20"/>
              </w:rPr>
              <w:t>Less than100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eastAsia="Malgun Gothic" w:hAnsi="Calibri" w:cs="Calibri"/>
                <w:sz w:val="20"/>
                <w:szCs w:val="20"/>
              </w:rPr>
              <w:t>59(35.3)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F757D4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7D4">
              <w:rPr>
                <w:rFonts w:ascii="Calibri" w:eastAsia="Malgun Gothic" w:hAnsi="Calibri" w:cs="Calibri"/>
                <w:sz w:val="20"/>
                <w:szCs w:val="20"/>
              </w:rPr>
              <w:t>104(10.7)</w:t>
            </w:r>
          </w:p>
        </w:tc>
      </w:tr>
      <w:tr w:rsidR="00747665" w:rsidRPr="00E434FB" w:rsidTr="007F5530">
        <w:trPr>
          <w:trHeight w:val="251"/>
        </w:trPr>
        <w:tc>
          <w:tcPr>
            <w:tcW w:w="2532" w:type="dxa"/>
            <w:vMerge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  <w:vAlign w:val="center"/>
          </w:tcPr>
          <w:p w:rsidR="00747665" w:rsidRPr="00B32817" w:rsidRDefault="00747665" w:rsidP="007F5530">
            <w:pPr>
              <w:pStyle w:val="xl67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hAnsi="Calibri" w:cs="Calibri"/>
                <w:sz w:val="20"/>
                <w:szCs w:val="20"/>
              </w:rPr>
              <w:t>100~20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27(10.3)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67(25.7)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612(62.9)</w:t>
            </w:r>
          </w:p>
        </w:tc>
      </w:tr>
      <w:tr w:rsidR="00747665" w:rsidRPr="00E434FB" w:rsidTr="007F5530">
        <w:trPr>
          <w:trHeight w:val="264"/>
        </w:trPr>
        <w:tc>
          <w:tcPr>
            <w:tcW w:w="2532" w:type="dxa"/>
            <w:vMerge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  <w:vAlign w:val="center"/>
          </w:tcPr>
          <w:p w:rsidR="00747665" w:rsidRPr="00B32817" w:rsidRDefault="00747665" w:rsidP="007F5530">
            <w:pPr>
              <w:pStyle w:val="xl67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  <w:r w:rsidRPr="00B32817">
              <w:rPr>
                <w:rFonts w:ascii="Calibri" w:hAnsi="Calibri" w:cs="Calibri"/>
                <w:sz w:val="20"/>
                <w:szCs w:val="20"/>
              </w:rPr>
              <w:t>~400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154(59.2)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36(13.8)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213(21.9)</w:t>
            </w:r>
          </w:p>
        </w:tc>
      </w:tr>
      <w:tr w:rsidR="00747665" w:rsidRPr="00E434FB" w:rsidTr="007F5530">
        <w:trPr>
          <w:trHeight w:val="246"/>
        </w:trPr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  <w:vAlign w:val="center"/>
          </w:tcPr>
          <w:p w:rsidR="00747665" w:rsidRPr="00B32817" w:rsidRDefault="00747665" w:rsidP="007F5530">
            <w:pPr>
              <w:pStyle w:val="xl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 xml:space="preserve">More than </w:t>
            </w:r>
            <w:r w:rsidRPr="00B32817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79(30.3)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5(1.9)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747665" w:rsidRPr="00B32817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2817">
              <w:rPr>
                <w:rFonts w:ascii="Calibri" w:eastAsia="Malgun Gothic" w:hAnsi="Calibri" w:cs="Calibri"/>
                <w:sz w:val="20"/>
                <w:szCs w:val="20"/>
              </w:rPr>
              <w:t>44(4.5)</w:t>
            </w:r>
          </w:p>
        </w:tc>
      </w:tr>
    </w:tbl>
    <w:p w:rsidR="00747665" w:rsidRDefault="00747665" w:rsidP="00747665">
      <w:pPr>
        <w:suppressLineNumbers/>
        <w:rPr>
          <w:rFonts w:hint="eastAsia"/>
          <w:b/>
        </w:rPr>
      </w:pPr>
      <w:r>
        <w:rPr>
          <w:rFonts w:ascii="Times New Roman" w:eastAsia="Batang" w:hAnsi="Times New Roman"/>
          <w:color w:val="000000"/>
          <w:sz w:val="20"/>
          <w:szCs w:val="20"/>
        </w:rPr>
        <w:br w:type="page"/>
      </w:r>
      <w:r>
        <w:rPr>
          <w:rFonts w:hint="eastAsia"/>
          <w:b/>
        </w:rPr>
        <w:lastRenderedPageBreak/>
        <w:t>Additional file</w:t>
      </w:r>
      <w:r w:rsidRPr="00695F8D">
        <w:rPr>
          <w:rFonts w:hint="eastAsia"/>
          <w:b/>
        </w:rPr>
        <w:t xml:space="preserve"> 2</w:t>
      </w:r>
    </w:p>
    <w:p w:rsidR="00747665" w:rsidRPr="00695F8D" w:rsidRDefault="00747665" w:rsidP="00747665">
      <w:pPr>
        <w:suppressLineNumbers/>
        <w:rPr>
          <w:rFonts w:hint="eastAsia"/>
          <w:b/>
        </w:rPr>
      </w:pPr>
      <w:r w:rsidRPr="001F4EEF">
        <w:rPr>
          <w:rFonts w:hint="eastAsia"/>
        </w:rPr>
        <w:t>Table e2. Results</w:t>
      </w:r>
      <w:r w:rsidRPr="00695F8D">
        <w:rPr>
          <w:rFonts w:hint="eastAsia"/>
        </w:rPr>
        <w:t xml:space="preserve"> of the Korean national IPC survey in 1,442 hospitals in South Korea.</w:t>
      </w:r>
      <w:r>
        <w:rPr>
          <w:rFonts w:hint="eastAsia"/>
        </w:rPr>
        <w:t xml:space="preserve"> </w:t>
      </w:r>
    </w:p>
    <w:tbl>
      <w:tblPr>
        <w:tblW w:w="9144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90"/>
        <w:gridCol w:w="450"/>
        <w:gridCol w:w="1073"/>
        <w:gridCol w:w="979"/>
        <w:gridCol w:w="980"/>
        <w:gridCol w:w="980"/>
        <w:gridCol w:w="980"/>
      </w:tblGrid>
      <w:tr w:rsidR="00747665" w:rsidRPr="00435767" w:rsidTr="007F5530">
        <w:trPr>
          <w:trHeight w:val="144"/>
        </w:trPr>
        <w:tc>
          <w:tcPr>
            <w:tcW w:w="3702" w:type="dxa"/>
            <w:gridSpan w:val="2"/>
            <w:vMerge w:val="restart"/>
            <w:tcBorders>
              <w:top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 xml:space="preserve">Survey questions 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Answer</w:t>
            </w:r>
          </w:p>
        </w:tc>
        <w:tc>
          <w:tcPr>
            <w:tcW w:w="3919" w:type="dxa"/>
            <w:gridSpan w:val="4"/>
            <w:tcBorders>
              <w:top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Number (%)</w:t>
            </w:r>
          </w:p>
        </w:tc>
      </w:tr>
      <w:tr w:rsidR="00747665" w:rsidRPr="00435767" w:rsidTr="007F5530">
        <w:trPr>
          <w:trHeight w:val="642"/>
        </w:trPr>
        <w:tc>
          <w:tcPr>
            <w:tcW w:w="3702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Tertiary 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(n=42)</w:t>
            </w:r>
          </w:p>
        </w:tc>
        <w:tc>
          <w:tcPr>
            <w:tcW w:w="980" w:type="dxa"/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General 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(n=260)</w:t>
            </w:r>
          </w:p>
        </w:tc>
        <w:tc>
          <w:tcPr>
            <w:tcW w:w="980" w:type="dxa"/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(n=167)</w:t>
            </w:r>
          </w:p>
        </w:tc>
        <w:tc>
          <w:tcPr>
            <w:tcW w:w="980" w:type="dxa"/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Long-term care hospital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34FB">
              <w:rPr>
                <w:rFonts w:cs="Calibri"/>
                <w:sz w:val="20"/>
                <w:szCs w:val="20"/>
              </w:rPr>
              <w:t>(n=973)</w:t>
            </w:r>
          </w:p>
        </w:tc>
      </w:tr>
      <w:tr w:rsidR="00747665" w:rsidRPr="00435767" w:rsidTr="007F5530">
        <w:trPr>
          <w:trHeight w:val="318"/>
        </w:trPr>
        <w:tc>
          <w:tcPr>
            <w:tcW w:w="9144" w:type="dxa"/>
            <w:gridSpan w:val="8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b/>
                <w:sz w:val="20"/>
                <w:szCs w:val="20"/>
              </w:rPr>
            </w:pPr>
            <w:r w:rsidRPr="00E434FB">
              <w:rPr>
                <w:rFonts w:cs="Calibri"/>
                <w:b/>
                <w:sz w:val="20"/>
                <w:szCs w:val="20"/>
              </w:rPr>
              <w:t xml:space="preserve">Component(1) : </w:t>
            </w:r>
            <w:r w:rsidRPr="00E434FB">
              <w:rPr>
                <w:rFonts w:eastAsia="Batang" w:cs="Calibri"/>
                <w:b/>
                <w:sz w:val="20"/>
                <w:szCs w:val="20"/>
              </w:rPr>
              <w:t>IPC teams and programs</w:t>
            </w:r>
          </w:p>
        </w:tc>
      </w:tr>
      <w:tr w:rsidR="00747665" w:rsidRPr="00435767" w:rsidTr="007F5530">
        <w:trPr>
          <w:trHeight w:val="309"/>
        </w:trPr>
        <w:tc>
          <w:tcPr>
            <w:tcW w:w="3702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 xml:space="preserve">Availability of an IPC team </w:t>
            </w:r>
          </w:p>
        </w:tc>
        <w:tc>
          <w:tcPr>
            <w:tcW w:w="1523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Yes(Available)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251(96.5)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37(22.1)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62(6.3)</w:t>
            </w:r>
          </w:p>
        </w:tc>
      </w:tr>
      <w:tr w:rsidR="00747665" w:rsidRPr="00435767" w:rsidTr="007F5530">
        <w:trPr>
          <w:trHeight w:val="215"/>
        </w:trPr>
        <w:tc>
          <w:tcPr>
            <w:tcW w:w="3702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 xml:space="preserve">Availability of an IPC program 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Yes(Available)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249(95.8)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56(33.5)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745(76.6)</w:t>
            </w:r>
          </w:p>
        </w:tc>
      </w:tr>
      <w:tr w:rsidR="00747665" w:rsidRPr="00435767" w:rsidTr="007F5530">
        <w:trPr>
          <w:trHeight w:val="287"/>
        </w:trPr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b/>
                <w:sz w:val="20"/>
                <w:szCs w:val="20"/>
              </w:rPr>
            </w:pPr>
            <w:r w:rsidRPr="00E434FB">
              <w:rPr>
                <w:rFonts w:cs="Calibri"/>
                <w:b/>
                <w:sz w:val="20"/>
                <w:szCs w:val="20"/>
              </w:rPr>
              <w:t xml:space="preserve">Component(2) : </w:t>
            </w:r>
            <w:r w:rsidRPr="00E434FB">
              <w:rPr>
                <w:rFonts w:eastAsia="Batang" w:cs="Calibri"/>
                <w:b/>
                <w:sz w:val="20"/>
                <w:szCs w:val="20"/>
              </w:rPr>
              <w:t>IPC committee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eastAsia="Malgun Gothic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eastAsia="Malgun Gothic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eastAsia="Malgun Gothic" w:hAnsi="Calibri" w:cs="Calibri"/>
                <w:sz w:val="20"/>
                <w:szCs w:val="20"/>
              </w:rPr>
            </w:pPr>
          </w:p>
        </w:tc>
      </w:tr>
      <w:tr w:rsidR="00747665" w:rsidRPr="00435767" w:rsidTr="007F5530">
        <w:trPr>
          <w:trHeight w:val="287"/>
        </w:trPr>
        <w:tc>
          <w:tcPr>
            <w:tcW w:w="3702" w:type="dxa"/>
            <w:gridSpan w:val="2"/>
            <w:tcBorders>
              <w:top w:val="single" w:sz="4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 xml:space="preserve">Availability of an IPC committee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Yes(Available)</w:t>
            </w:r>
          </w:p>
        </w:tc>
        <w:tc>
          <w:tcPr>
            <w:tcW w:w="979" w:type="dxa"/>
            <w:tcBorders>
              <w:top w:val="single" w:sz="4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single" w:sz="4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257(98.8)</w:t>
            </w:r>
          </w:p>
        </w:tc>
        <w:tc>
          <w:tcPr>
            <w:tcW w:w="980" w:type="dxa"/>
            <w:tcBorders>
              <w:top w:val="single" w:sz="4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64(38.3)</w:t>
            </w:r>
          </w:p>
        </w:tc>
        <w:tc>
          <w:tcPr>
            <w:tcW w:w="980" w:type="dxa"/>
            <w:tcBorders>
              <w:top w:val="single" w:sz="4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704(72.4)</w:t>
            </w:r>
          </w:p>
        </w:tc>
      </w:tr>
      <w:tr w:rsidR="00747665" w:rsidRPr="00435767" w:rsidTr="007F5530">
        <w:trPr>
          <w:trHeight w:val="251"/>
        </w:trPr>
        <w:tc>
          <w:tcPr>
            <w:tcW w:w="3702" w:type="dxa"/>
            <w:gridSpan w:val="2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Number of IPC committee meetings held per year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0~1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0(0.0)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4(1.6)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6(9.4)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35(5.0)</w:t>
            </w:r>
          </w:p>
        </w:tc>
      </w:tr>
      <w:tr w:rsidR="00747665" w:rsidRPr="00435767" w:rsidTr="007F5530">
        <w:trPr>
          <w:trHeight w:val="264"/>
        </w:trPr>
        <w:tc>
          <w:tcPr>
            <w:tcW w:w="3702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6(14.3)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83(32.3)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22(34.4)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296(42.0)</w:t>
            </w:r>
          </w:p>
        </w:tc>
      </w:tr>
      <w:tr w:rsidR="00747665" w:rsidRPr="00435767" w:rsidTr="007F5530">
        <w:trPr>
          <w:trHeight w:val="246"/>
        </w:trPr>
        <w:tc>
          <w:tcPr>
            <w:tcW w:w="3702" w:type="dxa"/>
            <w:gridSpan w:val="2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3 or more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36(85.7)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170(65.3)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36(21.5)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373(38.3)</w:t>
            </w:r>
          </w:p>
        </w:tc>
      </w:tr>
      <w:tr w:rsidR="00747665" w:rsidRPr="00435767" w:rsidTr="007F5530">
        <w:trPr>
          <w:trHeight w:val="224"/>
        </w:trPr>
        <w:tc>
          <w:tcPr>
            <w:tcW w:w="3702" w:type="dxa"/>
            <w:gridSpan w:val="2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Do you feel that committee meetings are helpful?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234(90.0)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48 (28.7)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630 (64.7)</w:t>
            </w:r>
          </w:p>
        </w:tc>
      </w:tr>
      <w:tr w:rsidR="00747665" w:rsidRPr="00435767" w:rsidTr="007F5530">
        <w:trPr>
          <w:trHeight w:val="228"/>
        </w:trPr>
        <w:tc>
          <w:tcPr>
            <w:tcW w:w="3702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No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0(0.0)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23(8.8)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16 (9.5)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74 (7.6)</w:t>
            </w:r>
          </w:p>
        </w:tc>
      </w:tr>
      <w:tr w:rsidR="00747665" w:rsidRPr="00435767" w:rsidTr="007F5530">
        <w:trPr>
          <w:trHeight w:val="246"/>
        </w:trPr>
        <w:tc>
          <w:tcPr>
            <w:tcW w:w="3702" w:type="dxa"/>
            <w:gridSpan w:val="2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Not replied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0(0.0)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3(1.2)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103(61.8)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269 (27.7)</w:t>
            </w:r>
          </w:p>
        </w:tc>
      </w:tr>
      <w:tr w:rsidR="00747665" w:rsidRPr="00435767" w:rsidTr="007F5530">
        <w:trPr>
          <w:trHeight w:val="174"/>
        </w:trPr>
        <w:tc>
          <w:tcPr>
            <w:tcW w:w="914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eastAsia="Malgun Gothic" w:hAnsi="Calibri" w:cs="Calibri"/>
                <w:b/>
                <w:sz w:val="20"/>
                <w:szCs w:val="20"/>
              </w:rPr>
            </w:pPr>
            <w:r w:rsidRPr="00E434FB">
              <w:rPr>
                <w:rFonts w:ascii="Calibri" w:hAnsi="Calibri" w:cs="Calibri"/>
                <w:b/>
                <w:sz w:val="20"/>
                <w:szCs w:val="20"/>
              </w:rPr>
              <w:t xml:space="preserve">Component (4) : </w:t>
            </w:r>
            <w:r w:rsidRPr="00E434FB">
              <w:rPr>
                <w:rFonts w:ascii="Calibri" w:eastAsia="Batang" w:hAnsi="Calibri" w:cs="Calibri"/>
                <w:b/>
                <w:sz w:val="20"/>
                <w:szCs w:val="20"/>
              </w:rPr>
              <w:t>IPC training and education</w:t>
            </w:r>
          </w:p>
        </w:tc>
      </w:tr>
      <w:tr w:rsidR="00747665" w:rsidRPr="00435767" w:rsidTr="007F5530">
        <w:trPr>
          <w:trHeight w:val="210"/>
        </w:trPr>
        <w:tc>
          <w:tcPr>
            <w:tcW w:w="361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Mode of IPC training (percentage to total number of training sessions, multiple answers allowed)</w:t>
            </w:r>
          </w:p>
        </w:tc>
        <w:tc>
          <w:tcPr>
            <w:tcW w:w="1613" w:type="dxa"/>
            <w:gridSpan w:val="3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oral instruction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88.9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86.7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77.0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61.6</w:t>
            </w:r>
          </w:p>
        </w:tc>
      </w:tr>
      <w:tr w:rsidR="00747665" w:rsidRPr="00435767" w:rsidTr="007F5530">
        <w:trPr>
          <w:trHeight w:val="273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e-learning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9.8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9.5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13.9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37.2</w:t>
            </w:r>
          </w:p>
        </w:tc>
      </w:tr>
      <w:tr w:rsidR="00747665" w:rsidRPr="00435767" w:rsidTr="007F5530">
        <w:trPr>
          <w:trHeight w:val="201"/>
        </w:trPr>
        <w:tc>
          <w:tcPr>
            <w:tcW w:w="3612" w:type="dxa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interactive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25.2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14.9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8.1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12.3</w:t>
            </w:r>
          </w:p>
        </w:tc>
      </w:tr>
      <w:tr w:rsidR="00747665" w:rsidRPr="00435767" w:rsidTr="007F5530">
        <w:trPr>
          <w:trHeight w:val="269"/>
        </w:trPr>
        <w:tc>
          <w:tcPr>
            <w:tcW w:w="3612" w:type="dxa"/>
            <w:vMerge w:val="restart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Ongoing education for IPC staff (average hours of  received education per year)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Doctors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21.67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21.26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5.20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6.57</w:t>
            </w:r>
          </w:p>
        </w:tc>
      </w:tr>
      <w:tr w:rsidR="00747665" w:rsidRPr="00435767" w:rsidTr="007F5530">
        <w:trPr>
          <w:trHeight w:val="215"/>
        </w:trPr>
        <w:tc>
          <w:tcPr>
            <w:tcW w:w="3612" w:type="dxa"/>
            <w:vMerge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Nurses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44.82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46.10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12.97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12.15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What do you think is the most effective mode of capacity building in IPC?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Exchange</w:t>
            </w:r>
            <w:r>
              <w:rPr>
                <w:rFonts w:eastAsia="Batang" w:cs="Calibri" w:hint="eastAsia"/>
                <w:sz w:val="20"/>
                <w:szCs w:val="20"/>
              </w:rPr>
              <w:t xml:space="preserve"> and</w:t>
            </w:r>
            <w:r>
              <w:rPr>
                <w:rFonts w:eastAsia="Batang" w:cs="Calibri"/>
                <w:sz w:val="20"/>
                <w:szCs w:val="20"/>
              </w:rPr>
              <w:t xml:space="preserve"> collaboration between </w:t>
            </w:r>
            <w:r w:rsidRPr="00E434FB">
              <w:rPr>
                <w:rFonts w:eastAsia="Batang" w:cs="Calibri"/>
                <w:sz w:val="20"/>
                <w:szCs w:val="20"/>
              </w:rPr>
              <w:t>institutions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19(45.2)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194(74.6)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108(64.7)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583(59.9)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Participation in conferences etc.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243(93.5)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85(50.9)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552(56.7)</w:t>
            </w:r>
          </w:p>
        </w:tc>
      </w:tr>
      <w:tr w:rsidR="00747665" w:rsidRPr="00435767" w:rsidTr="007F5530">
        <w:trPr>
          <w:trHeight w:val="291"/>
        </w:trPr>
        <w:tc>
          <w:tcPr>
            <w:tcW w:w="3612" w:type="dxa"/>
            <w:vMerge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L</w:t>
            </w:r>
            <w:r>
              <w:rPr>
                <w:rFonts w:eastAsia="Batang" w:cs="Calibri"/>
                <w:sz w:val="20"/>
                <w:szCs w:val="20"/>
              </w:rPr>
              <w:t>iterature</w:t>
            </w:r>
            <w:r>
              <w:rPr>
                <w:rFonts w:eastAsia="Batang" w:cs="Calibri" w:hint="eastAsia"/>
                <w:sz w:val="20"/>
                <w:szCs w:val="20"/>
              </w:rPr>
              <w:t xml:space="preserve"> review</w:t>
            </w: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38(90.5)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131(50.4)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31(18.6)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161(16.5)</w:t>
            </w:r>
          </w:p>
        </w:tc>
      </w:tr>
      <w:tr w:rsidR="00747665" w:rsidRPr="00435767" w:rsidTr="007F5530">
        <w:trPr>
          <w:trHeight w:val="273"/>
        </w:trPr>
        <w:tc>
          <w:tcPr>
            <w:tcW w:w="3612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b/>
                <w:sz w:val="20"/>
                <w:szCs w:val="20"/>
              </w:rPr>
            </w:pPr>
            <w:r w:rsidRPr="00E434FB">
              <w:rPr>
                <w:rFonts w:eastAsia="Batang" w:cs="Calibri"/>
                <w:b/>
                <w:sz w:val="20"/>
                <w:szCs w:val="20"/>
              </w:rPr>
              <w:t>Component (5) : IPC surveillance</w:t>
            </w:r>
          </w:p>
        </w:tc>
        <w:tc>
          <w:tcPr>
            <w:tcW w:w="1613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7665" w:rsidRPr="00435767" w:rsidTr="007F5530">
        <w:trPr>
          <w:trHeight w:val="390"/>
        </w:trPr>
        <w:tc>
          <w:tcPr>
            <w:tcW w:w="3612" w:type="dxa"/>
            <w:vMerge w:val="restart"/>
            <w:tcBorders>
              <w:top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Participation in the Korean National Healthcare-associated Infections Surveillance (KONIS)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KONIS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ICU survey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162(62.3)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5(3.0)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12(1.2)</w:t>
            </w:r>
          </w:p>
        </w:tc>
      </w:tr>
      <w:tr w:rsidR="00747665" w:rsidRPr="00435767" w:rsidTr="007F5530">
        <w:trPr>
          <w:trHeight w:val="480"/>
        </w:trPr>
        <w:tc>
          <w:tcPr>
            <w:tcW w:w="3612" w:type="dxa"/>
            <w:vMerge/>
            <w:tcBorders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KONIS</w:t>
            </w:r>
          </w:p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SSI survey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155(59.6)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5(3.0)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5(0.5)</w:t>
            </w:r>
          </w:p>
        </w:tc>
      </w:tr>
      <w:tr w:rsidR="00747665" w:rsidRPr="00435767" w:rsidTr="007F5530">
        <w:trPr>
          <w:trHeight w:val="246"/>
        </w:trPr>
        <w:tc>
          <w:tcPr>
            <w:tcW w:w="3612" w:type="dxa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90(34.6)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160(95.8)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957(98.4)</w:t>
            </w:r>
          </w:p>
        </w:tc>
      </w:tr>
      <w:tr w:rsidR="00747665" w:rsidRPr="00435767" w:rsidTr="007F5530">
        <w:trPr>
          <w:trHeight w:val="224"/>
        </w:trPr>
        <w:tc>
          <w:tcPr>
            <w:tcW w:w="36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Active surveillance culture in ICU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33(78.6)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162(73.0)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8(40.0)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4(25.0)</w:t>
            </w:r>
          </w:p>
        </w:tc>
      </w:tr>
      <w:tr w:rsidR="00747665" w:rsidRPr="00435767" w:rsidTr="007F5530">
        <w:trPr>
          <w:trHeight w:val="215"/>
        </w:trPr>
        <w:tc>
          <w:tcPr>
            <w:tcW w:w="3612" w:type="dxa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Surveillance conducted for: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SSI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176(69.6)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77(57.0)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46(4.9)</w:t>
            </w:r>
          </w:p>
        </w:tc>
      </w:tr>
      <w:tr w:rsidR="00747665" w:rsidRPr="00435767" w:rsidTr="007F5530">
        <w:trPr>
          <w:trHeight w:val="341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Bloodstream infections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206(81.4)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40(29.6)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114(12.1)</w:t>
            </w:r>
          </w:p>
        </w:tc>
      </w:tr>
      <w:tr w:rsidR="00747665" w:rsidRPr="00435767" w:rsidTr="007F5530">
        <w:trPr>
          <w:trHeight w:val="37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Urinary tract infections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216(85.4)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46(34.1)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238(25.2)</w:t>
            </w:r>
          </w:p>
        </w:tc>
      </w:tr>
      <w:tr w:rsidR="00747665" w:rsidRPr="00435767" w:rsidTr="007F5530">
        <w:trPr>
          <w:trHeight w:val="273"/>
        </w:trPr>
        <w:tc>
          <w:tcPr>
            <w:tcW w:w="3612" w:type="dxa"/>
            <w:vMerge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205(81.0)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51(37.8)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196(20.7)</w:t>
            </w:r>
          </w:p>
        </w:tc>
      </w:tr>
      <w:tr w:rsidR="00747665" w:rsidRPr="00435767" w:rsidTr="007F5530">
        <w:trPr>
          <w:trHeight w:val="246"/>
        </w:trPr>
        <w:tc>
          <w:tcPr>
            <w:tcW w:w="3612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b/>
                <w:sz w:val="20"/>
                <w:szCs w:val="20"/>
              </w:rPr>
            </w:pPr>
            <w:r w:rsidRPr="00E434FB">
              <w:rPr>
                <w:rFonts w:eastAsia="Batang" w:cs="Calibri"/>
                <w:b/>
                <w:sz w:val="20"/>
                <w:szCs w:val="20"/>
              </w:rPr>
              <w:t>Component (6) : Staffing</w:t>
            </w:r>
          </w:p>
        </w:tc>
        <w:tc>
          <w:tcPr>
            <w:tcW w:w="1613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7665" w:rsidRPr="00435767" w:rsidTr="007F5530">
        <w:trPr>
          <w:trHeight w:val="390"/>
        </w:trPr>
        <w:tc>
          <w:tcPr>
            <w:tcW w:w="3612" w:type="dxa"/>
            <w:tcBorders>
              <w:top w:val="single" w:sz="2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lastRenderedPageBreak/>
              <w:t>Availability of at least one full-time IPC professional</w:t>
            </w:r>
          </w:p>
        </w:tc>
        <w:tc>
          <w:tcPr>
            <w:tcW w:w="1613" w:type="dxa"/>
            <w:gridSpan w:val="3"/>
            <w:tcBorders>
              <w:top w:val="single" w:sz="2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Full-time IPC nurse</w:t>
            </w:r>
          </w:p>
        </w:tc>
        <w:tc>
          <w:tcPr>
            <w:tcW w:w="979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255(98.1)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112(67.0)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DNA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Years of previous work experience as IPC professional(years)</w:t>
            </w:r>
            <w:r w:rsidRPr="00E434FB">
              <w:rPr>
                <w:rFonts w:eastAsia="Batang"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Full-time IPC nurse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휴먼명조"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휴먼명조"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휴먼명조"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휴먼명조"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</w:tr>
      <w:tr w:rsidR="00747665" w:rsidRPr="00435767" w:rsidTr="007F5530">
        <w:trPr>
          <w:trHeight w:val="260"/>
        </w:trPr>
        <w:tc>
          <w:tcPr>
            <w:tcW w:w="3612" w:type="dxa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Average number of doctors and nurses in the IPC team (number)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Doctors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4.74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1.66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0.91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0.68</w:t>
            </w:r>
          </w:p>
        </w:tc>
      </w:tr>
      <w:tr w:rsidR="00747665" w:rsidRPr="00435767" w:rsidTr="007F5530">
        <w:trPr>
          <w:trHeight w:val="210"/>
        </w:trPr>
        <w:tc>
          <w:tcPr>
            <w:tcW w:w="3612" w:type="dxa"/>
            <w:vMerge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Nurses</w:t>
            </w: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bCs/>
                <w:sz w:val="20"/>
                <w:szCs w:val="20"/>
              </w:rPr>
              <w:t>7.31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bCs/>
                <w:sz w:val="20"/>
                <w:szCs w:val="20"/>
              </w:rPr>
              <w:t>2.23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bCs/>
                <w:sz w:val="20"/>
                <w:szCs w:val="20"/>
              </w:rPr>
              <w:t>0.95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bCs/>
                <w:sz w:val="20"/>
                <w:szCs w:val="20"/>
              </w:rPr>
              <w:t>1.00</w:t>
            </w:r>
          </w:p>
        </w:tc>
      </w:tr>
      <w:tr w:rsidR="00747665" w:rsidRPr="00435767" w:rsidTr="007F5530">
        <w:trPr>
          <w:trHeight w:val="300"/>
        </w:trPr>
        <w:tc>
          <w:tcPr>
            <w:tcW w:w="9144" w:type="dxa"/>
            <w:gridSpan w:val="8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b/>
                <w:sz w:val="20"/>
                <w:szCs w:val="20"/>
              </w:rPr>
              <w:t xml:space="preserve">Component (7) </w:t>
            </w:r>
            <w:proofErr w:type="spellStart"/>
            <w:r w:rsidRPr="00E434FB">
              <w:rPr>
                <w:rFonts w:eastAsia="Batang" w:cs="Calibri"/>
                <w:b/>
                <w:sz w:val="20"/>
                <w:szCs w:val="20"/>
              </w:rPr>
              <w:t>Equipments</w:t>
            </w:r>
            <w:proofErr w:type="spellEnd"/>
            <w:r w:rsidRPr="00E434FB">
              <w:rPr>
                <w:rFonts w:eastAsia="Batang" w:cs="Calibri"/>
                <w:b/>
                <w:sz w:val="20"/>
                <w:szCs w:val="20"/>
              </w:rPr>
              <w:t xml:space="preserve"> and built environment</w:t>
            </w:r>
          </w:p>
        </w:tc>
      </w:tr>
      <w:tr w:rsidR="00747665" w:rsidRPr="00435767" w:rsidTr="007F5530">
        <w:trPr>
          <w:trHeight w:val="318"/>
        </w:trPr>
        <w:tc>
          <w:tcPr>
            <w:tcW w:w="3612" w:type="dxa"/>
            <w:vMerge w:val="restart"/>
            <w:tcBorders>
              <w:top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PPE and IPC facilities in isolation rooms within ICU (percentage among hospitals with isolation rooms within ICU)</w:t>
            </w:r>
          </w:p>
        </w:tc>
        <w:tc>
          <w:tcPr>
            <w:tcW w:w="1613" w:type="dxa"/>
            <w:gridSpan w:val="3"/>
            <w:tcBorders>
              <w:top w:val="single" w:sz="2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Masks</w:t>
            </w:r>
          </w:p>
        </w:tc>
        <w:tc>
          <w:tcPr>
            <w:tcW w:w="979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221(99.5)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17(85.0)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16(100.0)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Alcohol-based hand rub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221(99.5)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20(100.0)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16(100.0)</w:t>
            </w:r>
          </w:p>
        </w:tc>
      </w:tr>
      <w:tr w:rsidR="00747665" w:rsidRPr="00435767" w:rsidTr="007F5530">
        <w:trPr>
          <w:trHeight w:val="444"/>
        </w:trPr>
        <w:tc>
          <w:tcPr>
            <w:tcW w:w="3612" w:type="dxa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hand hygiene station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41(97.6)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175(78.8)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6(30.0)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5(31.2)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Hand hygiene stations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 xml:space="preserve">Average </w:t>
            </w:r>
            <w:r>
              <w:rPr>
                <w:rFonts w:eastAsia="Batang" w:cs="Calibri" w:hint="eastAsia"/>
                <w:sz w:val="20"/>
                <w:szCs w:val="20"/>
              </w:rPr>
              <w:t>n</w:t>
            </w:r>
            <w:r w:rsidRPr="00E434FB">
              <w:rPr>
                <w:rFonts w:eastAsia="Batang" w:cs="Calibri"/>
                <w:sz w:val="20"/>
                <w:szCs w:val="20"/>
              </w:rPr>
              <w:t xml:space="preserve">umber of patients </w:t>
            </w:r>
            <w:r>
              <w:rPr>
                <w:rFonts w:eastAsia="Batang" w:cs="Calibri" w:hint="eastAsia"/>
                <w:sz w:val="20"/>
                <w:szCs w:val="20"/>
              </w:rPr>
              <w:t>per</w:t>
            </w:r>
            <w:r w:rsidRPr="00E434FB">
              <w:rPr>
                <w:rFonts w:eastAsia="Batang" w:cs="Calibri"/>
                <w:sz w:val="20"/>
                <w:szCs w:val="20"/>
              </w:rPr>
              <w:t xml:space="preserve"> station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xl75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xl75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2.8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xl75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bCs/>
                <w:sz w:val="20"/>
                <w:szCs w:val="20"/>
              </w:rPr>
              <w:t>4.1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xl75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bCs/>
                <w:sz w:val="20"/>
                <w:szCs w:val="20"/>
              </w:rPr>
              <w:t>6.8</w:t>
            </w:r>
          </w:p>
        </w:tc>
      </w:tr>
      <w:tr w:rsidR="00747665" w:rsidRPr="00435767" w:rsidTr="007F5530">
        <w:trPr>
          <w:trHeight w:val="503"/>
        </w:trPr>
        <w:tc>
          <w:tcPr>
            <w:tcW w:w="36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Isolation rooms</w:t>
            </w:r>
            <w:r>
              <w:rPr>
                <w:rFonts w:eastAsia="Batang" w:cs="Calibri" w:hint="eastAsia"/>
                <w:sz w:val="20"/>
                <w:szCs w:val="20"/>
              </w:rPr>
              <w:t xml:space="preserve"> (</w:t>
            </w:r>
            <w:r w:rsidRPr="00E434FB">
              <w:rPr>
                <w:rFonts w:eastAsia="Batang" w:cs="Calibri"/>
                <w:sz w:val="20"/>
                <w:szCs w:val="20"/>
              </w:rPr>
              <w:t>negative pressure</w:t>
            </w:r>
            <w:r>
              <w:rPr>
                <w:rFonts w:eastAsia="Batang" w:cs="Calibri" w:hint="eastAsia"/>
                <w:sz w:val="20"/>
                <w:szCs w:val="20"/>
              </w:rPr>
              <w:t>)</w:t>
            </w:r>
            <w:r w:rsidRPr="00E434FB">
              <w:rPr>
                <w:rFonts w:eastAsia="Batang" w:cs="Calibri"/>
                <w:sz w:val="20"/>
                <w:szCs w:val="20"/>
              </w:rPr>
              <w:t xml:space="preserve"> in ER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Average number of isolation rooms in ER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2.4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0.6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휴먼명조" w:cs="Calibri"/>
                <w:color w:val="000000"/>
                <w:sz w:val="20"/>
                <w:szCs w:val="20"/>
              </w:rPr>
            </w:pPr>
            <w:r w:rsidRPr="00E434FB">
              <w:rPr>
                <w:rFonts w:eastAsia="휴먼명조" w:cs="Calibri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휴먼명조" w:cs="Calibri"/>
                <w:color w:val="000000"/>
                <w:sz w:val="20"/>
                <w:szCs w:val="20"/>
              </w:rPr>
            </w:pPr>
            <w:r w:rsidRPr="00E434FB">
              <w:rPr>
                <w:rFonts w:eastAsia="휴먼명조" w:cs="Calibri"/>
                <w:color w:val="000000"/>
                <w:sz w:val="20"/>
                <w:szCs w:val="20"/>
              </w:rPr>
              <w:t>DNA</w:t>
            </w:r>
          </w:p>
        </w:tc>
      </w:tr>
      <w:tr w:rsidR="00747665" w:rsidRPr="00435767" w:rsidTr="007F5530">
        <w:trPr>
          <w:trHeight w:val="341"/>
        </w:trPr>
        <w:tc>
          <w:tcPr>
            <w:tcW w:w="3612" w:type="dxa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Injection safety: area where fluid/injections are prepared before administration</w:t>
            </w:r>
            <w:r w:rsidRPr="00E434FB">
              <w:rPr>
                <w:rFonts w:eastAsia="Batang" w:cs="Calibri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Sterile compound/ clean rooms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10(23.8)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9(3.5)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1(0.6)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11(1.1)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Dedicated/separate preparation area in wards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28(66.7)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167(64.2)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116(69.5)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483(49.6)</w:t>
            </w:r>
          </w:p>
        </w:tc>
      </w:tr>
      <w:tr w:rsidR="00747665" w:rsidRPr="00435767" w:rsidTr="007F5530">
        <w:trPr>
          <w:trHeight w:val="210"/>
        </w:trPr>
        <w:tc>
          <w:tcPr>
            <w:tcW w:w="3612" w:type="dxa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Other areas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4(9.5)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84(32.3)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50(29.9)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479(49.3)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Bed spacing in ICU (meters)</w:t>
            </w:r>
          </w:p>
        </w:tc>
        <w:tc>
          <w:tcPr>
            <w:tcW w:w="1613" w:type="dxa"/>
            <w:gridSpan w:val="3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 xml:space="preserve">Average distance between patient beds </w:t>
            </w: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1.8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1.6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DNA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DNA</w:t>
            </w:r>
          </w:p>
        </w:tc>
      </w:tr>
      <w:tr w:rsidR="00747665" w:rsidRPr="00435767" w:rsidTr="007F5530">
        <w:trPr>
          <w:trHeight w:val="269"/>
        </w:trPr>
        <w:tc>
          <w:tcPr>
            <w:tcW w:w="3612" w:type="dxa"/>
            <w:tcBorders>
              <w:top w:val="single" w:sz="2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0D2DA6">
              <w:rPr>
                <w:rFonts w:eastAsia="Batang" w:cs="Calibri"/>
                <w:b/>
                <w:sz w:val="20"/>
                <w:szCs w:val="20"/>
              </w:rPr>
              <w:t>Component (8)</w:t>
            </w:r>
            <w:r>
              <w:rPr>
                <w:rFonts w:eastAsia="Batang" w:cs="Calibri" w:hint="eastAsia"/>
                <w:b/>
                <w:sz w:val="20"/>
                <w:szCs w:val="20"/>
              </w:rPr>
              <w:t xml:space="preserve"> :</w:t>
            </w:r>
            <w:r w:rsidRPr="000D2DA6">
              <w:rPr>
                <w:rFonts w:eastAsia="Batang" w:cs="Calibri"/>
                <w:b/>
                <w:sz w:val="20"/>
                <w:szCs w:val="20"/>
              </w:rPr>
              <w:t xml:space="preserve"> IPC activities</w:t>
            </w:r>
          </w:p>
        </w:tc>
        <w:tc>
          <w:tcPr>
            <w:tcW w:w="1613" w:type="dxa"/>
            <w:gridSpan w:val="3"/>
            <w:tcBorders>
              <w:top w:val="single" w:sz="2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eastAsia="Malgun Gothic" w:hAnsi="Calibri" w:cs="Calibri"/>
                <w:bCs/>
                <w:sz w:val="20"/>
                <w:szCs w:val="20"/>
              </w:rPr>
            </w:pPr>
          </w:p>
        </w:tc>
      </w:tr>
      <w:tr w:rsidR="00747665" w:rsidRPr="00435767" w:rsidTr="007F5530">
        <w:trPr>
          <w:trHeight w:val="269"/>
        </w:trPr>
        <w:tc>
          <w:tcPr>
            <w:tcW w:w="3612" w:type="dxa"/>
            <w:vMerge w:val="restart"/>
            <w:tcBorders>
              <w:top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 xml:space="preserve">Monitoring IPC practices </w:t>
            </w:r>
          </w:p>
        </w:tc>
        <w:tc>
          <w:tcPr>
            <w:tcW w:w="1613" w:type="dxa"/>
            <w:gridSpan w:val="3"/>
            <w:tcBorders>
              <w:top w:val="single" w:sz="2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Hand hygiene</w:t>
            </w:r>
          </w:p>
        </w:tc>
        <w:tc>
          <w:tcPr>
            <w:tcW w:w="979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41(97.6)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235(92.9)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121(89.6)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935(98.8)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Transmission-based precautions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37(88.1)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149(58.9)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49(36.3)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186(19.7)</w:t>
            </w:r>
          </w:p>
        </w:tc>
      </w:tr>
      <w:tr w:rsidR="00747665" w:rsidRPr="00435767" w:rsidTr="007F5530">
        <w:trPr>
          <w:trHeight w:val="273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Surgical</w:t>
            </w:r>
            <w:r>
              <w:rPr>
                <w:rFonts w:eastAsia="Batang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Batang" w:cs="Calibri"/>
                <w:color w:val="000000"/>
                <w:sz w:val="20"/>
                <w:szCs w:val="20"/>
              </w:rPr>
              <w:t>scrub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40(95.2)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204(78.5)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123(73.6)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34FB">
              <w:rPr>
                <w:rFonts w:cs="Calibri"/>
                <w:color w:val="000000"/>
                <w:sz w:val="20"/>
                <w:szCs w:val="20"/>
              </w:rPr>
              <w:t>DNA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MDR pathogen screening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35(83.3)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128(57.7)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5(25.0)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4(25.0)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Disinfection and sterilization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253(97.3)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108(64.7)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830(85.3)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 w:val="restart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Availability of IPC guidelines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0D2DA6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0D2DA6">
              <w:rPr>
                <w:rFonts w:eastAsia="Batang" w:cs="Calibri"/>
                <w:sz w:val="20"/>
                <w:szCs w:val="20"/>
              </w:rPr>
              <w:t>IPC in Emergency rooms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sz w:val="20"/>
                <w:szCs w:val="20"/>
              </w:rPr>
              <w:t>251(96.5)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bCs/>
                <w:sz w:val="20"/>
                <w:szCs w:val="20"/>
              </w:rPr>
              <w:t>69(67.0)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sz w:val="20"/>
                <w:szCs w:val="20"/>
              </w:rPr>
              <w:t>5(55.6)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0D2DA6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Environmental management of operation rooms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sz w:val="20"/>
                <w:szCs w:val="20"/>
              </w:rPr>
              <w:t>249(95.8)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bCs/>
                <w:sz w:val="20"/>
                <w:szCs w:val="20"/>
              </w:rPr>
              <w:t>120(77.9)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0D2DA6" w:rsidRDefault="00747665" w:rsidP="007F5530">
            <w:pPr>
              <w:pStyle w:val="a"/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DA6">
              <w:rPr>
                <w:rFonts w:ascii="Calibri" w:eastAsia="Malgun Gothic" w:hAnsi="Calibri" w:cs="Calibri"/>
                <w:sz w:val="20"/>
                <w:szCs w:val="20"/>
              </w:rPr>
              <w:t>3(100.0)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Disinfection and sterilization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251(96.5)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123(73.6)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hAnsi="Calibri" w:cs="Calibri"/>
                <w:sz w:val="20"/>
                <w:szCs w:val="20"/>
              </w:rPr>
              <w:t>889(91.3)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vMerge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sz w:val="20"/>
                <w:szCs w:val="20"/>
              </w:rPr>
              <w:t>Environmental cleaning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249(95.8)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120(71.9)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Batang" w:hAnsi="Calibri" w:cs="Calibri"/>
                <w:sz w:val="20"/>
                <w:szCs w:val="20"/>
              </w:rPr>
              <w:t>DNA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Prioritization/identification of H</w:t>
            </w:r>
            <w:r>
              <w:rPr>
                <w:rFonts w:eastAsia="Batang" w:cs="Calibri" w:hint="eastAsia"/>
                <w:color w:val="000000"/>
                <w:sz w:val="20"/>
                <w:szCs w:val="20"/>
              </w:rPr>
              <w:t>C</w:t>
            </w: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AI and risk factors to be targeted for surveillance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41(97.6)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192(73.8)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50(29.9)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47665" w:rsidRPr="00E434FB" w:rsidRDefault="00747665" w:rsidP="007F5530">
            <w:pPr>
              <w:pStyle w:val="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383(39.4)</w:t>
            </w:r>
          </w:p>
        </w:tc>
      </w:tr>
      <w:tr w:rsidR="00747665" w:rsidRPr="00435767" w:rsidTr="007F5530">
        <w:trPr>
          <w:trHeight w:val="359"/>
        </w:trPr>
        <w:tc>
          <w:tcPr>
            <w:tcW w:w="9144" w:type="dxa"/>
            <w:gridSpan w:val="8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0D2DA6" w:rsidRDefault="00747665" w:rsidP="007F5530">
            <w:pPr>
              <w:snapToGri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D2DA6">
              <w:rPr>
                <w:rFonts w:eastAsia="Batang" w:cs="Calibri"/>
                <w:b/>
                <w:sz w:val="20"/>
                <w:szCs w:val="20"/>
              </w:rPr>
              <w:lastRenderedPageBreak/>
              <w:t>Component (9) : IPC activities to prevent Antimicrobial resistance</w:t>
            </w:r>
          </w:p>
        </w:tc>
      </w:tr>
      <w:tr w:rsidR="00747665" w:rsidRPr="00435767" w:rsidTr="007F5530">
        <w:trPr>
          <w:trHeight w:val="179"/>
        </w:trPr>
        <w:tc>
          <w:tcPr>
            <w:tcW w:w="36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>Isolation of MDR positive patients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207(93.2)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12(70.6)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6(54.5)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 w:hint="eastAsia"/>
                <w:color w:val="000000"/>
                <w:sz w:val="20"/>
                <w:szCs w:val="20"/>
              </w:rPr>
              <w:t>Operation of in-facility antibiotics prescription management system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47665" w:rsidRPr="00695F8D" w:rsidRDefault="00747665" w:rsidP="007F5530">
            <w:pPr>
              <w:pStyle w:val="a"/>
              <w:spacing w:line="30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5F8D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695F8D" w:rsidRDefault="00747665" w:rsidP="007F5530">
            <w:pPr>
              <w:pStyle w:val="a"/>
              <w:spacing w:line="30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5F8D">
              <w:rPr>
                <w:rFonts w:ascii="Calibri" w:eastAsia="Malgun Gothic" w:hAnsi="Calibri" w:cs="Calibri"/>
                <w:bCs/>
                <w:sz w:val="20"/>
                <w:szCs w:val="20"/>
              </w:rPr>
              <w:t>171(65.7)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695F8D" w:rsidRDefault="00747665" w:rsidP="007F5530">
            <w:pPr>
              <w:pStyle w:val="a"/>
              <w:spacing w:line="30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5F8D">
              <w:rPr>
                <w:rFonts w:ascii="Calibri" w:eastAsia="Malgun Gothic" w:hAnsi="Calibri" w:cs="Calibri"/>
                <w:bCs/>
                <w:sz w:val="20"/>
                <w:szCs w:val="20"/>
              </w:rPr>
              <w:t>86(51.5)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747665" w:rsidRPr="00695F8D" w:rsidRDefault="00747665" w:rsidP="007F5530">
            <w:pPr>
              <w:pStyle w:val="a"/>
              <w:spacing w:line="30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5F8D">
              <w:rPr>
                <w:rFonts w:ascii="Calibri" w:eastAsia="Malgun Gothic" w:hAnsi="Calibri" w:cs="Calibri"/>
                <w:bCs/>
                <w:sz w:val="20"/>
                <w:szCs w:val="20"/>
              </w:rPr>
              <w:t>302(31.0)</w:t>
            </w:r>
          </w:p>
        </w:tc>
      </w:tr>
      <w:tr w:rsidR="00747665" w:rsidRPr="00435767" w:rsidTr="007F5530">
        <w:trPr>
          <w:trHeight w:val="504"/>
        </w:trPr>
        <w:tc>
          <w:tcPr>
            <w:tcW w:w="3612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 xml:space="preserve">Availability of </w:t>
            </w:r>
            <w:r>
              <w:rPr>
                <w:rFonts w:eastAsia="Batang" w:cs="Calibri" w:hint="eastAsia"/>
                <w:sz w:val="20"/>
                <w:szCs w:val="20"/>
              </w:rPr>
              <w:t>a</w:t>
            </w:r>
            <w:r w:rsidRPr="00E434FB">
              <w:rPr>
                <w:rFonts w:eastAsia="Batang" w:cs="Calibri"/>
                <w:sz w:val="20"/>
                <w:szCs w:val="20"/>
              </w:rPr>
              <w:t>ntibiotic stewardship</w:t>
            </w:r>
            <w:r w:rsidRPr="00E434FB">
              <w:rPr>
                <w:rFonts w:eastAsia="Batang" w:cs="Calibri"/>
                <w:color w:val="000000"/>
                <w:sz w:val="20"/>
                <w:szCs w:val="20"/>
              </w:rPr>
              <w:t xml:space="preserve"> guidelines</w:t>
            </w:r>
          </w:p>
        </w:tc>
        <w:tc>
          <w:tcPr>
            <w:tcW w:w="1613" w:type="dxa"/>
            <w:gridSpan w:val="3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665" w:rsidRPr="00E434FB" w:rsidRDefault="00747665" w:rsidP="007F5530">
            <w:pPr>
              <w:snapToGrid w:val="0"/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>
              <w:rPr>
                <w:rFonts w:eastAsia="Batang" w:cs="Calibri" w:hint="eastAsia"/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sz w:val="20"/>
                <w:szCs w:val="20"/>
              </w:rPr>
              <w:t>42(100.0)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171(65.7)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86(51.5)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  <w:vAlign w:val="center"/>
          </w:tcPr>
          <w:p w:rsidR="00747665" w:rsidRPr="00E434FB" w:rsidRDefault="00747665" w:rsidP="007F5530">
            <w:pPr>
              <w:pStyle w:val="a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34FB">
              <w:rPr>
                <w:rFonts w:ascii="Calibri" w:eastAsia="Malgun Gothic" w:hAnsi="Calibri" w:cs="Calibri"/>
                <w:bCs/>
                <w:sz w:val="20"/>
                <w:szCs w:val="20"/>
              </w:rPr>
              <w:t>302(31.0)</w:t>
            </w:r>
          </w:p>
        </w:tc>
      </w:tr>
    </w:tbl>
    <w:p w:rsidR="00747665" w:rsidRPr="00654681" w:rsidRDefault="00747665" w:rsidP="00747665">
      <w:pPr>
        <w:suppressLineNumbers/>
        <w:rPr>
          <w:rFonts w:cs="Calibri"/>
          <w:sz w:val="20"/>
          <w:szCs w:val="20"/>
        </w:rPr>
      </w:pPr>
      <w:r>
        <w:rPr>
          <w:rFonts w:cs="Calibri" w:hint="eastAsia"/>
          <w:sz w:val="20"/>
          <w:szCs w:val="20"/>
        </w:rPr>
        <w:t xml:space="preserve">IPC, Infection prevention and control; ICU, Intensive care unit; SSI, Surgical site infection; ER, Emergency room; MDR, Multidrug-resistant; DNA, Data not available; HCAI, Healthcare-associated infection. </w:t>
      </w:r>
      <w:r w:rsidRPr="00654681">
        <w:rPr>
          <w:rFonts w:cs="Calibri"/>
          <w:sz w:val="20"/>
          <w:szCs w:val="20"/>
        </w:rPr>
        <w:t>*Includes costs pertaining to: hand hygiene equipment and materials</w:t>
      </w:r>
      <w:r>
        <w:rPr>
          <w:rFonts w:cs="Calibri"/>
          <w:sz w:val="20"/>
          <w:szCs w:val="20"/>
        </w:rPr>
        <w:t>, personal protection equipment</w:t>
      </w:r>
      <w:r w:rsidRPr="00654681">
        <w:rPr>
          <w:rFonts w:cs="Calibri"/>
          <w:sz w:val="20"/>
          <w:szCs w:val="20"/>
        </w:rPr>
        <w:t xml:space="preserve">, etc. KRW; Korean Won. </w:t>
      </w:r>
      <w:r w:rsidRPr="00654681">
        <w:rPr>
          <w:rFonts w:eastAsia="Batang" w:cs="Calibri"/>
          <w:color w:val="000000"/>
          <w:sz w:val="20"/>
          <w:szCs w:val="20"/>
          <w:vertAlign w:val="superscript"/>
        </w:rPr>
        <w:t>†</w:t>
      </w:r>
      <w:r>
        <w:rPr>
          <w:rFonts w:cs="Calibri"/>
          <w:sz w:val="20"/>
          <w:szCs w:val="20"/>
        </w:rPr>
        <w:t>Exchange in</w:t>
      </w:r>
      <w:r w:rsidRPr="00654681">
        <w:rPr>
          <w:rFonts w:cs="Calibri"/>
          <w:sz w:val="20"/>
          <w:szCs w:val="20"/>
        </w:rPr>
        <w:t xml:space="preserve">to USD based on the exchange rate of 2 Apr 2022. Data regarding component (3): IPC </w:t>
      </w:r>
      <w:r w:rsidRPr="00654681">
        <w:rPr>
          <w:rFonts w:eastAsia="Batang" w:cs="Calibri"/>
          <w:sz w:val="20"/>
          <w:szCs w:val="20"/>
        </w:rPr>
        <w:t>costs and expenditures not available due to data instability</w:t>
      </w:r>
      <w:r>
        <w:rPr>
          <w:rFonts w:eastAsia="Batang" w:cs="Calibri" w:hint="eastAsia"/>
          <w:sz w:val="20"/>
          <w:szCs w:val="20"/>
        </w:rPr>
        <w:t>.</w:t>
      </w:r>
    </w:p>
    <w:p w:rsidR="00390883" w:rsidRDefault="00747665">
      <w:bookmarkStart w:id="0" w:name="_GoBack"/>
      <w:bookmarkEnd w:id="0"/>
    </w:p>
    <w:sectPr w:rsidR="00390883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65"/>
    <w:rsid w:val="001A6D85"/>
    <w:rsid w:val="006E330B"/>
    <w:rsid w:val="00747665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A0FC-4603-4E64-9754-30B4005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65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47665"/>
    <w:pPr>
      <w:snapToGrid w:val="0"/>
      <w:spacing w:after="0" w:line="384" w:lineRule="auto"/>
      <w:jc w:val="both"/>
    </w:pPr>
    <w:rPr>
      <w:rFonts w:ascii="휴먼명조" w:eastAsia="휴먼명조" w:hAnsi="HCI Poppy"/>
      <w:color w:val="000000"/>
      <w:sz w:val="26"/>
      <w:szCs w:val="26"/>
    </w:rPr>
  </w:style>
  <w:style w:type="paragraph" w:customStyle="1" w:styleId="xl67">
    <w:name w:val="xl67"/>
    <w:basedOn w:val="Normal"/>
    <w:rsid w:val="00747665"/>
    <w:pPr>
      <w:snapToGrid w:val="0"/>
      <w:spacing w:after="0" w:line="240" w:lineRule="auto"/>
      <w:jc w:val="center"/>
    </w:pPr>
    <w:rPr>
      <w:rFonts w:ascii="Malgun Gothic" w:hAnsi="Malgun Gothic"/>
      <w:color w:val="000000"/>
      <w:sz w:val="18"/>
      <w:szCs w:val="18"/>
    </w:rPr>
  </w:style>
  <w:style w:type="paragraph" w:customStyle="1" w:styleId="xl75">
    <w:name w:val="xl75"/>
    <w:basedOn w:val="Normal"/>
    <w:rsid w:val="00747665"/>
    <w:pPr>
      <w:snapToGrid w:val="0"/>
      <w:spacing w:after="0" w:line="240" w:lineRule="auto"/>
      <w:jc w:val="center"/>
    </w:pPr>
    <w:rPr>
      <w:rFonts w:ascii="Malgun Gothic" w:hAnsi="Malgun Gothi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2022-01-21T12:03:00Z</dcterms:created>
  <dcterms:modified xsi:type="dcterms:W3CDTF">2022-01-21T12:03:00Z</dcterms:modified>
</cp:coreProperties>
</file>