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46890" w14:textId="77777777" w:rsidR="006650A1" w:rsidRDefault="00C070B9">
      <w:pPr>
        <w:rPr>
          <w:b/>
        </w:rPr>
      </w:pPr>
      <w:bookmarkStart w:id="0" w:name="_GoBack"/>
      <w:bookmarkEnd w:id="0"/>
      <w:r>
        <w:rPr>
          <w:b/>
        </w:rPr>
        <w:t>Schedule of review of data collected in ASSIST Study</w:t>
      </w:r>
    </w:p>
    <w:p w14:paraId="3EFC2E0F" w14:textId="77777777" w:rsidR="00C070B9" w:rsidRDefault="00C070B9">
      <w:pPr>
        <w:rPr>
          <w:lang w:val="en-US"/>
        </w:rPr>
      </w:pPr>
    </w:p>
    <w:p w14:paraId="6B7FD5CE" w14:textId="77777777" w:rsidR="00C070B9" w:rsidRPr="00C070B9" w:rsidRDefault="00C070B9">
      <w:pPr>
        <w:rPr>
          <w:b/>
        </w:rPr>
      </w:pPr>
      <w:r>
        <w:rPr>
          <w:b/>
          <w:lang w:val="en-US"/>
        </w:rPr>
        <w:t>Overview</w:t>
      </w:r>
    </w:p>
    <w:p w14:paraId="223A304E" w14:textId="77777777" w:rsidR="00C070B9" w:rsidRDefault="00C070B9" w:rsidP="00C070B9">
      <w:r>
        <w:t>Three levels of review will be undertaken during the ASSIST Study; continuous and scheduled reviews and interim analyses.</w:t>
      </w:r>
      <w:r w:rsidRPr="00B46A94">
        <w:t xml:space="preserve"> </w:t>
      </w:r>
      <w:r>
        <w:t xml:space="preserve">The planned frequency and timing of these is summarised in Table </w:t>
      </w:r>
      <w:r>
        <w:rPr>
          <w:noProof/>
        </w:rPr>
        <w:t>1</w:t>
      </w:r>
      <w:r>
        <w:t>, however meeting schedules will be proportionate to the data outcomes and the Trial Steering Committee (TSC) may recommend additional reviews by the Independent Data Monitoring Committee (IDMC) if deemed appropriate.</w:t>
      </w:r>
    </w:p>
    <w:p w14:paraId="2D5BEC8A" w14:textId="77777777" w:rsidR="00C070B9" w:rsidRDefault="00C070B9" w:rsidP="00C070B9">
      <w:r>
        <w:t xml:space="preserve"> </w:t>
      </w:r>
    </w:p>
    <w:p w14:paraId="3A8E398F" w14:textId="77777777" w:rsidR="00C070B9" w:rsidRPr="00C070B9" w:rsidRDefault="00C070B9" w:rsidP="00C070B9">
      <w:pPr>
        <w:pStyle w:val="Caption"/>
        <w:keepNext/>
        <w:rPr>
          <w:i w:val="0"/>
        </w:rPr>
      </w:pPr>
      <w:r w:rsidRPr="00C070B9">
        <w:rPr>
          <w:b/>
          <w:i w:val="0"/>
        </w:rPr>
        <w:t xml:space="preserve"> Table 1</w:t>
      </w:r>
      <w:r w:rsidRPr="00C070B9">
        <w:rPr>
          <w:i w:val="0"/>
        </w:rPr>
        <w:t>. Schedule of reviews and analyses within the ASSIST Study</w:t>
      </w:r>
    </w:p>
    <w:tbl>
      <w:tblPr>
        <w:tblStyle w:val="TableGrid"/>
        <w:tblW w:w="0" w:type="auto"/>
        <w:tblLook w:val="04A0" w:firstRow="1" w:lastRow="0" w:firstColumn="1" w:lastColumn="0" w:noHBand="0" w:noVBand="1"/>
      </w:tblPr>
      <w:tblGrid>
        <w:gridCol w:w="2853"/>
        <w:gridCol w:w="2818"/>
        <w:gridCol w:w="2845"/>
      </w:tblGrid>
      <w:tr w:rsidR="00C070B9" w:rsidRPr="00ED6F40" w14:paraId="6623CB6F" w14:textId="77777777" w:rsidTr="00C070B9">
        <w:trPr>
          <w:trHeight w:val="268"/>
        </w:trPr>
        <w:tc>
          <w:tcPr>
            <w:tcW w:w="3112" w:type="dxa"/>
          </w:tcPr>
          <w:p w14:paraId="7D42EB1A" w14:textId="77777777" w:rsidR="00C070B9" w:rsidRPr="00942461" w:rsidRDefault="00C070B9" w:rsidP="00C070B9">
            <w:pPr>
              <w:rPr>
                <w:b/>
                <w:sz w:val="20"/>
                <w:szCs w:val="20"/>
              </w:rPr>
            </w:pPr>
            <w:r w:rsidRPr="00942461">
              <w:rPr>
                <w:b/>
                <w:sz w:val="20"/>
                <w:szCs w:val="20"/>
              </w:rPr>
              <w:t>Type of review</w:t>
            </w:r>
          </w:p>
        </w:tc>
        <w:tc>
          <w:tcPr>
            <w:tcW w:w="3112" w:type="dxa"/>
          </w:tcPr>
          <w:p w14:paraId="0B424194" w14:textId="77777777" w:rsidR="00C070B9" w:rsidRPr="00942461" w:rsidRDefault="00C070B9" w:rsidP="00C070B9">
            <w:pPr>
              <w:rPr>
                <w:b/>
                <w:sz w:val="20"/>
                <w:szCs w:val="20"/>
              </w:rPr>
            </w:pPr>
            <w:r w:rsidRPr="00942461">
              <w:rPr>
                <w:b/>
                <w:sz w:val="20"/>
                <w:szCs w:val="20"/>
              </w:rPr>
              <w:t>By whom</w:t>
            </w:r>
          </w:p>
        </w:tc>
        <w:tc>
          <w:tcPr>
            <w:tcW w:w="3112" w:type="dxa"/>
          </w:tcPr>
          <w:p w14:paraId="07DA8B6F" w14:textId="77777777" w:rsidR="00C070B9" w:rsidRPr="00942461" w:rsidRDefault="00C070B9" w:rsidP="00C070B9">
            <w:pPr>
              <w:rPr>
                <w:b/>
                <w:sz w:val="20"/>
                <w:szCs w:val="20"/>
              </w:rPr>
            </w:pPr>
            <w:r w:rsidRPr="00942461">
              <w:rPr>
                <w:b/>
                <w:sz w:val="20"/>
                <w:szCs w:val="20"/>
              </w:rPr>
              <w:t>Frequency</w:t>
            </w:r>
          </w:p>
        </w:tc>
      </w:tr>
      <w:tr w:rsidR="00C070B9" w:rsidRPr="00ED6F40" w14:paraId="69CA5BEF" w14:textId="77777777" w:rsidTr="00C070B9">
        <w:trPr>
          <w:trHeight w:val="268"/>
        </w:trPr>
        <w:tc>
          <w:tcPr>
            <w:tcW w:w="3112" w:type="dxa"/>
          </w:tcPr>
          <w:p w14:paraId="06403E50" w14:textId="77777777" w:rsidR="00C070B9" w:rsidRPr="00942461" w:rsidRDefault="00C070B9" w:rsidP="00C070B9">
            <w:pPr>
              <w:rPr>
                <w:sz w:val="20"/>
                <w:szCs w:val="20"/>
              </w:rPr>
            </w:pPr>
            <w:r w:rsidRPr="00942461">
              <w:rPr>
                <w:sz w:val="20"/>
                <w:szCs w:val="20"/>
              </w:rPr>
              <w:t xml:space="preserve">Continuous review </w:t>
            </w:r>
          </w:p>
        </w:tc>
        <w:tc>
          <w:tcPr>
            <w:tcW w:w="3112" w:type="dxa"/>
          </w:tcPr>
          <w:p w14:paraId="69A3467F" w14:textId="77777777" w:rsidR="00C070B9" w:rsidRPr="00942461" w:rsidRDefault="00C070B9" w:rsidP="00C070B9">
            <w:pPr>
              <w:rPr>
                <w:sz w:val="20"/>
                <w:szCs w:val="20"/>
              </w:rPr>
            </w:pPr>
            <w:r w:rsidRPr="00942461">
              <w:rPr>
                <w:sz w:val="20"/>
                <w:szCs w:val="20"/>
              </w:rPr>
              <w:t>TMG &amp; Sponsor</w:t>
            </w:r>
          </w:p>
        </w:tc>
        <w:tc>
          <w:tcPr>
            <w:tcW w:w="3112" w:type="dxa"/>
          </w:tcPr>
          <w:p w14:paraId="37D46242" w14:textId="77777777" w:rsidR="00C070B9" w:rsidRPr="00942461" w:rsidRDefault="00C070B9" w:rsidP="00C070B9">
            <w:pPr>
              <w:rPr>
                <w:sz w:val="20"/>
                <w:szCs w:val="20"/>
              </w:rPr>
            </w:pPr>
            <w:r w:rsidRPr="00942461">
              <w:rPr>
                <w:sz w:val="20"/>
                <w:szCs w:val="20"/>
              </w:rPr>
              <w:t>Every birth</w:t>
            </w:r>
          </w:p>
        </w:tc>
      </w:tr>
      <w:tr w:rsidR="00C070B9" w:rsidRPr="00ED6F40" w14:paraId="4F095C9F" w14:textId="77777777" w:rsidTr="00C070B9">
        <w:trPr>
          <w:trHeight w:val="267"/>
        </w:trPr>
        <w:tc>
          <w:tcPr>
            <w:tcW w:w="3112" w:type="dxa"/>
          </w:tcPr>
          <w:p w14:paraId="1335D77D" w14:textId="77777777" w:rsidR="00C070B9" w:rsidRPr="00942461" w:rsidRDefault="00C070B9" w:rsidP="00C070B9">
            <w:pPr>
              <w:rPr>
                <w:sz w:val="20"/>
                <w:szCs w:val="20"/>
              </w:rPr>
            </w:pPr>
            <w:proofErr w:type="spellStart"/>
            <w:r w:rsidRPr="00942461">
              <w:rPr>
                <w:sz w:val="20"/>
                <w:szCs w:val="20"/>
              </w:rPr>
              <w:t>Quinitial</w:t>
            </w:r>
            <w:proofErr w:type="spellEnd"/>
            <w:r w:rsidRPr="00942461">
              <w:rPr>
                <w:sz w:val="20"/>
                <w:szCs w:val="20"/>
              </w:rPr>
              <w:t xml:space="preserve"> review </w:t>
            </w:r>
          </w:p>
        </w:tc>
        <w:tc>
          <w:tcPr>
            <w:tcW w:w="3112" w:type="dxa"/>
          </w:tcPr>
          <w:p w14:paraId="13988CF6" w14:textId="77777777" w:rsidR="00C070B9" w:rsidRPr="00942461" w:rsidRDefault="00C070B9" w:rsidP="00C070B9">
            <w:pPr>
              <w:rPr>
                <w:sz w:val="20"/>
                <w:szCs w:val="20"/>
              </w:rPr>
            </w:pPr>
            <w:r w:rsidRPr="00942461">
              <w:rPr>
                <w:sz w:val="20"/>
                <w:szCs w:val="20"/>
              </w:rPr>
              <w:t>TMG &amp; Sponsor</w:t>
            </w:r>
          </w:p>
        </w:tc>
        <w:tc>
          <w:tcPr>
            <w:tcW w:w="3112" w:type="dxa"/>
          </w:tcPr>
          <w:p w14:paraId="5E6475D5" w14:textId="77777777" w:rsidR="00C070B9" w:rsidRPr="00942461" w:rsidRDefault="00C070B9" w:rsidP="00C070B9">
            <w:pPr>
              <w:rPr>
                <w:sz w:val="20"/>
                <w:szCs w:val="20"/>
              </w:rPr>
            </w:pPr>
            <w:r w:rsidRPr="00942461">
              <w:rPr>
                <w:sz w:val="20"/>
                <w:szCs w:val="20"/>
              </w:rPr>
              <w:t>Every 5</w:t>
            </w:r>
            <w:r w:rsidRPr="00942461">
              <w:rPr>
                <w:sz w:val="20"/>
                <w:szCs w:val="20"/>
                <w:vertAlign w:val="superscript"/>
              </w:rPr>
              <w:t>th</w:t>
            </w:r>
            <w:r w:rsidRPr="00942461">
              <w:rPr>
                <w:sz w:val="20"/>
                <w:szCs w:val="20"/>
              </w:rPr>
              <w:t xml:space="preserve"> birth</w:t>
            </w:r>
          </w:p>
        </w:tc>
      </w:tr>
      <w:tr w:rsidR="00C070B9" w:rsidRPr="00ED6F40" w14:paraId="4302B5BF" w14:textId="77777777" w:rsidTr="00C070B9">
        <w:trPr>
          <w:trHeight w:val="267"/>
        </w:trPr>
        <w:tc>
          <w:tcPr>
            <w:tcW w:w="3112" w:type="dxa"/>
          </w:tcPr>
          <w:p w14:paraId="35331D59" w14:textId="77777777" w:rsidR="00C070B9" w:rsidRPr="00942461" w:rsidRDefault="00C070B9" w:rsidP="00C070B9">
            <w:pPr>
              <w:rPr>
                <w:sz w:val="20"/>
                <w:szCs w:val="20"/>
              </w:rPr>
            </w:pPr>
            <w:r w:rsidRPr="00942461">
              <w:rPr>
                <w:sz w:val="20"/>
                <w:szCs w:val="20"/>
              </w:rPr>
              <w:t xml:space="preserve">Interim analysis </w:t>
            </w:r>
          </w:p>
        </w:tc>
        <w:tc>
          <w:tcPr>
            <w:tcW w:w="3112" w:type="dxa"/>
          </w:tcPr>
          <w:p w14:paraId="04F9B428" w14:textId="77777777" w:rsidR="00C070B9" w:rsidRPr="00942461" w:rsidRDefault="00C070B9" w:rsidP="00C070B9">
            <w:pPr>
              <w:rPr>
                <w:sz w:val="20"/>
                <w:szCs w:val="20"/>
              </w:rPr>
            </w:pPr>
            <w:r>
              <w:rPr>
                <w:sz w:val="20"/>
                <w:szCs w:val="20"/>
              </w:rPr>
              <w:t>DM</w:t>
            </w:r>
            <w:r w:rsidRPr="00942461">
              <w:rPr>
                <w:sz w:val="20"/>
                <w:szCs w:val="20"/>
              </w:rPr>
              <w:t>C, TSC &amp; Sponsor</w:t>
            </w:r>
          </w:p>
        </w:tc>
        <w:tc>
          <w:tcPr>
            <w:tcW w:w="3112" w:type="dxa"/>
          </w:tcPr>
          <w:p w14:paraId="7A810751" w14:textId="77777777" w:rsidR="00C070B9" w:rsidRPr="00942461" w:rsidRDefault="00C070B9" w:rsidP="00C070B9">
            <w:pPr>
              <w:rPr>
                <w:sz w:val="20"/>
                <w:szCs w:val="20"/>
              </w:rPr>
            </w:pPr>
            <w:r w:rsidRPr="00942461">
              <w:rPr>
                <w:sz w:val="20"/>
                <w:szCs w:val="20"/>
              </w:rPr>
              <w:t>After 20</w:t>
            </w:r>
            <w:r w:rsidRPr="00942461">
              <w:rPr>
                <w:sz w:val="20"/>
                <w:szCs w:val="20"/>
                <w:vertAlign w:val="superscript"/>
              </w:rPr>
              <w:t>th</w:t>
            </w:r>
            <w:r w:rsidRPr="00942461">
              <w:rPr>
                <w:sz w:val="20"/>
                <w:szCs w:val="20"/>
              </w:rPr>
              <w:t xml:space="preserve"> birth</w:t>
            </w:r>
          </w:p>
        </w:tc>
      </w:tr>
      <w:tr w:rsidR="00C070B9" w:rsidRPr="00ED6F40" w14:paraId="22B0339A" w14:textId="77777777" w:rsidTr="00C070B9">
        <w:trPr>
          <w:trHeight w:val="267"/>
        </w:trPr>
        <w:tc>
          <w:tcPr>
            <w:tcW w:w="3112" w:type="dxa"/>
          </w:tcPr>
          <w:p w14:paraId="5A033C06" w14:textId="77777777" w:rsidR="00C070B9" w:rsidRPr="00942461" w:rsidRDefault="00C070B9" w:rsidP="00C070B9">
            <w:pPr>
              <w:rPr>
                <w:sz w:val="20"/>
                <w:szCs w:val="20"/>
              </w:rPr>
            </w:pPr>
            <w:r w:rsidRPr="00942461">
              <w:rPr>
                <w:sz w:val="20"/>
                <w:szCs w:val="20"/>
              </w:rPr>
              <w:t xml:space="preserve">Final analysis </w:t>
            </w:r>
          </w:p>
        </w:tc>
        <w:tc>
          <w:tcPr>
            <w:tcW w:w="3112" w:type="dxa"/>
          </w:tcPr>
          <w:p w14:paraId="492291A3" w14:textId="77777777" w:rsidR="00C070B9" w:rsidRPr="00942461" w:rsidRDefault="00C070B9" w:rsidP="00C070B9">
            <w:pPr>
              <w:rPr>
                <w:sz w:val="20"/>
                <w:szCs w:val="20"/>
              </w:rPr>
            </w:pPr>
            <w:r>
              <w:rPr>
                <w:sz w:val="20"/>
                <w:szCs w:val="20"/>
              </w:rPr>
              <w:t>DM</w:t>
            </w:r>
            <w:r w:rsidRPr="00942461">
              <w:rPr>
                <w:sz w:val="20"/>
                <w:szCs w:val="20"/>
              </w:rPr>
              <w:t>C, TSC &amp; Sponsor</w:t>
            </w:r>
          </w:p>
        </w:tc>
        <w:tc>
          <w:tcPr>
            <w:tcW w:w="3112" w:type="dxa"/>
          </w:tcPr>
          <w:p w14:paraId="4E3A03CA" w14:textId="77777777" w:rsidR="00C070B9" w:rsidRPr="00942461" w:rsidRDefault="00C070B9" w:rsidP="00C070B9">
            <w:pPr>
              <w:rPr>
                <w:sz w:val="20"/>
                <w:szCs w:val="20"/>
              </w:rPr>
            </w:pPr>
            <w:r w:rsidRPr="00942461">
              <w:rPr>
                <w:sz w:val="20"/>
                <w:szCs w:val="20"/>
              </w:rPr>
              <w:t>After 40</w:t>
            </w:r>
            <w:r w:rsidRPr="00942461">
              <w:rPr>
                <w:sz w:val="20"/>
                <w:szCs w:val="20"/>
                <w:vertAlign w:val="superscript"/>
              </w:rPr>
              <w:t>th</w:t>
            </w:r>
            <w:r w:rsidRPr="00942461">
              <w:rPr>
                <w:sz w:val="20"/>
                <w:szCs w:val="20"/>
              </w:rPr>
              <w:t xml:space="preserve"> birth</w:t>
            </w:r>
          </w:p>
        </w:tc>
      </w:tr>
    </w:tbl>
    <w:p w14:paraId="5CB85EE7" w14:textId="77777777" w:rsidR="00C070B9" w:rsidRDefault="00C070B9" w:rsidP="00C070B9"/>
    <w:p w14:paraId="281DBA75" w14:textId="77777777" w:rsidR="00C070B9" w:rsidRPr="00C070B9" w:rsidRDefault="00C070B9">
      <w:pPr>
        <w:rPr>
          <w:b/>
        </w:rPr>
      </w:pPr>
      <w:r>
        <w:rPr>
          <w:b/>
        </w:rPr>
        <w:t>Continuous review</w:t>
      </w:r>
    </w:p>
    <w:p w14:paraId="1786DB9F" w14:textId="77777777" w:rsidR="00C070B9" w:rsidRDefault="00C070B9">
      <w:pPr>
        <w:rPr>
          <w:lang w:val="en-US"/>
        </w:rPr>
      </w:pPr>
      <w:r>
        <w:t xml:space="preserve">Following every birth, all immediate post-birth outcomes will be reported to the Sponsor with 24 hours of the assisted birth. There are key amber and red outcomes that will be specifically reported on (table 2). </w:t>
      </w:r>
      <w:r w:rsidRPr="00635FEE">
        <w:rPr>
          <w:lang w:val="en-US"/>
        </w:rPr>
        <w:t>The trial will be immediately suspended if one red adverse outcome is reported.</w:t>
      </w:r>
    </w:p>
    <w:p w14:paraId="2BA41052" w14:textId="77777777" w:rsidR="00C070B9" w:rsidRDefault="00C070B9" w:rsidP="00C070B9">
      <w:pPr>
        <w:pStyle w:val="Caption"/>
        <w:keepNext/>
        <w:rPr>
          <w:b/>
          <w:i w:val="0"/>
        </w:rPr>
      </w:pPr>
      <w:bookmarkStart w:id="1" w:name="_Ref515816044"/>
    </w:p>
    <w:p w14:paraId="5012DE0C" w14:textId="77777777" w:rsidR="00C070B9" w:rsidRPr="00C070B9" w:rsidRDefault="00C070B9" w:rsidP="00C070B9">
      <w:pPr>
        <w:pStyle w:val="Caption"/>
        <w:keepNext/>
        <w:rPr>
          <w:i w:val="0"/>
        </w:rPr>
      </w:pPr>
      <w:r w:rsidRPr="00C070B9">
        <w:rPr>
          <w:b/>
          <w:i w:val="0"/>
        </w:rPr>
        <w:t>Table 2</w:t>
      </w:r>
      <w:bookmarkEnd w:id="1"/>
      <w:r w:rsidRPr="00C070B9">
        <w:rPr>
          <w:b/>
          <w:i w:val="0"/>
        </w:rPr>
        <w:t>.</w:t>
      </w:r>
      <w:r w:rsidRPr="00C070B9">
        <w:rPr>
          <w:i w:val="0"/>
        </w:rPr>
        <w:t xml:space="preserve"> Log of key outcomes for the ASSIST Study</w:t>
      </w:r>
    </w:p>
    <w:tbl>
      <w:tblPr>
        <w:tblStyle w:val="TableGrid"/>
        <w:tblW w:w="9322" w:type="dxa"/>
        <w:tblLook w:val="04A0" w:firstRow="1" w:lastRow="0" w:firstColumn="1" w:lastColumn="0" w:noHBand="0" w:noVBand="1"/>
      </w:tblPr>
      <w:tblGrid>
        <w:gridCol w:w="9322"/>
      </w:tblGrid>
      <w:tr w:rsidR="00C070B9" w:rsidRPr="00C035E2" w14:paraId="0D7B92C7" w14:textId="77777777" w:rsidTr="00C070B9">
        <w:trPr>
          <w:trHeight w:val="510"/>
        </w:trPr>
        <w:tc>
          <w:tcPr>
            <w:tcW w:w="9322" w:type="dxa"/>
            <w:vAlign w:val="center"/>
          </w:tcPr>
          <w:p w14:paraId="7EDD5E67" w14:textId="77777777" w:rsidR="00C070B9" w:rsidRPr="00C035E2" w:rsidRDefault="00C070B9" w:rsidP="00C070B9">
            <w:pPr>
              <w:jc w:val="center"/>
              <w:rPr>
                <w:sz w:val="22"/>
                <w:szCs w:val="22"/>
              </w:rPr>
            </w:pPr>
            <w:r w:rsidRPr="003A57C6">
              <w:rPr>
                <w:b/>
                <w:szCs w:val="22"/>
              </w:rPr>
              <w:t>Maternal Outcomes</w:t>
            </w:r>
          </w:p>
        </w:tc>
      </w:tr>
      <w:tr w:rsidR="00C070B9" w:rsidRPr="00C035E2" w14:paraId="078391BE" w14:textId="77777777" w:rsidTr="00C070B9">
        <w:trPr>
          <w:trHeight w:val="510"/>
        </w:trPr>
        <w:tc>
          <w:tcPr>
            <w:tcW w:w="9322" w:type="dxa"/>
            <w:vAlign w:val="center"/>
          </w:tcPr>
          <w:p w14:paraId="58BA8B6C" w14:textId="77777777" w:rsidR="00C070B9" w:rsidRPr="00C035E2" w:rsidRDefault="00C070B9" w:rsidP="00C070B9">
            <w:pPr>
              <w:jc w:val="center"/>
              <w:rPr>
                <w:sz w:val="22"/>
                <w:szCs w:val="22"/>
              </w:rPr>
            </w:pPr>
            <w:r>
              <w:rPr>
                <w:color w:val="FFC000"/>
                <w:sz w:val="22"/>
                <w:szCs w:val="22"/>
              </w:rPr>
              <w:t>PPH &gt; 3</w:t>
            </w:r>
            <w:r w:rsidRPr="00C035E2">
              <w:rPr>
                <w:color w:val="FFC000"/>
                <w:sz w:val="22"/>
                <w:szCs w:val="22"/>
              </w:rPr>
              <w:t>000ml</w:t>
            </w:r>
          </w:p>
        </w:tc>
      </w:tr>
      <w:tr w:rsidR="00C070B9" w:rsidRPr="00C035E2" w14:paraId="4E38C6B0" w14:textId="77777777" w:rsidTr="00C070B9">
        <w:trPr>
          <w:trHeight w:val="510"/>
        </w:trPr>
        <w:tc>
          <w:tcPr>
            <w:tcW w:w="9322" w:type="dxa"/>
            <w:vAlign w:val="center"/>
          </w:tcPr>
          <w:p w14:paraId="5D7AE1E4" w14:textId="77777777" w:rsidR="00C070B9" w:rsidRPr="00C035E2" w:rsidRDefault="00C070B9" w:rsidP="00C070B9">
            <w:pPr>
              <w:jc w:val="center"/>
              <w:rPr>
                <w:sz w:val="22"/>
                <w:szCs w:val="22"/>
              </w:rPr>
            </w:pPr>
            <w:r>
              <w:rPr>
                <w:color w:val="FFC000"/>
                <w:sz w:val="22"/>
                <w:szCs w:val="22"/>
              </w:rPr>
              <w:t>3</w:t>
            </w:r>
            <w:r w:rsidRPr="00770244">
              <w:rPr>
                <w:color w:val="FFC000"/>
                <w:sz w:val="22"/>
                <w:szCs w:val="22"/>
                <w:vertAlign w:val="superscript"/>
              </w:rPr>
              <w:t>rd</w:t>
            </w:r>
            <w:r>
              <w:rPr>
                <w:color w:val="FFC000"/>
                <w:sz w:val="22"/>
                <w:szCs w:val="22"/>
              </w:rPr>
              <w:t xml:space="preserve"> or </w:t>
            </w:r>
            <w:r w:rsidRPr="00C035E2">
              <w:rPr>
                <w:color w:val="FFC000"/>
                <w:sz w:val="22"/>
                <w:szCs w:val="22"/>
              </w:rPr>
              <w:t>4</w:t>
            </w:r>
            <w:r w:rsidRPr="00C035E2">
              <w:rPr>
                <w:color w:val="FFC000"/>
                <w:sz w:val="22"/>
                <w:szCs w:val="22"/>
                <w:vertAlign w:val="superscript"/>
              </w:rPr>
              <w:t>th</w:t>
            </w:r>
            <w:r w:rsidRPr="00C035E2">
              <w:rPr>
                <w:color w:val="FFC000"/>
                <w:sz w:val="22"/>
                <w:szCs w:val="22"/>
              </w:rPr>
              <w:t xml:space="preserve"> degree tear</w:t>
            </w:r>
          </w:p>
        </w:tc>
      </w:tr>
      <w:tr w:rsidR="00C070B9" w:rsidRPr="00C035E2" w14:paraId="596291CF" w14:textId="77777777" w:rsidTr="00C070B9">
        <w:trPr>
          <w:trHeight w:val="510"/>
        </w:trPr>
        <w:tc>
          <w:tcPr>
            <w:tcW w:w="9322" w:type="dxa"/>
            <w:vAlign w:val="center"/>
          </w:tcPr>
          <w:p w14:paraId="732B2620" w14:textId="77777777" w:rsidR="00C070B9" w:rsidRPr="00C035E2" w:rsidRDefault="00C070B9" w:rsidP="00C070B9">
            <w:pPr>
              <w:jc w:val="center"/>
              <w:rPr>
                <w:sz w:val="22"/>
                <w:szCs w:val="22"/>
              </w:rPr>
            </w:pPr>
            <w:proofErr w:type="spellStart"/>
            <w:r w:rsidRPr="00C035E2">
              <w:rPr>
                <w:color w:val="FFC000"/>
                <w:sz w:val="22"/>
                <w:szCs w:val="22"/>
              </w:rPr>
              <w:t>Ischio</w:t>
            </w:r>
            <w:proofErr w:type="spellEnd"/>
            <w:r w:rsidRPr="00C035E2">
              <w:rPr>
                <w:color w:val="FFC000"/>
                <w:sz w:val="22"/>
                <w:szCs w:val="22"/>
              </w:rPr>
              <w:t>-rectal fossa defect</w:t>
            </w:r>
          </w:p>
        </w:tc>
      </w:tr>
      <w:tr w:rsidR="00C070B9" w:rsidRPr="00C035E2" w14:paraId="218E9607" w14:textId="77777777" w:rsidTr="00C070B9">
        <w:trPr>
          <w:trHeight w:val="640"/>
        </w:trPr>
        <w:tc>
          <w:tcPr>
            <w:tcW w:w="9322" w:type="dxa"/>
            <w:vAlign w:val="center"/>
          </w:tcPr>
          <w:p w14:paraId="35809987" w14:textId="77777777" w:rsidR="00C070B9" w:rsidRPr="00C035E2" w:rsidRDefault="00C070B9" w:rsidP="00C070B9">
            <w:pPr>
              <w:jc w:val="center"/>
              <w:rPr>
                <w:sz w:val="22"/>
                <w:szCs w:val="22"/>
              </w:rPr>
            </w:pPr>
            <w:r w:rsidRPr="00C035E2">
              <w:rPr>
                <w:color w:val="FFC000"/>
                <w:sz w:val="22"/>
                <w:szCs w:val="22"/>
              </w:rPr>
              <w:t>Cervical tear requiring suturing</w:t>
            </w:r>
          </w:p>
        </w:tc>
      </w:tr>
      <w:tr w:rsidR="00C070B9" w:rsidRPr="00C035E2" w14:paraId="04FE2C4C" w14:textId="77777777" w:rsidTr="00C070B9">
        <w:trPr>
          <w:trHeight w:val="510"/>
        </w:trPr>
        <w:tc>
          <w:tcPr>
            <w:tcW w:w="9322" w:type="dxa"/>
            <w:vAlign w:val="center"/>
          </w:tcPr>
          <w:p w14:paraId="761E570B" w14:textId="77777777" w:rsidR="00C070B9" w:rsidRPr="00C035E2" w:rsidRDefault="00C070B9" w:rsidP="00C070B9">
            <w:pPr>
              <w:jc w:val="center"/>
              <w:rPr>
                <w:sz w:val="22"/>
                <w:szCs w:val="22"/>
              </w:rPr>
            </w:pPr>
            <w:r w:rsidRPr="00C035E2">
              <w:rPr>
                <w:color w:val="FF0000"/>
                <w:sz w:val="22"/>
                <w:szCs w:val="22"/>
              </w:rPr>
              <w:t>Maternal death</w:t>
            </w:r>
          </w:p>
        </w:tc>
      </w:tr>
      <w:tr w:rsidR="00C070B9" w:rsidRPr="00C035E2" w14:paraId="6CE7FD6B" w14:textId="77777777" w:rsidTr="00C070B9">
        <w:trPr>
          <w:trHeight w:val="510"/>
        </w:trPr>
        <w:tc>
          <w:tcPr>
            <w:tcW w:w="9322" w:type="dxa"/>
            <w:vAlign w:val="center"/>
          </w:tcPr>
          <w:p w14:paraId="25F61748" w14:textId="77777777" w:rsidR="00C070B9" w:rsidRPr="00C035E2" w:rsidRDefault="00C070B9" w:rsidP="00C070B9">
            <w:pPr>
              <w:jc w:val="center"/>
              <w:rPr>
                <w:sz w:val="22"/>
                <w:szCs w:val="22"/>
              </w:rPr>
            </w:pPr>
            <w:r w:rsidRPr="003A57C6">
              <w:rPr>
                <w:b/>
                <w:szCs w:val="22"/>
              </w:rPr>
              <w:lastRenderedPageBreak/>
              <w:t>Neonatal Outcomes</w:t>
            </w:r>
          </w:p>
        </w:tc>
      </w:tr>
      <w:tr w:rsidR="00C070B9" w:rsidRPr="00C035E2" w14:paraId="4EB85676" w14:textId="77777777" w:rsidTr="00C070B9">
        <w:trPr>
          <w:trHeight w:val="510"/>
        </w:trPr>
        <w:tc>
          <w:tcPr>
            <w:tcW w:w="9322" w:type="dxa"/>
            <w:vAlign w:val="center"/>
          </w:tcPr>
          <w:p w14:paraId="1AF1F107" w14:textId="77777777" w:rsidR="00C070B9" w:rsidRPr="00C035E2" w:rsidRDefault="00C070B9" w:rsidP="00C070B9">
            <w:pPr>
              <w:jc w:val="center"/>
              <w:rPr>
                <w:sz w:val="22"/>
                <w:szCs w:val="22"/>
              </w:rPr>
            </w:pPr>
            <w:r w:rsidRPr="00C035E2">
              <w:rPr>
                <w:color w:val="FFC000"/>
                <w:sz w:val="22"/>
                <w:szCs w:val="22"/>
              </w:rPr>
              <w:t>Apgar &lt;7 at 5 minutes</w:t>
            </w:r>
          </w:p>
        </w:tc>
      </w:tr>
      <w:tr w:rsidR="00C070B9" w:rsidRPr="00C035E2" w14:paraId="0BC8D507" w14:textId="77777777" w:rsidTr="00C070B9">
        <w:trPr>
          <w:trHeight w:val="510"/>
        </w:trPr>
        <w:tc>
          <w:tcPr>
            <w:tcW w:w="9322" w:type="dxa"/>
            <w:vAlign w:val="center"/>
          </w:tcPr>
          <w:p w14:paraId="10D9BA32" w14:textId="77777777" w:rsidR="00C070B9" w:rsidRPr="00C035E2" w:rsidRDefault="00C070B9" w:rsidP="00C070B9">
            <w:pPr>
              <w:jc w:val="center"/>
              <w:rPr>
                <w:sz w:val="22"/>
                <w:szCs w:val="22"/>
              </w:rPr>
            </w:pPr>
            <w:r>
              <w:rPr>
                <w:color w:val="FFC000"/>
                <w:sz w:val="22"/>
                <w:szCs w:val="22"/>
              </w:rPr>
              <w:t>Jaundice requiring phototherapy</w:t>
            </w:r>
          </w:p>
        </w:tc>
      </w:tr>
      <w:tr w:rsidR="00C070B9" w:rsidRPr="00C035E2" w14:paraId="6A123345" w14:textId="77777777" w:rsidTr="00C070B9">
        <w:trPr>
          <w:trHeight w:val="510"/>
        </w:trPr>
        <w:tc>
          <w:tcPr>
            <w:tcW w:w="9322" w:type="dxa"/>
            <w:vAlign w:val="center"/>
          </w:tcPr>
          <w:p w14:paraId="32A11E3F" w14:textId="77777777" w:rsidR="00C070B9" w:rsidRPr="00C035E2" w:rsidRDefault="00C070B9" w:rsidP="00C070B9">
            <w:pPr>
              <w:jc w:val="center"/>
              <w:rPr>
                <w:sz w:val="22"/>
                <w:szCs w:val="22"/>
              </w:rPr>
            </w:pPr>
            <w:r w:rsidRPr="00C035E2">
              <w:rPr>
                <w:color w:val="FFC000"/>
                <w:sz w:val="22"/>
                <w:szCs w:val="22"/>
              </w:rPr>
              <w:t xml:space="preserve">Admission to NICU </w:t>
            </w:r>
          </w:p>
        </w:tc>
      </w:tr>
      <w:tr w:rsidR="00C070B9" w:rsidRPr="00C035E2" w14:paraId="2E363132" w14:textId="77777777" w:rsidTr="00C070B9">
        <w:trPr>
          <w:trHeight w:val="510"/>
        </w:trPr>
        <w:tc>
          <w:tcPr>
            <w:tcW w:w="9322" w:type="dxa"/>
            <w:vAlign w:val="center"/>
          </w:tcPr>
          <w:p w14:paraId="5745DCD8" w14:textId="77777777" w:rsidR="00C070B9" w:rsidRPr="00C035E2" w:rsidRDefault="00C070B9" w:rsidP="00C070B9">
            <w:pPr>
              <w:jc w:val="center"/>
              <w:rPr>
                <w:sz w:val="22"/>
                <w:szCs w:val="22"/>
              </w:rPr>
            </w:pPr>
            <w:r w:rsidRPr="00C035E2">
              <w:rPr>
                <w:color w:val="FFC000"/>
                <w:sz w:val="22"/>
                <w:szCs w:val="22"/>
              </w:rPr>
              <w:t>Pressure necrosis of skin or fat</w:t>
            </w:r>
          </w:p>
        </w:tc>
      </w:tr>
      <w:tr w:rsidR="00C070B9" w:rsidRPr="00C035E2" w14:paraId="50658718" w14:textId="77777777" w:rsidTr="00C070B9">
        <w:trPr>
          <w:trHeight w:val="510"/>
        </w:trPr>
        <w:tc>
          <w:tcPr>
            <w:tcW w:w="9322" w:type="dxa"/>
            <w:vAlign w:val="center"/>
          </w:tcPr>
          <w:p w14:paraId="700A2620" w14:textId="77777777" w:rsidR="00C070B9" w:rsidRPr="00C035E2" w:rsidRDefault="00C070B9" w:rsidP="00C070B9">
            <w:pPr>
              <w:jc w:val="center"/>
              <w:rPr>
                <w:sz w:val="22"/>
                <w:szCs w:val="22"/>
              </w:rPr>
            </w:pPr>
            <w:r w:rsidRPr="00C035E2">
              <w:rPr>
                <w:color w:val="FF0000"/>
                <w:sz w:val="22"/>
                <w:szCs w:val="22"/>
              </w:rPr>
              <w:t>Neonatal death</w:t>
            </w:r>
            <w:r>
              <w:rPr>
                <w:color w:val="FF0000"/>
                <w:sz w:val="22"/>
                <w:szCs w:val="22"/>
              </w:rPr>
              <w:t xml:space="preserve"> </w:t>
            </w:r>
          </w:p>
        </w:tc>
      </w:tr>
      <w:tr w:rsidR="00C070B9" w:rsidRPr="00C035E2" w14:paraId="30974F88" w14:textId="77777777" w:rsidTr="00C070B9">
        <w:trPr>
          <w:trHeight w:val="510"/>
        </w:trPr>
        <w:tc>
          <w:tcPr>
            <w:tcW w:w="9322" w:type="dxa"/>
            <w:vAlign w:val="center"/>
          </w:tcPr>
          <w:p w14:paraId="61FC8C18" w14:textId="77777777" w:rsidR="00C070B9" w:rsidRPr="00C035E2" w:rsidRDefault="00C070B9" w:rsidP="00C070B9">
            <w:pPr>
              <w:jc w:val="center"/>
              <w:rPr>
                <w:sz w:val="22"/>
                <w:szCs w:val="22"/>
              </w:rPr>
            </w:pPr>
            <w:r w:rsidRPr="003A57C6">
              <w:rPr>
                <w:b/>
                <w:szCs w:val="22"/>
              </w:rPr>
              <w:t>Device Outcomes</w:t>
            </w:r>
          </w:p>
        </w:tc>
      </w:tr>
      <w:tr w:rsidR="00C070B9" w:rsidRPr="00C035E2" w14:paraId="32E52EBB" w14:textId="77777777" w:rsidTr="00C070B9">
        <w:trPr>
          <w:trHeight w:val="510"/>
        </w:trPr>
        <w:tc>
          <w:tcPr>
            <w:tcW w:w="9322" w:type="dxa"/>
            <w:vAlign w:val="center"/>
          </w:tcPr>
          <w:p w14:paraId="37D2F3F1" w14:textId="77777777" w:rsidR="00C070B9" w:rsidRPr="00C035E2" w:rsidRDefault="00C070B9" w:rsidP="00C070B9">
            <w:pPr>
              <w:jc w:val="center"/>
              <w:rPr>
                <w:sz w:val="22"/>
                <w:szCs w:val="22"/>
              </w:rPr>
            </w:pPr>
            <w:r w:rsidRPr="00C035E2">
              <w:rPr>
                <w:color w:val="FFC000"/>
                <w:sz w:val="22"/>
                <w:szCs w:val="22"/>
              </w:rPr>
              <w:t>Failure to</w:t>
            </w:r>
            <w:r>
              <w:rPr>
                <w:color w:val="FFC000"/>
                <w:sz w:val="22"/>
                <w:szCs w:val="22"/>
              </w:rPr>
              <w:t xml:space="preserve"> complete delivery with Odon Device</w:t>
            </w:r>
          </w:p>
        </w:tc>
      </w:tr>
      <w:tr w:rsidR="00C070B9" w:rsidRPr="00C035E2" w14:paraId="0401EA3F" w14:textId="77777777" w:rsidTr="00C070B9">
        <w:trPr>
          <w:trHeight w:val="510"/>
        </w:trPr>
        <w:tc>
          <w:tcPr>
            <w:tcW w:w="9322" w:type="dxa"/>
            <w:vAlign w:val="center"/>
          </w:tcPr>
          <w:p w14:paraId="1D3E8F08" w14:textId="77777777" w:rsidR="00C070B9" w:rsidRPr="00C035E2" w:rsidRDefault="00C070B9" w:rsidP="00C070B9">
            <w:pPr>
              <w:jc w:val="center"/>
              <w:rPr>
                <w:sz w:val="22"/>
                <w:szCs w:val="22"/>
              </w:rPr>
            </w:pPr>
            <w:r w:rsidRPr="00C035E2">
              <w:rPr>
                <w:color w:val="FFC000"/>
                <w:sz w:val="22"/>
                <w:szCs w:val="22"/>
              </w:rPr>
              <w:t>Failure to apply the Odon device</w:t>
            </w:r>
          </w:p>
        </w:tc>
      </w:tr>
      <w:tr w:rsidR="00C070B9" w:rsidRPr="00C035E2" w14:paraId="5EC6A637" w14:textId="77777777" w:rsidTr="00C070B9">
        <w:trPr>
          <w:trHeight w:val="510"/>
        </w:trPr>
        <w:tc>
          <w:tcPr>
            <w:tcW w:w="9322" w:type="dxa"/>
            <w:vAlign w:val="center"/>
          </w:tcPr>
          <w:p w14:paraId="5884192D" w14:textId="77777777" w:rsidR="00C070B9" w:rsidRPr="00C035E2" w:rsidRDefault="00C070B9" w:rsidP="00C070B9">
            <w:pPr>
              <w:jc w:val="center"/>
              <w:rPr>
                <w:sz w:val="22"/>
                <w:szCs w:val="22"/>
              </w:rPr>
            </w:pPr>
            <w:r w:rsidRPr="00C035E2">
              <w:rPr>
                <w:color w:val="FFC000"/>
                <w:sz w:val="22"/>
                <w:szCs w:val="22"/>
              </w:rPr>
              <w:t>Failed inflation of air chamber</w:t>
            </w:r>
          </w:p>
        </w:tc>
      </w:tr>
      <w:tr w:rsidR="00C070B9" w:rsidRPr="00C035E2" w14:paraId="04EA7FBC" w14:textId="77777777" w:rsidTr="00C070B9">
        <w:trPr>
          <w:trHeight w:val="510"/>
        </w:trPr>
        <w:tc>
          <w:tcPr>
            <w:tcW w:w="9322" w:type="dxa"/>
            <w:vAlign w:val="center"/>
          </w:tcPr>
          <w:p w14:paraId="05E38824" w14:textId="77777777" w:rsidR="00C070B9" w:rsidRPr="00C035E2" w:rsidRDefault="00C070B9" w:rsidP="00C070B9">
            <w:pPr>
              <w:jc w:val="center"/>
              <w:rPr>
                <w:sz w:val="22"/>
                <w:szCs w:val="22"/>
              </w:rPr>
            </w:pPr>
            <w:r w:rsidRPr="00C035E2">
              <w:rPr>
                <w:color w:val="FFC000"/>
                <w:sz w:val="22"/>
                <w:szCs w:val="22"/>
              </w:rPr>
              <w:t>Failed deflation of air chamber</w:t>
            </w:r>
          </w:p>
        </w:tc>
      </w:tr>
      <w:tr w:rsidR="00C070B9" w:rsidRPr="00C035E2" w14:paraId="45C7C592" w14:textId="77777777" w:rsidTr="00C070B9">
        <w:trPr>
          <w:trHeight w:val="510"/>
        </w:trPr>
        <w:tc>
          <w:tcPr>
            <w:tcW w:w="9322" w:type="dxa"/>
            <w:vAlign w:val="center"/>
          </w:tcPr>
          <w:p w14:paraId="3332FAAE" w14:textId="77777777" w:rsidR="00C070B9" w:rsidRPr="00C035E2" w:rsidRDefault="00C070B9" w:rsidP="00C070B9">
            <w:pPr>
              <w:jc w:val="center"/>
              <w:rPr>
                <w:sz w:val="22"/>
                <w:szCs w:val="22"/>
              </w:rPr>
            </w:pPr>
            <w:r w:rsidRPr="00C035E2">
              <w:rPr>
                <w:color w:val="FF0000"/>
                <w:sz w:val="22"/>
                <w:szCs w:val="22"/>
              </w:rPr>
              <w:t>Failure to remove Odon device resulting in a caesarean section</w:t>
            </w:r>
          </w:p>
        </w:tc>
      </w:tr>
    </w:tbl>
    <w:p w14:paraId="1BF33C25" w14:textId="77777777" w:rsidR="00C070B9" w:rsidRPr="00635FEE" w:rsidRDefault="00C070B9" w:rsidP="00C070B9">
      <w:pPr>
        <w:spacing w:after="120"/>
        <w:rPr>
          <w:lang w:val="en-US"/>
        </w:rPr>
      </w:pPr>
    </w:p>
    <w:p w14:paraId="5D572391" w14:textId="77777777" w:rsidR="00C070B9" w:rsidRDefault="00C070B9" w:rsidP="00C070B9">
      <w:pPr>
        <w:spacing w:after="120"/>
        <w:rPr>
          <w:lang w:val="en-US"/>
        </w:rPr>
      </w:pPr>
      <w:r w:rsidRPr="00635FEE">
        <w:rPr>
          <w:lang w:val="en-US"/>
        </w:rPr>
        <w:t>Amber adverse outcomes are expected to occur during the study period.  These are outcomes that are associated with assisted vaginal birth and we are aware that many of these outcomes will occur during the study period.  The continuous review process will enable early identification (and</w:t>
      </w:r>
      <w:r>
        <w:rPr>
          <w:lang w:val="en-US"/>
        </w:rPr>
        <w:t xml:space="preserve"> potential for</w:t>
      </w:r>
      <w:r w:rsidRPr="00635FEE">
        <w:rPr>
          <w:lang w:val="en-US"/>
        </w:rPr>
        <w:t xml:space="preserve"> rectification) of any adverse outcomes.</w:t>
      </w:r>
    </w:p>
    <w:p w14:paraId="72FC607E" w14:textId="77777777" w:rsidR="00C070B9" w:rsidRDefault="00C070B9"/>
    <w:p w14:paraId="570EB46A" w14:textId="77777777" w:rsidR="00C070B9" w:rsidRDefault="00C070B9">
      <w:pPr>
        <w:rPr>
          <w:b/>
        </w:rPr>
      </w:pPr>
      <w:proofErr w:type="spellStart"/>
      <w:r>
        <w:rPr>
          <w:b/>
        </w:rPr>
        <w:t>Quinitial</w:t>
      </w:r>
      <w:proofErr w:type="spellEnd"/>
      <w:r>
        <w:rPr>
          <w:b/>
        </w:rPr>
        <w:t xml:space="preserve"> review</w:t>
      </w:r>
    </w:p>
    <w:p w14:paraId="6A2C1D0C" w14:textId="77777777" w:rsidR="00C070B9" w:rsidRDefault="00C070B9" w:rsidP="00C070B9">
      <w:r>
        <w:t>Following every fifth birth, a descriptive summary of selected outcomes from both the most recent five births and all births to date will be generated by the Trial Management Group and shared with the Sponsor.</w:t>
      </w:r>
    </w:p>
    <w:p w14:paraId="39634DB2" w14:textId="77777777" w:rsidR="00C070B9" w:rsidRDefault="00C070B9" w:rsidP="00C070B9">
      <w:pPr>
        <w:spacing w:after="120"/>
        <w:rPr>
          <w:lang w:val="en-US"/>
        </w:rPr>
      </w:pPr>
      <w:r w:rsidRPr="00635FEE">
        <w:rPr>
          <w:lang w:val="en-US"/>
        </w:rPr>
        <w:t xml:space="preserve">If two (of the same) </w:t>
      </w:r>
      <w:r>
        <w:rPr>
          <w:lang w:val="en-US"/>
        </w:rPr>
        <w:t xml:space="preserve">key </w:t>
      </w:r>
      <w:r w:rsidRPr="00635FEE">
        <w:rPr>
          <w:lang w:val="en-US"/>
        </w:rPr>
        <w:t xml:space="preserve">adverse </w:t>
      </w:r>
      <w:r>
        <w:rPr>
          <w:lang w:val="en-US"/>
        </w:rPr>
        <w:t xml:space="preserve">(amber) </w:t>
      </w:r>
      <w:r w:rsidRPr="00635FEE">
        <w:rPr>
          <w:lang w:val="en-US"/>
        </w:rPr>
        <w:t>outcomes</w:t>
      </w:r>
      <w:r>
        <w:rPr>
          <w:lang w:val="en-US"/>
        </w:rPr>
        <w:t xml:space="preserve"> (shown in table 2)</w:t>
      </w:r>
      <w:r w:rsidRPr="00635FEE">
        <w:rPr>
          <w:lang w:val="en-US"/>
        </w:rPr>
        <w:t xml:space="preserve"> are reported within </w:t>
      </w:r>
      <w:r>
        <w:rPr>
          <w:lang w:val="en-US"/>
        </w:rPr>
        <w:t>any sequential</w:t>
      </w:r>
      <w:r w:rsidRPr="00635FEE">
        <w:rPr>
          <w:lang w:val="en-US"/>
        </w:rPr>
        <w:t xml:space="preserve"> five births </w:t>
      </w:r>
      <w:r>
        <w:rPr>
          <w:lang w:val="en-US"/>
        </w:rPr>
        <w:t>an Root Cause Analysis will be undertaken and the trial may be paused in discussion with the Sponsor</w:t>
      </w:r>
      <w:r w:rsidRPr="00635FEE">
        <w:rPr>
          <w:lang w:val="en-US"/>
        </w:rPr>
        <w:t xml:space="preserve">.  Following the review, the </w:t>
      </w:r>
      <w:r>
        <w:rPr>
          <w:lang w:val="en-US"/>
        </w:rPr>
        <w:t>TSC</w:t>
      </w:r>
      <w:r w:rsidRPr="00635FEE">
        <w:rPr>
          <w:lang w:val="en-US"/>
        </w:rPr>
        <w:t xml:space="preserve"> </w:t>
      </w:r>
      <w:r>
        <w:rPr>
          <w:lang w:val="en-US"/>
        </w:rPr>
        <w:t>will make a recommendation to the</w:t>
      </w:r>
      <w:r w:rsidRPr="00635FEE">
        <w:rPr>
          <w:lang w:val="en-US"/>
        </w:rPr>
        <w:t xml:space="preserve"> Sponsor</w:t>
      </w:r>
      <w:r>
        <w:rPr>
          <w:lang w:val="en-US"/>
        </w:rPr>
        <w:t xml:space="preserve"> which</w:t>
      </w:r>
      <w:r w:rsidRPr="00635FEE">
        <w:rPr>
          <w:lang w:val="en-US"/>
        </w:rPr>
        <w:t xml:space="preserve"> will</w:t>
      </w:r>
      <w:r>
        <w:rPr>
          <w:lang w:val="en-US"/>
        </w:rPr>
        <w:t xml:space="preserve"> then</w:t>
      </w:r>
      <w:r w:rsidRPr="00635FEE">
        <w:rPr>
          <w:lang w:val="en-US"/>
        </w:rPr>
        <w:t xml:space="preserve"> decide whether to continue, revise or stop the trial. </w:t>
      </w:r>
    </w:p>
    <w:p w14:paraId="31A87491" w14:textId="77777777" w:rsidR="00C070B9" w:rsidRDefault="00C070B9">
      <w:pPr>
        <w:rPr>
          <w:b/>
        </w:rPr>
      </w:pPr>
    </w:p>
    <w:p w14:paraId="268C9C6B" w14:textId="77777777" w:rsidR="00C070B9" w:rsidRDefault="00C070B9">
      <w:pPr>
        <w:rPr>
          <w:b/>
        </w:rPr>
      </w:pPr>
      <w:r w:rsidRPr="00C070B9">
        <w:rPr>
          <w:b/>
        </w:rPr>
        <w:t>Interim and final analyses</w:t>
      </w:r>
    </w:p>
    <w:p w14:paraId="7B59821E" w14:textId="77777777" w:rsidR="00C070B9" w:rsidRPr="00C070B9" w:rsidRDefault="00C070B9">
      <w:r>
        <w:t>All study data will be reviewed after the 20</w:t>
      </w:r>
      <w:r w:rsidRPr="00C070B9">
        <w:rPr>
          <w:vertAlign w:val="superscript"/>
        </w:rPr>
        <w:t>th</w:t>
      </w:r>
      <w:r>
        <w:t xml:space="preserve"> birth (interim analysis) and 40</w:t>
      </w:r>
      <w:r w:rsidRPr="00C070B9">
        <w:rPr>
          <w:vertAlign w:val="superscript"/>
        </w:rPr>
        <w:t>th</w:t>
      </w:r>
      <w:r>
        <w:t xml:space="preserve"> birth (final analysis). Analyses will be presented to the IDMC who will provide a report to the TSC and Sponsor. </w:t>
      </w:r>
    </w:p>
    <w:sectPr w:rsidR="00C070B9" w:rsidRPr="00C070B9" w:rsidSect="00276F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09C9"/>
    <w:multiLevelType w:val="hybridMultilevel"/>
    <w:tmpl w:val="48D21AA8"/>
    <w:lvl w:ilvl="0" w:tplc="F7808F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C5D6E"/>
    <w:multiLevelType w:val="multilevel"/>
    <w:tmpl w:val="8C0E7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82B34A6"/>
    <w:multiLevelType w:val="hybridMultilevel"/>
    <w:tmpl w:val="236422A4"/>
    <w:lvl w:ilvl="0" w:tplc="0409000F">
      <w:start w:val="1"/>
      <w:numFmt w:val="decimal"/>
      <w:pStyle w:val="Heading1"/>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
    <w:nsid w:val="629D7DB3"/>
    <w:multiLevelType w:val="multilevel"/>
    <w:tmpl w:val="3ED0FC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DE"/>
    <w:rsid w:val="00276F9C"/>
    <w:rsid w:val="00493D0B"/>
    <w:rsid w:val="00572572"/>
    <w:rsid w:val="006650A1"/>
    <w:rsid w:val="009C22D8"/>
    <w:rsid w:val="00AB00C5"/>
    <w:rsid w:val="00C070B9"/>
    <w:rsid w:val="00C919DE"/>
    <w:rsid w:val="00DB323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167A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9DE"/>
    <w:pPr>
      <w:autoSpaceDE w:val="0"/>
      <w:autoSpaceDN w:val="0"/>
      <w:spacing w:line="360" w:lineRule="auto"/>
    </w:pPr>
    <w:rPr>
      <w:rFonts w:asciiTheme="majorHAnsi" w:eastAsia="Times New Roman" w:hAnsiTheme="majorHAnsi" w:cs="Times New Roman"/>
    </w:rPr>
  </w:style>
  <w:style w:type="paragraph" w:styleId="Heading1">
    <w:name w:val="heading 1"/>
    <w:basedOn w:val="Normal"/>
    <w:next w:val="Normal"/>
    <w:link w:val="Heading1Char"/>
    <w:autoRedefine/>
    <w:uiPriority w:val="9"/>
    <w:qFormat/>
    <w:rsid w:val="00493D0B"/>
    <w:pPr>
      <w:keepNext/>
      <w:keepLines/>
      <w:numPr>
        <w:numId w:val="3"/>
      </w:numPr>
      <w:autoSpaceDE/>
      <w:autoSpaceDN/>
      <w:spacing w:before="480" w:line="240" w:lineRule="auto"/>
      <w:ind w:left="432" w:hanging="432"/>
      <w:outlineLvl w:val="0"/>
    </w:pPr>
    <w:rPr>
      <w:rFonts w:eastAsiaTheme="majorEastAsia" w:cstheme="majorBidi"/>
      <w:b/>
      <w:bCs/>
      <w:color w:val="4F81BD" w:themeColor="accent1"/>
      <w:sz w:val="28"/>
      <w:szCs w:val="32"/>
    </w:rPr>
  </w:style>
  <w:style w:type="paragraph" w:styleId="Heading2">
    <w:name w:val="heading 2"/>
    <w:basedOn w:val="Normal"/>
    <w:next w:val="Normal"/>
    <w:link w:val="Heading2Char"/>
    <w:autoRedefine/>
    <w:uiPriority w:val="9"/>
    <w:unhideWhenUsed/>
    <w:qFormat/>
    <w:rsid w:val="009C22D8"/>
    <w:pPr>
      <w:keepNext/>
      <w:keepLines/>
      <w:autoSpaceDE/>
      <w:autoSpaceDN/>
      <w:spacing w:before="200" w:line="240" w:lineRule="auto"/>
      <w:ind w:left="360" w:hanging="36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2D8"/>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493D0B"/>
    <w:rPr>
      <w:rFonts w:asciiTheme="majorHAnsi" w:eastAsiaTheme="majorEastAsia" w:hAnsiTheme="majorHAnsi" w:cstheme="majorBidi"/>
      <w:b/>
      <w:bCs/>
      <w:color w:val="4F81BD" w:themeColor="accent1"/>
      <w:sz w:val="28"/>
      <w:szCs w:val="32"/>
    </w:rPr>
  </w:style>
  <w:style w:type="paragraph" w:styleId="Caption">
    <w:name w:val="caption"/>
    <w:basedOn w:val="Normal"/>
    <w:next w:val="Normal"/>
    <w:uiPriority w:val="35"/>
    <w:unhideWhenUsed/>
    <w:qFormat/>
    <w:rsid w:val="00C070B9"/>
    <w:pPr>
      <w:spacing w:after="200"/>
    </w:pPr>
    <w:rPr>
      <w:bCs/>
      <w:i/>
      <w:color w:val="000000" w:themeColor="text1"/>
      <w:sz w:val="18"/>
      <w:szCs w:val="18"/>
    </w:rPr>
  </w:style>
  <w:style w:type="table" w:styleId="TableGrid">
    <w:name w:val="Table Grid"/>
    <w:basedOn w:val="TableNormal"/>
    <w:uiPriority w:val="39"/>
    <w:rsid w:val="00C070B9"/>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2384</Characters>
  <Application>Microsoft Macintosh Word</Application>
  <DocSecurity>0</DocSecurity>
  <Lines>19</Lines>
  <Paragraphs>5</Paragraphs>
  <ScaleCrop>false</ScaleCrop>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Hotton</dc:creator>
  <cp:keywords/>
  <dc:description/>
  <cp:lastModifiedBy>Joanna Crofts</cp:lastModifiedBy>
  <cp:revision>2</cp:revision>
  <dcterms:created xsi:type="dcterms:W3CDTF">2018-11-20T22:11:00Z</dcterms:created>
  <dcterms:modified xsi:type="dcterms:W3CDTF">2018-11-20T22:11:00Z</dcterms:modified>
</cp:coreProperties>
</file>