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Times New Roman" w:hAnsi="Times New Roman"/>
          <w:szCs w:val="21"/>
          <w:lang w:val="en-GB"/>
        </w:rPr>
      </w:pPr>
      <w:r>
        <w:rPr>
          <w:rFonts w:ascii="Times New Roman" w:hAnsi="Times New Roman"/>
          <w:b/>
          <w:bCs/>
          <w:szCs w:val="21"/>
          <w:lang w:val="en-GB"/>
        </w:rPr>
        <w:t>The definition and assignment of each clinical indicator for the multivariate analysis</w:t>
      </w:r>
    </w:p>
    <w:p>
      <w:pPr>
        <w:spacing w:line="480" w:lineRule="auto"/>
        <w:outlineLvl w:val="0"/>
        <w:rPr>
          <w:rFonts w:ascii="Times New Roman" w:hAnsi="Times New Roman"/>
          <w:szCs w:val="21"/>
          <w:lang w:val="en-GB"/>
        </w:rPr>
      </w:pPr>
      <w:r>
        <w:rPr>
          <w:rFonts w:ascii="Times New Roman" w:hAnsi="Times New Roman"/>
          <w:szCs w:val="21"/>
          <w:lang w:val="en-GB"/>
        </w:rPr>
        <w:t>Explanations of Influencing Factors for after 2 h of HFNC treatment</w:t>
      </w:r>
    </w:p>
    <w:p>
      <w:pPr>
        <w:spacing w:line="480" w:lineRule="auto"/>
        <w:ind w:firstLine="420" w:firstLineChars="200"/>
        <w:rPr>
          <w:rFonts w:ascii="Times New Roman" w:hAnsi="Times New Roman"/>
          <w:szCs w:val="21"/>
          <w:lang w:val="en-GB"/>
        </w:rPr>
      </w:pPr>
      <w:r>
        <w:rPr>
          <w:rFonts w:ascii="Times New Roman" w:hAnsi="Times New Roman" w:eastAsia="黑体"/>
          <w:szCs w:val="21"/>
          <w:lang w:val="en-GB"/>
        </w:rPr>
        <w:t xml:space="preserve">To </w:t>
      </w:r>
      <w:r>
        <w:rPr>
          <w:rFonts w:ascii="Times New Roman" w:hAnsi="Times New Roman"/>
          <w:szCs w:val="21"/>
          <w:lang w:val="en-GB"/>
        </w:rPr>
        <w:t xml:space="preserve">further </w:t>
      </w:r>
      <w:r>
        <w:rPr>
          <w:rFonts w:ascii="Times New Roman" w:hAnsi="Times New Roman" w:eastAsia="黑体"/>
          <w:szCs w:val="21"/>
          <w:lang w:val="en-GB"/>
        </w:rPr>
        <w:t xml:space="preserve">discuss </w:t>
      </w:r>
      <w:r>
        <w:rPr>
          <w:rFonts w:ascii="Times New Roman" w:hAnsi="Times New Roman"/>
          <w:szCs w:val="21"/>
          <w:lang w:val="en-GB"/>
        </w:rPr>
        <w:t xml:space="preserve">the influence of the clinical </w:t>
      </w:r>
      <w:r>
        <w:rPr>
          <w:rFonts w:ascii="Times New Roman" w:hAnsi="Times New Roman" w:eastAsia="黑体"/>
          <w:szCs w:val="21"/>
          <w:lang w:val="en-GB"/>
        </w:rPr>
        <w:t>index</w:t>
      </w:r>
      <w:r>
        <w:rPr>
          <w:rFonts w:ascii="Times New Roman" w:hAnsi="Times New Roman"/>
          <w:szCs w:val="21"/>
          <w:lang w:val="en-GB"/>
        </w:rPr>
        <w:t xml:space="preserve"> change trends after 2 h of HFNC treatment </w:t>
      </w:r>
      <w:r>
        <w:rPr>
          <w:rFonts w:ascii="Times New Roman" w:hAnsi="Times New Roman" w:eastAsia="黑体"/>
          <w:szCs w:val="21"/>
          <w:lang w:val="en-GB"/>
        </w:rPr>
        <w:t>on</w:t>
      </w:r>
      <w:r>
        <w:rPr>
          <w:rFonts w:ascii="Times New Roman" w:hAnsi="Times New Roman"/>
          <w:szCs w:val="21"/>
          <w:lang w:val="en-GB"/>
        </w:rPr>
        <w:t xml:space="preserve"> the prediction of early failure of HFNC,confounding factors were excluded</w:t>
      </w:r>
      <w:r>
        <w:rPr>
          <w:rFonts w:ascii="Times New Roman" w:hAnsi="Times New Roman" w:eastAsia="黑体"/>
          <w:szCs w:val="21"/>
          <w:lang w:val="en-GB"/>
        </w:rPr>
        <w:t>,</w:t>
      </w:r>
      <w:r>
        <w:rPr>
          <w:rFonts w:ascii="Times New Roman" w:hAnsi="Times New Roman"/>
          <w:szCs w:val="21"/>
          <w:lang w:val="en-GB"/>
        </w:rPr>
        <w:t xml:space="preserve">and a </w:t>
      </w:r>
      <w:r>
        <w:rPr>
          <w:rFonts w:ascii="Times New Roman" w:hAnsi="Times New Roman" w:eastAsia="黑体"/>
          <w:szCs w:val="21"/>
          <w:lang w:val="en-GB"/>
        </w:rPr>
        <w:t>multifactor</w:t>
      </w:r>
      <w:r>
        <w:rPr>
          <w:rFonts w:ascii="Times New Roman" w:hAnsi="Times New Roman"/>
          <w:szCs w:val="21"/>
          <w:lang w:val="en-GB"/>
        </w:rPr>
        <w:t xml:space="preserve"> analysis was carried out on the basis of a single factor analysis.The definitions and values of the clinical indexes used in the multivariate analysis </w:t>
      </w:r>
      <w:r>
        <w:rPr>
          <w:rFonts w:ascii="Times New Roman" w:hAnsi="Times New Roman" w:eastAsia="黑体"/>
          <w:szCs w:val="21"/>
          <w:lang w:val="en-GB"/>
        </w:rPr>
        <w:t>are</w:t>
      </w:r>
      <w:r>
        <w:rPr>
          <w:rFonts w:ascii="Times New Roman" w:hAnsi="Times New Roman"/>
          <w:szCs w:val="21"/>
          <w:lang w:val="en-GB"/>
        </w:rPr>
        <w:t xml:space="preserve"> shown in Table </w:t>
      </w:r>
      <w:r>
        <w:rPr>
          <w:rFonts w:hint="eastAsia" w:ascii="Times New Roman" w:hAnsi="Times New Roman"/>
          <w:szCs w:val="21"/>
          <w:lang w:val="en-US" w:eastAsia="zh-CN"/>
        </w:rPr>
        <w:t>1</w:t>
      </w:r>
      <w:r>
        <w:rPr>
          <w:rFonts w:ascii="Times New Roman" w:hAnsi="Times New Roman"/>
          <w:szCs w:val="21"/>
          <w:lang w:val="en-GB"/>
        </w:rPr>
        <w:t>.</w:t>
      </w:r>
    </w:p>
    <w:p>
      <w:pPr>
        <w:spacing w:line="360" w:lineRule="auto"/>
        <w:jc w:val="left"/>
        <w:rPr>
          <w:rFonts w:ascii="Arial" w:hAnsi="Arial" w:cs="Arial"/>
          <w:bCs/>
          <w:sz w:val="18"/>
          <w:szCs w:val="18"/>
          <w:lang w:val="en-GB"/>
        </w:rPr>
      </w:pPr>
      <w:r>
        <w:rPr>
          <w:rFonts w:ascii="Arial" w:hAnsi="Arial" w:cs="Arial"/>
          <w:bCs/>
          <w:sz w:val="18"/>
          <w:szCs w:val="18"/>
          <w:lang w:val="en-GB"/>
        </w:rPr>
        <w:t xml:space="preserve">Table 1 Explanations of the Influencing Factors for </w:t>
      </w:r>
      <w:r>
        <w:rPr>
          <w:rFonts w:ascii="Arial" w:hAnsi="Arial" w:cs="Arial"/>
          <w:sz w:val="18"/>
          <w:szCs w:val="18"/>
          <w:lang w:val="en-GB"/>
        </w:rPr>
        <w:t>high-flow nasal cannula oxygen therapy</w:t>
      </w:r>
      <w:r>
        <w:rPr>
          <w:rFonts w:ascii="Arial" w:hAnsi="Arial" w:cs="Arial"/>
          <w:bCs/>
          <w:sz w:val="18"/>
          <w:szCs w:val="18"/>
          <w:lang w:val="en-GB"/>
        </w:rPr>
        <w:t xml:space="preserve"> Failure Used in the Logistic Regression Analysis</w:t>
      </w:r>
    </w:p>
    <w:tbl>
      <w:tblPr>
        <w:tblStyle w:val="4"/>
        <w:tblW w:w="8159" w:type="dxa"/>
        <w:tblInd w:w="0" w:type="dxa"/>
        <w:tblLayout w:type="fixed"/>
        <w:tblCellMar>
          <w:top w:w="15" w:type="dxa"/>
          <w:left w:w="15" w:type="dxa"/>
          <w:bottom w:w="15" w:type="dxa"/>
          <w:right w:w="15" w:type="dxa"/>
        </w:tblCellMar>
      </w:tblPr>
      <w:tblGrid>
        <w:gridCol w:w="962"/>
        <w:gridCol w:w="2503"/>
        <w:gridCol w:w="4694"/>
      </w:tblGrid>
      <w:tr>
        <w:tblPrEx>
          <w:tblCellMar>
            <w:top w:w="15" w:type="dxa"/>
            <w:left w:w="15" w:type="dxa"/>
            <w:bottom w:w="15" w:type="dxa"/>
            <w:right w:w="15" w:type="dxa"/>
          </w:tblCellMar>
        </w:tblPrEx>
        <w:trPr>
          <w:trHeight w:val="505" w:hRule="atLeast"/>
        </w:trPr>
        <w:tc>
          <w:tcPr>
            <w:tcW w:w="962" w:type="dxa"/>
            <w:tcBorders>
              <w:top w:val="single" w:color="auto" w:sz="4" w:space="0"/>
              <w:bottom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 xml:space="preserve">Variable </w:t>
            </w:r>
          </w:p>
        </w:tc>
        <w:tc>
          <w:tcPr>
            <w:tcW w:w="2503" w:type="dxa"/>
            <w:tcBorders>
              <w:top w:val="single" w:color="auto" w:sz="4" w:space="0"/>
              <w:bottom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Variable item</w:t>
            </w:r>
          </w:p>
        </w:tc>
        <w:tc>
          <w:tcPr>
            <w:tcW w:w="4694" w:type="dxa"/>
            <w:tcBorders>
              <w:top w:val="single" w:color="auto" w:sz="4" w:space="0"/>
              <w:bottom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Variable value range and explanation</w:t>
            </w:r>
          </w:p>
        </w:tc>
      </w:tr>
      <w:tr>
        <w:tblPrEx>
          <w:tblCellMar>
            <w:top w:w="15" w:type="dxa"/>
            <w:left w:w="15" w:type="dxa"/>
            <w:bottom w:w="15" w:type="dxa"/>
            <w:right w:w="15" w:type="dxa"/>
          </w:tblCellMar>
        </w:tblPrEx>
        <w:trPr>
          <w:trHeight w:val="577" w:hRule="atLeast"/>
        </w:trPr>
        <w:tc>
          <w:tcPr>
            <w:tcW w:w="962" w:type="dxa"/>
            <w:tcBorders>
              <w:top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Y</w:t>
            </w:r>
          </w:p>
        </w:tc>
        <w:tc>
          <w:tcPr>
            <w:tcW w:w="2503" w:type="dxa"/>
            <w:tcBorders>
              <w:top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HFNC failed</w:t>
            </w:r>
          </w:p>
        </w:tc>
        <w:tc>
          <w:tcPr>
            <w:tcW w:w="4694" w:type="dxa"/>
            <w:tcBorders>
              <w:top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no=1</w:t>
            </w:r>
            <w:r>
              <w:rPr>
                <w:rFonts w:hint="eastAsia" w:ascii="Arial" w:hAnsi="Arial" w:cs="Arial"/>
                <w:sz w:val="18"/>
                <w:szCs w:val="18"/>
                <w:lang w:val="en-GB"/>
              </w:rPr>
              <w:t>，</w:t>
            </w:r>
            <w:r>
              <w:rPr>
                <w:rFonts w:ascii="Arial" w:hAnsi="Arial" w:cs="Arial"/>
                <w:sz w:val="18"/>
                <w:szCs w:val="18"/>
                <w:lang w:val="en-GB"/>
              </w:rPr>
              <w:t>yes=2</w:t>
            </w:r>
          </w:p>
        </w:tc>
      </w:tr>
      <w:tr>
        <w:tblPrEx>
          <w:tblCellMar>
            <w:top w:w="15" w:type="dxa"/>
            <w:left w:w="15" w:type="dxa"/>
            <w:bottom w:w="15" w:type="dxa"/>
            <w:right w:w="15" w:type="dxa"/>
          </w:tblCellMar>
        </w:tblPrEx>
        <w:trPr>
          <w:trHeight w:val="567" w:hRule="atLeast"/>
        </w:trPr>
        <w:tc>
          <w:tcPr>
            <w:tcW w:w="962" w:type="dxa"/>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X 1</w:t>
            </w:r>
          </w:p>
        </w:tc>
        <w:tc>
          <w:tcPr>
            <w:tcW w:w="2503" w:type="dxa"/>
            <w:noWrap w:val="0"/>
            <w:vAlign w:val="bottom"/>
          </w:tcPr>
          <w:p>
            <w:pPr>
              <w:spacing w:line="360" w:lineRule="auto"/>
              <w:ind w:firstLine="720" w:firstLineChars="400"/>
              <w:rPr>
                <w:rFonts w:ascii="Arial" w:hAnsi="Arial" w:cs="Arial"/>
                <w:sz w:val="18"/>
                <w:szCs w:val="18"/>
                <w:lang w:val="en-GB"/>
              </w:rPr>
            </w:pPr>
            <w:r>
              <w:rPr>
                <w:rFonts w:ascii="Cambria Math" w:hAnsi="Cambria Math" w:cs="Cambria Math"/>
                <w:sz w:val="18"/>
                <w:szCs w:val="18"/>
                <w:lang w:val="en-GB"/>
              </w:rPr>
              <w:t>△</w:t>
            </w:r>
            <w:r>
              <w:rPr>
                <w:rFonts w:ascii="Arial" w:hAnsi="Arial" w:cs="Arial"/>
                <w:sz w:val="18"/>
                <w:szCs w:val="18"/>
                <w:lang w:val="en-GB"/>
              </w:rPr>
              <w:t>PEWS%</w:t>
            </w:r>
          </w:p>
        </w:tc>
        <w:tc>
          <w:tcPr>
            <w:tcW w:w="4694" w:type="dxa"/>
            <w:noWrap w:val="0"/>
            <w:vAlign w:val="bottom"/>
          </w:tcPr>
          <w:p>
            <w:pPr>
              <w:spacing w:line="360" w:lineRule="auto"/>
              <w:ind w:firstLine="360" w:firstLineChars="200"/>
              <w:rPr>
                <w:rFonts w:ascii="Arial" w:hAnsi="Arial" w:cs="Arial"/>
                <w:sz w:val="18"/>
                <w:szCs w:val="18"/>
                <w:lang w:val="en-GB"/>
              </w:rPr>
            </w:pPr>
            <w:r>
              <w:rPr>
                <w:rFonts w:ascii="Arial" w:hAnsi="Arial" w:cs="Arial"/>
                <w:sz w:val="18"/>
                <w:szCs w:val="18"/>
                <w:lang w:val="en-GB"/>
              </w:rPr>
              <w:t>1=decrease rate ≤14%</w:t>
            </w:r>
            <w:r>
              <w:rPr>
                <w:rFonts w:hint="eastAsia" w:ascii="Arial" w:hAnsi="Arial" w:cs="Arial"/>
                <w:sz w:val="18"/>
                <w:szCs w:val="18"/>
                <w:lang w:val="en-GB"/>
              </w:rPr>
              <w:t>，</w:t>
            </w:r>
            <w:r>
              <w:rPr>
                <w:rFonts w:ascii="Arial" w:hAnsi="Arial" w:cs="Arial"/>
                <w:sz w:val="18"/>
                <w:szCs w:val="18"/>
                <w:lang w:val="en-GB"/>
              </w:rPr>
              <w:t xml:space="preserve">2= decrease rate </w:t>
            </w:r>
            <w:r>
              <w:rPr>
                <w:rFonts w:hint="eastAsia" w:ascii="Arial" w:hAnsi="Arial" w:cs="Arial"/>
                <w:sz w:val="18"/>
                <w:szCs w:val="18"/>
                <w:lang w:val="en-GB"/>
              </w:rPr>
              <w:t>＞</w:t>
            </w:r>
            <w:r>
              <w:rPr>
                <w:rFonts w:ascii="Arial" w:hAnsi="Arial" w:cs="Arial"/>
                <w:sz w:val="18"/>
                <w:szCs w:val="18"/>
                <w:lang w:val="en-GB"/>
              </w:rPr>
              <w:t>14%</w:t>
            </w:r>
          </w:p>
        </w:tc>
      </w:tr>
      <w:tr>
        <w:tblPrEx>
          <w:tblCellMar>
            <w:top w:w="15" w:type="dxa"/>
            <w:left w:w="15" w:type="dxa"/>
            <w:bottom w:w="15" w:type="dxa"/>
            <w:right w:w="15" w:type="dxa"/>
          </w:tblCellMar>
        </w:tblPrEx>
        <w:trPr>
          <w:trHeight w:val="495" w:hRule="atLeast"/>
        </w:trPr>
        <w:tc>
          <w:tcPr>
            <w:tcW w:w="962" w:type="dxa"/>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X 2</w:t>
            </w:r>
          </w:p>
        </w:tc>
        <w:tc>
          <w:tcPr>
            <w:tcW w:w="2503" w:type="dxa"/>
            <w:noWrap w:val="0"/>
            <w:vAlign w:val="bottom"/>
          </w:tcPr>
          <w:p>
            <w:pPr>
              <w:spacing w:line="360" w:lineRule="auto"/>
              <w:jc w:val="center"/>
              <w:rPr>
                <w:rFonts w:ascii="Arial" w:hAnsi="Arial" w:cs="Arial"/>
                <w:sz w:val="18"/>
                <w:szCs w:val="18"/>
                <w:lang w:val="en-GB"/>
              </w:rPr>
            </w:pPr>
            <w:r>
              <w:rPr>
                <w:rFonts w:ascii="Cambria Math" w:hAnsi="Cambria Math" w:cs="Cambria Math"/>
                <w:sz w:val="18"/>
                <w:szCs w:val="18"/>
                <w:lang w:val="en-GB"/>
              </w:rPr>
              <w:t>△</w:t>
            </w:r>
            <w:r>
              <w:rPr>
                <w:rFonts w:ascii="Arial" w:hAnsi="Arial" w:cs="Arial"/>
                <w:sz w:val="18"/>
                <w:szCs w:val="18"/>
                <w:lang w:val="en-GB"/>
              </w:rPr>
              <w:t>oxygen saturation index%</w:t>
            </w:r>
          </w:p>
        </w:tc>
        <w:tc>
          <w:tcPr>
            <w:tcW w:w="4694" w:type="dxa"/>
            <w:noWrap w:val="0"/>
            <w:vAlign w:val="top"/>
          </w:tcPr>
          <w:p>
            <w:pPr>
              <w:jc w:val="center"/>
              <w:rPr>
                <w:rFonts w:ascii="Arial" w:hAnsi="Arial" w:cs="Arial"/>
                <w:sz w:val="18"/>
                <w:szCs w:val="18"/>
                <w:lang w:val="en-GB"/>
              </w:rPr>
            </w:pPr>
            <w:r>
              <w:rPr>
                <w:rFonts w:ascii="Arial" w:hAnsi="Arial" w:cs="Arial"/>
                <w:sz w:val="18"/>
                <w:szCs w:val="18"/>
                <w:lang w:val="en-GB"/>
              </w:rPr>
              <w:t>1=decrease rate ≤13%</w:t>
            </w:r>
            <w:r>
              <w:rPr>
                <w:rFonts w:hint="eastAsia" w:ascii="Arial" w:hAnsi="Arial" w:cs="Arial"/>
                <w:sz w:val="18"/>
                <w:szCs w:val="18"/>
                <w:lang w:val="en-GB"/>
              </w:rPr>
              <w:t>，</w:t>
            </w:r>
            <w:r>
              <w:rPr>
                <w:rFonts w:ascii="Arial" w:hAnsi="Arial" w:cs="Arial"/>
                <w:sz w:val="18"/>
                <w:szCs w:val="18"/>
                <w:lang w:val="en-GB"/>
              </w:rPr>
              <w:t xml:space="preserve">2= decrease rate </w:t>
            </w:r>
            <w:r>
              <w:rPr>
                <w:rFonts w:hint="eastAsia" w:ascii="Arial" w:hAnsi="Arial" w:cs="Arial"/>
                <w:sz w:val="18"/>
                <w:szCs w:val="18"/>
                <w:lang w:val="en-GB"/>
              </w:rPr>
              <w:t>＞</w:t>
            </w:r>
            <w:r>
              <w:rPr>
                <w:rFonts w:ascii="Arial" w:hAnsi="Arial" w:cs="Arial"/>
                <w:sz w:val="18"/>
                <w:szCs w:val="18"/>
                <w:lang w:val="en-GB"/>
              </w:rPr>
              <w:t>13%</w:t>
            </w:r>
          </w:p>
        </w:tc>
      </w:tr>
      <w:tr>
        <w:tblPrEx>
          <w:tblCellMar>
            <w:top w:w="15" w:type="dxa"/>
            <w:left w:w="15" w:type="dxa"/>
            <w:bottom w:w="15" w:type="dxa"/>
            <w:right w:w="15" w:type="dxa"/>
          </w:tblCellMar>
        </w:tblPrEx>
        <w:trPr>
          <w:trHeight w:val="495" w:hRule="atLeast"/>
        </w:trPr>
        <w:tc>
          <w:tcPr>
            <w:tcW w:w="962" w:type="dxa"/>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X 3</w:t>
            </w:r>
          </w:p>
        </w:tc>
        <w:tc>
          <w:tcPr>
            <w:tcW w:w="2503" w:type="dxa"/>
            <w:noWrap w:val="0"/>
            <w:vAlign w:val="bottom"/>
          </w:tcPr>
          <w:p>
            <w:pPr>
              <w:spacing w:line="360" w:lineRule="auto"/>
              <w:jc w:val="center"/>
              <w:rPr>
                <w:rFonts w:ascii="Arial" w:hAnsi="Arial" w:cs="Arial"/>
                <w:sz w:val="18"/>
                <w:szCs w:val="18"/>
                <w:lang w:val="en-GB"/>
              </w:rPr>
            </w:pPr>
            <w:bookmarkStart w:id="0" w:name="_Hlk14484178"/>
            <w:r>
              <w:rPr>
                <w:rFonts w:ascii="Cambria Math" w:hAnsi="Cambria Math" w:cs="Cambria Math"/>
                <w:sz w:val="18"/>
                <w:szCs w:val="18"/>
                <w:lang w:val="en-GB"/>
              </w:rPr>
              <w:t>△</w:t>
            </w:r>
            <w:r>
              <w:rPr>
                <w:rFonts w:ascii="Arial" w:hAnsi="Arial" w:cs="Arial"/>
                <w:sz w:val="18"/>
                <w:szCs w:val="18"/>
                <w:lang w:val="en-GB"/>
              </w:rPr>
              <w:t>oxygenation index%</w:t>
            </w:r>
            <w:bookmarkEnd w:id="0"/>
          </w:p>
        </w:tc>
        <w:tc>
          <w:tcPr>
            <w:tcW w:w="4694" w:type="dxa"/>
            <w:noWrap w:val="0"/>
            <w:vAlign w:val="top"/>
          </w:tcPr>
          <w:p>
            <w:pPr>
              <w:jc w:val="center"/>
              <w:rPr>
                <w:rFonts w:ascii="Arial" w:hAnsi="Arial" w:cs="Arial"/>
                <w:sz w:val="18"/>
                <w:szCs w:val="18"/>
                <w:lang w:val="en-GB"/>
              </w:rPr>
            </w:pPr>
            <w:r>
              <w:rPr>
                <w:rFonts w:ascii="Arial" w:hAnsi="Arial" w:cs="Arial"/>
                <w:sz w:val="18"/>
                <w:szCs w:val="18"/>
                <w:lang w:val="en-GB"/>
              </w:rPr>
              <w:t>1=decrease rate ≤28%</w:t>
            </w:r>
            <w:r>
              <w:rPr>
                <w:rFonts w:hint="eastAsia" w:ascii="Arial" w:hAnsi="Arial" w:cs="Arial"/>
                <w:sz w:val="18"/>
                <w:szCs w:val="18"/>
                <w:lang w:val="en-GB"/>
              </w:rPr>
              <w:t>，</w:t>
            </w:r>
            <w:r>
              <w:rPr>
                <w:rFonts w:ascii="Arial" w:hAnsi="Arial" w:cs="Arial"/>
                <w:sz w:val="18"/>
                <w:szCs w:val="18"/>
                <w:lang w:val="en-GB"/>
              </w:rPr>
              <w:t xml:space="preserve">2= decrease rate </w:t>
            </w:r>
            <w:r>
              <w:rPr>
                <w:rFonts w:hint="eastAsia" w:ascii="Arial" w:hAnsi="Arial" w:cs="Arial"/>
                <w:sz w:val="18"/>
                <w:szCs w:val="18"/>
                <w:lang w:val="en-GB"/>
              </w:rPr>
              <w:t>＞</w:t>
            </w:r>
            <w:r>
              <w:rPr>
                <w:rFonts w:ascii="Arial" w:hAnsi="Arial" w:cs="Arial"/>
                <w:sz w:val="18"/>
                <w:szCs w:val="18"/>
                <w:lang w:val="en-GB"/>
              </w:rPr>
              <w:t>28%</w:t>
            </w:r>
          </w:p>
        </w:tc>
      </w:tr>
      <w:tr>
        <w:tblPrEx>
          <w:tblCellMar>
            <w:top w:w="15" w:type="dxa"/>
            <w:left w:w="15" w:type="dxa"/>
            <w:bottom w:w="15" w:type="dxa"/>
            <w:right w:w="15" w:type="dxa"/>
          </w:tblCellMar>
        </w:tblPrEx>
        <w:trPr>
          <w:trHeight w:val="495" w:hRule="atLeast"/>
        </w:trPr>
        <w:tc>
          <w:tcPr>
            <w:tcW w:w="962" w:type="dxa"/>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X 4</w:t>
            </w:r>
          </w:p>
        </w:tc>
        <w:tc>
          <w:tcPr>
            <w:tcW w:w="2503" w:type="dxa"/>
            <w:noWrap w:val="0"/>
            <w:vAlign w:val="bottom"/>
          </w:tcPr>
          <w:p>
            <w:pPr>
              <w:spacing w:line="360" w:lineRule="auto"/>
              <w:jc w:val="center"/>
              <w:rPr>
                <w:rFonts w:ascii="Arial" w:hAnsi="Arial" w:cs="Arial"/>
                <w:sz w:val="18"/>
                <w:szCs w:val="18"/>
                <w:lang w:val="en-GB"/>
              </w:rPr>
            </w:pPr>
            <w:r>
              <w:rPr>
                <w:rFonts w:ascii="Cambria Math" w:hAnsi="Cambria Math" w:cs="Cambria Math"/>
                <w:sz w:val="18"/>
                <w:szCs w:val="18"/>
                <w:lang w:val="en-GB"/>
              </w:rPr>
              <w:t>△</w:t>
            </w:r>
            <w:r>
              <w:rPr>
                <w:rFonts w:ascii="Arial" w:hAnsi="Arial" w:cs="Arial"/>
                <w:bCs/>
                <w:sz w:val="18"/>
                <w:szCs w:val="18"/>
                <w:lang w:val="en-GB"/>
              </w:rPr>
              <w:t>pH</w:t>
            </w:r>
            <w:r>
              <w:rPr>
                <w:rFonts w:ascii="Arial" w:hAnsi="Arial" w:cs="Arial"/>
                <w:sz w:val="18"/>
                <w:szCs w:val="18"/>
                <w:lang w:val="en-GB"/>
              </w:rPr>
              <w:t>%</w:t>
            </w:r>
          </w:p>
        </w:tc>
        <w:tc>
          <w:tcPr>
            <w:tcW w:w="4694" w:type="dxa"/>
            <w:noWrap w:val="0"/>
            <w:vAlign w:val="top"/>
          </w:tcPr>
          <w:p>
            <w:pPr>
              <w:jc w:val="center"/>
              <w:rPr>
                <w:rFonts w:ascii="Arial" w:hAnsi="Arial" w:cs="Arial"/>
                <w:sz w:val="18"/>
                <w:szCs w:val="18"/>
                <w:lang w:val="en-GB"/>
              </w:rPr>
            </w:pPr>
            <w:r>
              <w:rPr>
                <w:rFonts w:ascii="Arial" w:hAnsi="Arial" w:cs="Arial"/>
                <w:sz w:val="18"/>
                <w:szCs w:val="18"/>
                <w:lang w:val="en-GB"/>
              </w:rPr>
              <w:t>1=decrease rate ≤0.3%</w:t>
            </w:r>
            <w:r>
              <w:rPr>
                <w:rFonts w:hint="eastAsia" w:ascii="Arial" w:hAnsi="Arial" w:cs="Arial"/>
                <w:sz w:val="18"/>
                <w:szCs w:val="18"/>
                <w:lang w:val="en-GB"/>
              </w:rPr>
              <w:t>，</w:t>
            </w:r>
            <w:r>
              <w:rPr>
                <w:rFonts w:ascii="Arial" w:hAnsi="Arial" w:cs="Arial"/>
                <w:sz w:val="18"/>
                <w:szCs w:val="18"/>
                <w:lang w:val="en-GB"/>
              </w:rPr>
              <w:t xml:space="preserve">2= decrease rate </w:t>
            </w:r>
            <w:r>
              <w:rPr>
                <w:rFonts w:hint="eastAsia" w:ascii="Arial" w:hAnsi="Arial" w:cs="Arial"/>
                <w:sz w:val="18"/>
                <w:szCs w:val="18"/>
                <w:lang w:val="en-GB"/>
              </w:rPr>
              <w:t>＞</w:t>
            </w:r>
            <w:r>
              <w:rPr>
                <w:rFonts w:ascii="Arial" w:hAnsi="Arial" w:cs="Arial"/>
                <w:sz w:val="18"/>
                <w:szCs w:val="18"/>
                <w:lang w:val="en-GB"/>
              </w:rPr>
              <w:t>0.3%</w:t>
            </w:r>
          </w:p>
        </w:tc>
      </w:tr>
      <w:tr>
        <w:tblPrEx>
          <w:tblCellMar>
            <w:top w:w="15" w:type="dxa"/>
            <w:left w:w="15" w:type="dxa"/>
            <w:bottom w:w="15" w:type="dxa"/>
            <w:right w:w="15" w:type="dxa"/>
          </w:tblCellMar>
        </w:tblPrEx>
        <w:trPr>
          <w:trHeight w:val="721" w:hRule="atLeast"/>
        </w:trPr>
        <w:tc>
          <w:tcPr>
            <w:tcW w:w="962" w:type="dxa"/>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X 5</w:t>
            </w:r>
          </w:p>
        </w:tc>
        <w:tc>
          <w:tcPr>
            <w:tcW w:w="2503" w:type="dxa"/>
            <w:noWrap w:val="0"/>
            <w:vAlign w:val="bottom"/>
          </w:tcPr>
          <w:p>
            <w:pPr>
              <w:spacing w:line="360" w:lineRule="auto"/>
              <w:jc w:val="center"/>
              <w:rPr>
                <w:rFonts w:ascii="Arial" w:hAnsi="Arial" w:cs="Arial"/>
                <w:sz w:val="18"/>
                <w:szCs w:val="18"/>
                <w:vertAlign w:val="subscript"/>
                <w:lang w:val="en-GB"/>
              </w:rPr>
            </w:pPr>
            <w:r>
              <w:rPr>
                <w:rFonts w:ascii="Arial" w:hAnsi="Arial" w:cs="Arial"/>
                <w:sz w:val="18"/>
                <w:szCs w:val="18"/>
                <w:lang w:val="en-GB"/>
              </w:rPr>
              <w:t>PaO</w:t>
            </w:r>
            <w:r>
              <w:rPr>
                <w:rFonts w:ascii="Arial" w:hAnsi="Arial" w:cs="Arial"/>
                <w:sz w:val="18"/>
                <w:szCs w:val="18"/>
                <w:vertAlign w:val="subscript"/>
                <w:lang w:val="en-GB"/>
              </w:rPr>
              <w:t>2</w:t>
            </w:r>
            <w:r>
              <w:rPr>
                <w:rFonts w:ascii="Arial" w:hAnsi="Arial" w:cs="Arial"/>
                <w:sz w:val="18"/>
                <w:szCs w:val="18"/>
                <w:lang w:val="en-GB"/>
              </w:rPr>
              <w:t>(after treatment)</w:t>
            </w:r>
          </w:p>
        </w:tc>
        <w:tc>
          <w:tcPr>
            <w:tcW w:w="4694" w:type="dxa"/>
            <w:noWrap w:val="0"/>
            <w:vAlign w:val="top"/>
          </w:tcPr>
          <w:p>
            <w:pPr>
              <w:jc w:val="center"/>
              <w:rPr>
                <w:rFonts w:ascii="Arial" w:hAnsi="Arial" w:cs="Arial"/>
                <w:sz w:val="18"/>
                <w:szCs w:val="18"/>
                <w:lang w:val="en-GB"/>
              </w:rPr>
            </w:pPr>
          </w:p>
          <w:p>
            <w:pPr>
              <w:jc w:val="center"/>
              <w:rPr>
                <w:rFonts w:ascii="Arial" w:hAnsi="Arial" w:cs="Arial"/>
                <w:sz w:val="18"/>
                <w:szCs w:val="18"/>
                <w:lang w:val="en-GB"/>
              </w:rPr>
            </w:pPr>
            <w:r>
              <w:rPr>
                <w:rFonts w:ascii="Arial" w:hAnsi="Arial" w:cs="Arial"/>
                <w:sz w:val="18"/>
                <w:szCs w:val="18"/>
                <w:lang w:val="en-GB"/>
              </w:rPr>
              <w:t>1=≤70 mmHg</w:t>
            </w:r>
            <w:r>
              <w:rPr>
                <w:rFonts w:hint="eastAsia" w:ascii="Arial" w:hAnsi="Arial" w:cs="Arial"/>
                <w:sz w:val="18"/>
                <w:szCs w:val="18"/>
                <w:lang w:val="en-GB"/>
              </w:rPr>
              <w:t>，</w:t>
            </w:r>
            <w:r>
              <w:rPr>
                <w:rFonts w:ascii="Arial" w:hAnsi="Arial" w:cs="Arial"/>
                <w:sz w:val="18"/>
                <w:szCs w:val="18"/>
                <w:lang w:val="en-GB"/>
              </w:rPr>
              <w:t>2=</w:t>
            </w:r>
            <w:r>
              <w:rPr>
                <w:rFonts w:hint="eastAsia" w:ascii="Arial" w:hAnsi="Arial" w:cs="Arial"/>
                <w:sz w:val="18"/>
                <w:szCs w:val="18"/>
                <w:lang w:val="en-GB"/>
              </w:rPr>
              <w:t>＞</w:t>
            </w:r>
            <w:r>
              <w:rPr>
                <w:rFonts w:ascii="Arial" w:hAnsi="Arial" w:cs="Arial"/>
                <w:sz w:val="18"/>
                <w:szCs w:val="18"/>
                <w:lang w:val="en-GB"/>
              </w:rPr>
              <w:t>70 mmHg</w:t>
            </w:r>
          </w:p>
        </w:tc>
      </w:tr>
      <w:tr>
        <w:tblPrEx>
          <w:tblCellMar>
            <w:top w:w="15" w:type="dxa"/>
            <w:left w:w="15" w:type="dxa"/>
            <w:bottom w:w="15" w:type="dxa"/>
            <w:right w:w="15" w:type="dxa"/>
          </w:tblCellMar>
        </w:tblPrEx>
        <w:trPr>
          <w:trHeight w:val="970" w:hRule="atLeast"/>
        </w:trPr>
        <w:tc>
          <w:tcPr>
            <w:tcW w:w="962" w:type="dxa"/>
            <w:tcBorders>
              <w:bottom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X 6</w:t>
            </w:r>
          </w:p>
        </w:tc>
        <w:tc>
          <w:tcPr>
            <w:tcW w:w="2503" w:type="dxa"/>
            <w:tcBorders>
              <w:bottom w:val="single" w:color="auto" w:sz="4" w:space="0"/>
            </w:tcBorders>
            <w:noWrap w:val="0"/>
            <w:vAlign w:val="bottom"/>
          </w:tcPr>
          <w:p>
            <w:pPr>
              <w:spacing w:line="360" w:lineRule="auto"/>
              <w:jc w:val="center"/>
              <w:rPr>
                <w:rFonts w:ascii="Arial" w:hAnsi="Arial" w:cs="Arial"/>
                <w:sz w:val="18"/>
                <w:szCs w:val="18"/>
                <w:lang w:val="en-GB"/>
              </w:rPr>
            </w:pPr>
            <w:r>
              <w:rPr>
                <w:rFonts w:ascii="Arial" w:hAnsi="Arial" w:cs="Arial"/>
                <w:sz w:val="18"/>
                <w:szCs w:val="18"/>
                <w:lang w:val="en-GB"/>
              </w:rPr>
              <w:t>PaCO</w:t>
            </w:r>
            <w:r>
              <w:rPr>
                <w:rFonts w:ascii="Arial" w:hAnsi="Arial" w:cs="Arial"/>
                <w:sz w:val="18"/>
                <w:szCs w:val="18"/>
                <w:vertAlign w:val="subscript"/>
                <w:lang w:val="en-GB"/>
              </w:rPr>
              <w:t>2</w:t>
            </w:r>
            <w:r>
              <w:rPr>
                <w:rFonts w:ascii="Arial" w:hAnsi="Arial" w:cs="Arial"/>
                <w:sz w:val="18"/>
                <w:szCs w:val="18"/>
                <w:lang w:val="en-GB"/>
              </w:rPr>
              <w:t>/PaO</w:t>
            </w:r>
            <w:r>
              <w:rPr>
                <w:rFonts w:ascii="Arial" w:hAnsi="Arial" w:cs="Arial"/>
                <w:sz w:val="18"/>
                <w:szCs w:val="18"/>
                <w:vertAlign w:val="subscript"/>
                <w:lang w:val="en-GB"/>
              </w:rPr>
              <w:t>2</w:t>
            </w:r>
            <w:r>
              <w:rPr>
                <w:rFonts w:ascii="Arial" w:hAnsi="Arial" w:cs="Arial"/>
                <w:sz w:val="18"/>
                <w:szCs w:val="18"/>
                <w:lang w:val="en-GB"/>
              </w:rPr>
              <w:t xml:space="preserve"> ratio</w:t>
            </w:r>
          </w:p>
          <w:p>
            <w:pPr>
              <w:spacing w:line="360" w:lineRule="auto"/>
              <w:jc w:val="center"/>
              <w:rPr>
                <w:rFonts w:ascii="Arial" w:hAnsi="Arial" w:cs="Arial"/>
                <w:sz w:val="18"/>
                <w:szCs w:val="18"/>
                <w:lang w:val="en-GB"/>
              </w:rPr>
            </w:pPr>
            <w:r>
              <w:rPr>
                <w:rFonts w:ascii="Arial" w:hAnsi="Arial" w:cs="Arial"/>
                <w:sz w:val="18"/>
                <w:szCs w:val="18"/>
                <w:lang w:val="en-GB"/>
              </w:rPr>
              <w:t>(after treatment)</w:t>
            </w:r>
          </w:p>
        </w:tc>
        <w:tc>
          <w:tcPr>
            <w:tcW w:w="4694" w:type="dxa"/>
            <w:tcBorders>
              <w:bottom w:val="single" w:color="auto" w:sz="4" w:space="0"/>
            </w:tcBorders>
            <w:noWrap w:val="0"/>
            <w:vAlign w:val="top"/>
          </w:tcPr>
          <w:p>
            <w:pPr>
              <w:jc w:val="center"/>
              <w:rPr>
                <w:rFonts w:ascii="Arial" w:hAnsi="Arial" w:cs="Arial"/>
                <w:sz w:val="18"/>
                <w:szCs w:val="18"/>
                <w:lang w:val="en-GB"/>
              </w:rPr>
            </w:pPr>
          </w:p>
          <w:p>
            <w:pPr>
              <w:jc w:val="center"/>
              <w:rPr>
                <w:rFonts w:ascii="Arial" w:hAnsi="Arial" w:cs="Arial"/>
                <w:sz w:val="18"/>
                <w:szCs w:val="18"/>
                <w:lang w:val="en-GB"/>
              </w:rPr>
            </w:pPr>
            <w:r>
              <w:rPr>
                <w:rFonts w:ascii="Arial" w:hAnsi="Arial" w:cs="Arial"/>
                <w:sz w:val="18"/>
                <w:szCs w:val="18"/>
                <w:lang w:val="en-GB"/>
              </w:rPr>
              <w:t>1=≤0.54</w:t>
            </w:r>
            <w:r>
              <w:rPr>
                <w:rFonts w:hint="eastAsia" w:ascii="Arial" w:hAnsi="Arial" w:cs="Arial"/>
                <w:sz w:val="18"/>
                <w:szCs w:val="18"/>
                <w:lang w:val="en-GB"/>
              </w:rPr>
              <w:t>，</w:t>
            </w:r>
            <w:r>
              <w:rPr>
                <w:rFonts w:ascii="Arial" w:hAnsi="Arial" w:cs="Arial"/>
                <w:sz w:val="18"/>
                <w:szCs w:val="18"/>
                <w:lang w:val="en-GB"/>
              </w:rPr>
              <w:t>2=</w:t>
            </w:r>
            <w:r>
              <w:rPr>
                <w:rFonts w:hint="eastAsia" w:ascii="Arial" w:hAnsi="Arial" w:cs="Arial"/>
                <w:sz w:val="18"/>
                <w:szCs w:val="18"/>
                <w:lang w:val="en-GB"/>
              </w:rPr>
              <w:t>＞</w:t>
            </w:r>
            <w:r>
              <w:rPr>
                <w:rFonts w:ascii="Arial" w:hAnsi="Arial" w:cs="Arial"/>
                <w:sz w:val="18"/>
                <w:szCs w:val="18"/>
                <w:lang w:val="en-GB"/>
              </w:rPr>
              <w:t>0.54</w:t>
            </w:r>
          </w:p>
        </w:tc>
      </w:tr>
    </w:tbl>
    <w:p>
      <w:pPr>
        <w:spacing w:line="480" w:lineRule="auto"/>
        <w:ind w:firstLine="420" w:firstLineChars="200"/>
        <w:jc w:val="left"/>
        <w:rPr>
          <w:rFonts w:ascii="Times New Roman" w:hAnsi="Times New Roman"/>
          <w:szCs w:val="21"/>
          <w:lang w:val="en-GB"/>
        </w:rPr>
      </w:pPr>
      <w:r>
        <w:rPr>
          <w:rFonts w:ascii="Times New Roman" w:hAnsi="Times New Roman"/>
          <w:szCs w:val="21"/>
          <w:lang w:val="en-GB"/>
        </w:rPr>
        <w:t xml:space="preserve">Six variables that had statistical significance in the univariate analysis were introduced into the unconditional logistic regression model.A stepwise regression method was used to determine the predictive factors for early failure of HFNC.Thus,the OR of </w:t>
      </w:r>
      <w:r>
        <w:rPr>
          <w:rFonts w:ascii="Times New Roman" w:hAnsi="Times New Roman" w:eastAsia="黑体"/>
          <w:szCs w:val="21"/>
          <w:lang w:val="en-GB"/>
        </w:rPr>
        <w:t xml:space="preserve">the </w:t>
      </w:r>
      <w:r>
        <w:rPr>
          <w:rFonts w:ascii="Cambria Math" w:hAnsi="Cambria Math" w:cs="Cambria Math"/>
          <w:szCs w:val="21"/>
          <w:lang w:val="en-GB"/>
        </w:rPr>
        <w:t>△</w:t>
      </w:r>
      <w:r>
        <w:rPr>
          <w:rFonts w:ascii="Times New Roman" w:hAnsi="Times New Roman"/>
          <w:szCs w:val="21"/>
          <w:lang w:val="en-GB"/>
        </w:rPr>
        <w:t xml:space="preserve">oxygenation index% was 5.875, indicating </w:t>
      </w:r>
      <w:r>
        <w:rPr>
          <w:rFonts w:ascii="Times New Roman" w:hAnsi="Times New Roman" w:eastAsia="黑体"/>
          <w:szCs w:val="21"/>
          <w:lang w:val="en-GB"/>
        </w:rPr>
        <w:t xml:space="preserve">that </w:t>
      </w:r>
      <w:r>
        <w:rPr>
          <w:rFonts w:ascii="Times New Roman" w:hAnsi="Times New Roman"/>
          <w:szCs w:val="21"/>
          <w:lang w:val="en-GB"/>
        </w:rPr>
        <w:t>the oxygenation index of HFNC decreased</w:t>
      </w:r>
      <w:r>
        <w:rPr>
          <w:rFonts w:ascii="Times New Roman" w:hAnsi="Times New Roman" w:eastAsia="黑体"/>
          <w:szCs w:val="21"/>
          <w:lang w:val="en-GB"/>
        </w:rPr>
        <w:t xml:space="preserve"> by &gt;28%</w:t>
      </w:r>
      <w:r>
        <w:rPr>
          <w:rFonts w:ascii="Times New Roman" w:hAnsi="Times New Roman"/>
          <w:szCs w:val="21"/>
          <w:lang w:val="en-GB"/>
        </w:rPr>
        <w:t xml:space="preserve"> after 2 h of treatment,</w:t>
      </w:r>
      <w:r>
        <w:rPr>
          <w:rFonts w:ascii="Times New Roman" w:hAnsi="Times New Roman" w:eastAsia="黑体"/>
          <w:szCs w:val="21"/>
          <w:lang w:val="en-GB"/>
        </w:rPr>
        <w:t xml:space="preserve"> and</w:t>
      </w:r>
      <w:r>
        <w:rPr>
          <w:rFonts w:ascii="Times New Roman" w:hAnsi="Times New Roman"/>
          <w:szCs w:val="21"/>
          <w:lang w:val="en-GB"/>
        </w:rPr>
        <w:t xml:space="preserve"> the risk of early HFNC failure increased by more than 5 times (see Table 2).</w:t>
      </w:r>
    </w:p>
    <w:p>
      <w:pPr>
        <w:spacing w:line="360" w:lineRule="auto"/>
        <w:jc w:val="left"/>
        <w:rPr>
          <w:rFonts w:ascii="Arial" w:hAnsi="Arial" w:cs="Arial"/>
          <w:sz w:val="18"/>
          <w:szCs w:val="18"/>
          <w:lang w:val="en-GB"/>
        </w:rPr>
      </w:pPr>
      <w:r>
        <w:rPr>
          <w:rFonts w:ascii="Arial" w:hAnsi="Arial" w:cs="Arial"/>
          <w:sz w:val="18"/>
          <w:szCs w:val="18"/>
          <w:lang w:val="en-GB"/>
        </w:rPr>
        <w:t>Table 2  Multi-factor Logistic Analysis for high-flow nasal cannula oxygen therapy Failure</w:t>
      </w:r>
    </w:p>
    <w:tbl>
      <w:tblPr>
        <w:tblStyle w:val="4"/>
        <w:tblW w:w="8237" w:type="dxa"/>
        <w:tblInd w:w="0" w:type="dxa"/>
        <w:tblLayout w:type="fixed"/>
        <w:tblCellMar>
          <w:top w:w="15" w:type="dxa"/>
          <w:left w:w="15" w:type="dxa"/>
          <w:bottom w:w="15" w:type="dxa"/>
          <w:right w:w="15" w:type="dxa"/>
        </w:tblCellMar>
      </w:tblPr>
      <w:tblGrid>
        <w:gridCol w:w="2524"/>
        <w:gridCol w:w="1115"/>
        <w:gridCol w:w="960"/>
        <w:gridCol w:w="697"/>
        <w:gridCol w:w="697"/>
        <w:gridCol w:w="835"/>
        <w:gridCol w:w="1409"/>
      </w:tblGrid>
      <w:tr>
        <w:tblPrEx>
          <w:tblCellMar>
            <w:top w:w="15" w:type="dxa"/>
            <w:left w:w="15" w:type="dxa"/>
            <w:bottom w:w="15" w:type="dxa"/>
            <w:right w:w="15" w:type="dxa"/>
          </w:tblCellMar>
        </w:tblPrEx>
        <w:trPr>
          <w:trHeight w:val="495" w:hRule="atLeast"/>
        </w:trPr>
        <w:tc>
          <w:tcPr>
            <w:tcW w:w="2524" w:type="dxa"/>
            <w:tcBorders>
              <w:top w:val="single" w:color="auto" w:sz="4" w:space="0"/>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Variant</w:t>
            </w:r>
          </w:p>
        </w:tc>
        <w:tc>
          <w:tcPr>
            <w:tcW w:w="1115" w:type="dxa"/>
            <w:tcBorders>
              <w:top w:val="single" w:color="auto" w:sz="4" w:space="0"/>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Regression coefficients</w:t>
            </w:r>
          </w:p>
        </w:tc>
        <w:tc>
          <w:tcPr>
            <w:tcW w:w="960" w:type="dxa"/>
            <w:tcBorders>
              <w:top w:val="single" w:color="auto" w:sz="4" w:space="0"/>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Standard error</w:t>
            </w:r>
          </w:p>
        </w:tc>
        <w:tc>
          <w:tcPr>
            <w:tcW w:w="697" w:type="dxa"/>
            <w:tcBorders>
              <w:top w:val="single" w:color="auto" w:sz="4" w:space="0"/>
              <w:bottom w:val="single" w:color="auto" w:sz="4" w:space="0"/>
            </w:tcBorders>
            <w:noWrap w:val="0"/>
            <w:vAlign w:val="center"/>
          </w:tcPr>
          <w:p>
            <w:pPr>
              <w:spacing w:line="360" w:lineRule="auto"/>
              <w:jc w:val="center"/>
              <w:rPr>
                <w:rFonts w:ascii="Arial" w:hAnsi="Arial" w:cs="Arial"/>
                <w:i/>
                <w:sz w:val="18"/>
                <w:szCs w:val="18"/>
                <w:lang w:val="en-GB"/>
              </w:rPr>
            </w:pPr>
            <w:r>
              <w:rPr>
                <w:rFonts w:ascii="Arial" w:hAnsi="Arial" w:cs="Arial"/>
                <w:i/>
                <w:sz w:val="18"/>
                <w:szCs w:val="18"/>
                <w:lang w:val="en-GB"/>
              </w:rPr>
              <w:t>Wald</w:t>
            </w:r>
          </w:p>
        </w:tc>
        <w:tc>
          <w:tcPr>
            <w:tcW w:w="697" w:type="dxa"/>
            <w:tcBorders>
              <w:top w:val="single" w:color="auto" w:sz="4" w:space="0"/>
              <w:bottom w:val="single" w:color="auto" w:sz="4" w:space="0"/>
            </w:tcBorders>
            <w:noWrap w:val="0"/>
            <w:vAlign w:val="center"/>
          </w:tcPr>
          <w:p>
            <w:pPr>
              <w:spacing w:line="360" w:lineRule="auto"/>
              <w:jc w:val="center"/>
              <w:rPr>
                <w:rFonts w:ascii="Arial" w:hAnsi="Arial" w:cs="Arial"/>
                <w:i/>
                <w:sz w:val="18"/>
                <w:szCs w:val="18"/>
                <w:lang w:val="en-GB"/>
              </w:rPr>
            </w:pPr>
            <w:r>
              <w:rPr>
                <w:rFonts w:ascii="Arial" w:hAnsi="Arial" w:cs="Arial"/>
                <w:i/>
                <w:iCs/>
                <w:sz w:val="18"/>
                <w:szCs w:val="18"/>
                <w:lang w:val="en-GB"/>
              </w:rPr>
              <w:t>P</w:t>
            </w:r>
          </w:p>
        </w:tc>
        <w:tc>
          <w:tcPr>
            <w:tcW w:w="835" w:type="dxa"/>
            <w:tcBorders>
              <w:top w:val="single" w:color="auto" w:sz="4" w:space="0"/>
              <w:bottom w:val="single" w:color="auto" w:sz="4" w:space="0"/>
            </w:tcBorders>
            <w:noWrap w:val="0"/>
            <w:vAlign w:val="center"/>
          </w:tcPr>
          <w:p>
            <w:pPr>
              <w:spacing w:line="360" w:lineRule="auto"/>
              <w:jc w:val="center"/>
              <w:rPr>
                <w:rFonts w:ascii="Arial" w:hAnsi="Arial" w:cs="Arial"/>
                <w:i/>
                <w:sz w:val="18"/>
                <w:szCs w:val="18"/>
                <w:lang w:val="en-GB"/>
              </w:rPr>
            </w:pPr>
            <w:r>
              <w:rPr>
                <w:rFonts w:ascii="Arial" w:hAnsi="Arial" w:cs="Arial"/>
                <w:i/>
                <w:sz w:val="18"/>
                <w:szCs w:val="18"/>
                <w:lang w:val="en-GB"/>
              </w:rPr>
              <w:t>OR</w:t>
            </w:r>
          </w:p>
        </w:tc>
        <w:tc>
          <w:tcPr>
            <w:tcW w:w="1409" w:type="dxa"/>
            <w:tcBorders>
              <w:top w:val="single" w:color="auto" w:sz="4" w:space="0"/>
              <w:bottom w:val="single" w:color="auto" w:sz="4" w:space="0"/>
            </w:tcBorders>
            <w:noWrap w:val="0"/>
            <w:vAlign w:val="center"/>
          </w:tcPr>
          <w:p>
            <w:pPr>
              <w:spacing w:line="360" w:lineRule="auto"/>
              <w:jc w:val="center"/>
              <w:rPr>
                <w:rFonts w:ascii="Arial" w:hAnsi="Arial" w:cs="Arial"/>
                <w:i/>
                <w:sz w:val="18"/>
                <w:szCs w:val="18"/>
                <w:lang w:val="en-GB"/>
              </w:rPr>
            </w:pPr>
            <w:r>
              <w:rPr>
                <w:rFonts w:ascii="Arial" w:hAnsi="Arial" w:cs="Arial"/>
                <w:i/>
                <w:sz w:val="18"/>
                <w:szCs w:val="18"/>
                <w:lang w:val="en-GB"/>
              </w:rPr>
              <w:t>95% CI</w:t>
            </w:r>
          </w:p>
        </w:tc>
      </w:tr>
      <w:tr>
        <w:tblPrEx>
          <w:tblCellMar>
            <w:top w:w="15" w:type="dxa"/>
            <w:left w:w="15" w:type="dxa"/>
            <w:bottom w:w="15" w:type="dxa"/>
            <w:right w:w="15" w:type="dxa"/>
          </w:tblCellMar>
        </w:tblPrEx>
        <w:trPr>
          <w:trHeight w:val="495" w:hRule="atLeast"/>
        </w:trPr>
        <w:tc>
          <w:tcPr>
            <w:tcW w:w="2524" w:type="dxa"/>
            <w:tcBorders>
              <w:top w:val="single" w:color="auto" w:sz="4" w:space="0"/>
            </w:tcBorders>
            <w:noWrap w:val="0"/>
            <w:vAlign w:val="center"/>
          </w:tcPr>
          <w:p>
            <w:pPr>
              <w:spacing w:line="360" w:lineRule="auto"/>
              <w:jc w:val="center"/>
              <w:rPr>
                <w:rFonts w:ascii="Arial" w:hAnsi="Arial" w:cs="Arial"/>
                <w:color w:val="000000"/>
                <w:sz w:val="18"/>
                <w:szCs w:val="18"/>
                <w:lang w:val="en-GB"/>
              </w:rPr>
            </w:pPr>
            <w:r>
              <w:rPr>
                <w:rFonts w:ascii="Cambria Math" w:hAnsi="Cambria Math" w:cs="Cambria Math"/>
                <w:color w:val="000000"/>
                <w:sz w:val="18"/>
                <w:szCs w:val="18"/>
                <w:lang w:val="en-GB"/>
              </w:rPr>
              <w:t>△</w:t>
            </w:r>
            <w:r>
              <w:rPr>
                <w:rFonts w:ascii="Arial" w:hAnsi="Arial" w:cs="Arial"/>
                <w:color w:val="000000"/>
                <w:sz w:val="18"/>
                <w:szCs w:val="18"/>
                <w:lang w:val="en-GB"/>
              </w:rPr>
              <w:t>Oxygenation index%</w:t>
            </w:r>
            <w:r>
              <w:rPr>
                <w:rFonts w:hint="eastAsia" w:ascii="Arial" w:hAnsi="Arial" w:cs="Arial"/>
                <w:sz w:val="18"/>
                <w:szCs w:val="18"/>
                <w:lang w:val="en-GB"/>
              </w:rPr>
              <w:t>＞</w:t>
            </w:r>
            <w:r>
              <w:rPr>
                <w:rFonts w:ascii="Arial" w:hAnsi="Arial" w:cs="Arial"/>
                <w:sz w:val="18"/>
                <w:szCs w:val="18"/>
                <w:lang w:val="en-GB"/>
              </w:rPr>
              <w:t>-28%</w:t>
            </w:r>
          </w:p>
        </w:tc>
        <w:tc>
          <w:tcPr>
            <w:tcW w:w="1115" w:type="dxa"/>
            <w:tcBorders>
              <w:top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1.771</w:t>
            </w:r>
          </w:p>
        </w:tc>
        <w:tc>
          <w:tcPr>
            <w:tcW w:w="960" w:type="dxa"/>
            <w:tcBorders>
              <w:top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0.693</w:t>
            </w:r>
          </w:p>
        </w:tc>
        <w:tc>
          <w:tcPr>
            <w:tcW w:w="697" w:type="dxa"/>
            <w:tcBorders>
              <w:top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6.537</w:t>
            </w:r>
          </w:p>
        </w:tc>
        <w:tc>
          <w:tcPr>
            <w:tcW w:w="697" w:type="dxa"/>
            <w:tcBorders>
              <w:top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0.011</w:t>
            </w:r>
          </w:p>
        </w:tc>
        <w:tc>
          <w:tcPr>
            <w:tcW w:w="835" w:type="dxa"/>
            <w:tcBorders>
              <w:top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bCs/>
                <w:sz w:val="18"/>
                <w:szCs w:val="18"/>
                <w:lang w:val="en-GB"/>
              </w:rPr>
              <w:t>5.875</w:t>
            </w:r>
          </w:p>
        </w:tc>
        <w:tc>
          <w:tcPr>
            <w:tcW w:w="1409" w:type="dxa"/>
            <w:tcBorders>
              <w:top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1.512~22.830</w:t>
            </w:r>
          </w:p>
        </w:tc>
      </w:tr>
      <w:tr>
        <w:tblPrEx>
          <w:tblCellMar>
            <w:top w:w="15" w:type="dxa"/>
            <w:left w:w="15" w:type="dxa"/>
            <w:bottom w:w="15" w:type="dxa"/>
            <w:right w:w="15" w:type="dxa"/>
          </w:tblCellMar>
        </w:tblPrEx>
        <w:trPr>
          <w:trHeight w:val="495" w:hRule="atLeast"/>
        </w:trPr>
        <w:tc>
          <w:tcPr>
            <w:tcW w:w="2524" w:type="dxa"/>
            <w:tcBorders>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color w:val="000000"/>
                <w:sz w:val="18"/>
                <w:szCs w:val="18"/>
                <w:lang w:val="en-GB"/>
              </w:rPr>
              <w:t>Constant</w:t>
            </w:r>
          </w:p>
        </w:tc>
        <w:tc>
          <w:tcPr>
            <w:tcW w:w="1115" w:type="dxa"/>
            <w:tcBorders>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-3.829</w:t>
            </w:r>
          </w:p>
        </w:tc>
        <w:tc>
          <w:tcPr>
            <w:tcW w:w="960" w:type="dxa"/>
            <w:tcBorders>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1.021</w:t>
            </w:r>
          </w:p>
        </w:tc>
        <w:tc>
          <w:tcPr>
            <w:tcW w:w="697" w:type="dxa"/>
            <w:tcBorders>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14.052</w:t>
            </w:r>
          </w:p>
        </w:tc>
        <w:tc>
          <w:tcPr>
            <w:tcW w:w="697" w:type="dxa"/>
            <w:tcBorders>
              <w:bottom w:val="single" w:color="auto" w:sz="4" w:space="0"/>
            </w:tcBorders>
            <w:noWrap w:val="0"/>
            <w:vAlign w:val="center"/>
          </w:tcPr>
          <w:p>
            <w:pPr>
              <w:spacing w:line="360" w:lineRule="auto"/>
              <w:jc w:val="center"/>
              <w:rPr>
                <w:rFonts w:ascii="Arial" w:hAnsi="Arial" w:cs="Arial"/>
                <w:sz w:val="18"/>
                <w:szCs w:val="18"/>
                <w:lang w:val="en-GB"/>
              </w:rPr>
            </w:pPr>
            <w:r>
              <w:rPr>
                <w:rFonts w:ascii="Arial" w:hAnsi="Arial" w:cs="Arial"/>
                <w:sz w:val="18"/>
                <w:szCs w:val="18"/>
                <w:lang w:val="en-GB"/>
              </w:rPr>
              <w:t>0.000</w:t>
            </w:r>
          </w:p>
        </w:tc>
        <w:tc>
          <w:tcPr>
            <w:tcW w:w="835" w:type="dxa"/>
            <w:tcBorders>
              <w:bottom w:val="single" w:color="auto" w:sz="4" w:space="0"/>
            </w:tcBorders>
            <w:noWrap w:val="0"/>
            <w:vAlign w:val="center"/>
          </w:tcPr>
          <w:p>
            <w:pPr>
              <w:spacing w:line="360" w:lineRule="auto"/>
              <w:jc w:val="center"/>
              <w:rPr>
                <w:rFonts w:ascii="Arial" w:hAnsi="Arial" w:cs="Arial"/>
                <w:bCs/>
                <w:sz w:val="18"/>
                <w:szCs w:val="18"/>
                <w:lang w:val="en-GB"/>
              </w:rPr>
            </w:pPr>
          </w:p>
        </w:tc>
        <w:tc>
          <w:tcPr>
            <w:tcW w:w="1409" w:type="dxa"/>
            <w:tcBorders>
              <w:bottom w:val="single" w:color="auto" w:sz="4" w:space="0"/>
            </w:tcBorders>
            <w:noWrap w:val="0"/>
            <w:vAlign w:val="center"/>
          </w:tcPr>
          <w:p>
            <w:pPr>
              <w:spacing w:line="360" w:lineRule="auto"/>
              <w:jc w:val="center"/>
              <w:rPr>
                <w:rFonts w:ascii="Arial" w:hAnsi="Arial" w:cs="Arial"/>
                <w:sz w:val="18"/>
                <w:szCs w:val="18"/>
                <w:lang w:val="en-GB"/>
              </w:rPr>
            </w:pPr>
          </w:p>
        </w:tc>
      </w:tr>
    </w:tbl>
    <w:p>
      <w:pPr>
        <w:spacing w:line="360" w:lineRule="auto"/>
      </w:pPr>
      <w:r>
        <w:rPr>
          <w:rFonts w:ascii="Arial" w:hAnsi="Arial" w:cs="Arial"/>
          <w:bCs/>
          <w:sz w:val="18"/>
          <w:szCs w:val="18"/>
          <w:lang w:val="en-GB"/>
        </w:rPr>
        <w:t>Note:</w:t>
      </w:r>
      <w:r>
        <w:rPr>
          <w:rFonts w:ascii="Arial" w:hAnsi="Arial" w:cs="Arial"/>
          <w:bCs/>
          <w:kern w:val="0"/>
          <w:sz w:val="18"/>
          <w:szCs w:val="18"/>
          <w:lang w:val="en-GB"/>
        </w:rPr>
        <w:t>Wald</w:t>
      </w:r>
      <w:r>
        <w:rPr>
          <w:rFonts w:hint="eastAsia" w:ascii="Arial" w:hAnsi="Arial" w:cs="Arial"/>
          <w:bCs/>
          <w:kern w:val="0"/>
          <w:sz w:val="18"/>
          <w:szCs w:val="18"/>
          <w:lang w:val="en-US" w:eastAsia="zh-CN"/>
        </w:rPr>
        <w:t>=</w:t>
      </w:r>
      <w:r>
        <w:rPr>
          <w:rFonts w:ascii="Arial" w:hAnsi="Arial" w:cs="Arial"/>
          <w:bCs/>
          <w:kern w:val="0"/>
          <w:sz w:val="18"/>
          <w:szCs w:val="18"/>
          <w:lang w:val="en-GB"/>
        </w:rPr>
        <w:t>Wald test statistics,</w:t>
      </w:r>
      <w:r>
        <w:rPr>
          <w:rFonts w:ascii="Arial" w:hAnsi="Arial" w:cs="Arial"/>
          <w:bCs/>
          <w:sz w:val="18"/>
          <w:szCs w:val="18"/>
          <w:lang w:val="en-GB"/>
        </w:rPr>
        <w:t>OR</w:t>
      </w:r>
      <w:r>
        <w:rPr>
          <w:rFonts w:hint="eastAsia" w:ascii="Arial" w:hAnsi="Arial" w:cs="Arial"/>
          <w:bCs/>
          <w:sz w:val="18"/>
          <w:szCs w:val="18"/>
          <w:lang w:val="en-US" w:eastAsia="zh-CN"/>
        </w:rPr>
        <w:t>=</w:t>
      </w:r>
      <w:r>
        <w:rPr>
          <w:rFonts w:ascii="Arial" w:hAnsi="Arial" w:cs="Arial"/>
          <w:bCs/>
          <w:sz w:val="18"/>
          <w:szCs w:val="18"/>
          <w:lang w:val="en-GB"/>
        </w:rPr>
        <w:t>odds ratios,the ratio of the possibility of an event happening to the impossibility of the event happening,95% CI</w:t>
      </w:r>
      <w:r>
        <w:rPr>
          <w:rFonts w:hint="eastAsia" w:ascii="Arial" w:hAnsi="Arial" w:cs="Arial"/>
          <w:bCs/>
          <w:sz w:val="18"/>
          <w:szCs w:val="18"/>
          <w:lang w:val="en-US" w:eastAsia="zh-CN"/>
        </w:rPr>
        <w:t>=</w:t>
      </w:r>
      <w:r>
        <w:rPr>
          <w:rFonts w:ascii="Arial" w:hAnsi="Arial" w:cs="Arial"/>
          <w:bCs/>
          <w:sz w:val="18"/>
          <w:szCs w:val="18"/>
          <w:lang w:val="en-GB"/>
        </w:rPr>
        <w:t>95% confidence intervals for the OR.</w:t>
      </w:r>
      <w:bookmarkStart w:id="1" w:name="_GoBack"/>
      <w:bookmarkEnd w:id="1"/>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70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2020-11-22T15:48:18Z</dcterms:created>
  <dc:creator>LENOVO</dc:creator>
  <cp:lastModifiedBy>LJ</cp:lastModifiedBy>
  <dcterms:modified xsi:type="dcterms:W3CDTF">2020-11-22T15:48:44Z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