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/>
          <w:szCs w:val="21"/>
          <w:lang w:val="en-GB"/>
        </w:rPr>
      </w:pPr>
      <w:r>
        <w:rPr>
          <w:rFonts w:ascii="Times New Roman" w:hAnsi="Times New Roman"/>
          <w:b/>
          <w:szCs w:val="21"/>
          <w:lang w:val="en-GB"/>
        </w:rPr>
        <w:t>Prediction of the early failure of high-flow nasal cannula oxygen therapy based on the trend of clinical indicators</w:t>
      </w:r>
    </w:p>
    <w:p>
      <w:pPr>
        <w:spacing w:line="360" w:lineRule="auto"/>
        <w:rPr>
          <w:rFonts w:ascii="Times New Roman" w:hAnsi="Times New Roman"/>
          <w:szCs w:val="21"/>
          <w:lang w:val="en-GB"/>
        </w:rPr>
      </w:pPr>
      <w:r>
        <w:rPr>
          <w:rFonts w:ascii="Times New Roman" w:hAnsi="Times New Roman"/>
          <w:szCs w:val="21"/>
          <w:lang w:val="en-GB"/>
        </w:rPr>
        <w:t>Comparisons of the General Clinical Data</w:t>
      </w:r>
    </w:p>
    <w:p>
      <w:pPr>
        <w:spacing w:line="360" w:lineRule="auto"/>
        <w:ind w:firstLine="420" w:firstLineChars="200"/>
        <w:rPr>
          <w:rFonts w:ascii="Times New Roman" w:hAnsi="Times New Roman"/>
          <w:bCs/>
          <w:szCs w:val="21"/>
          <w:lang w:val="en-GB"/>
        </w:rPr>
      </w:pPr>
      <w:r>
        <w:rPr>
          <w:rFonts w:ascii="Times New Roman" w:hAnsi="Times New Roman"/>
          <w:szCs w:val="21"/>
          <w:lang w:val="en-GB"/>
        </w:rPr>
        <w:t>In 67 patients,55 patients were successfully treated,and 12 patients experienced failed treatment. The age of the pediatric patients in the success group ranged from 1 month to 13 years and 1 month (with a median of 5 months),and that of patients in the failed group ranged from 2 months to 8 years (with a median of 10 months).Regarding sex,in the success group,males accounted for 56.4% (31/55),while in the failed group,males accounted for 33.3% (4/12).</w:t>
      </w:r>
      <w:r>
        <w:rPr>
          <w:rFonts w:hint="eastAsia" w:ascii="Times New Roman" w:hAnsi="Times New Roman"/>
          <w:kern w:val="0"/>
          <w:lang w:val="en-GB"/>
        </w:rPr>
        <w:t>T</w:t>
      </w:r>
      <w:r>
        <w:rPr>
          <w:rFonts w:ascii="Times New Roman" w:hAnsi="Times New Roman"/>
          <w:kern w:val="0"/>
          <w:lang w:val="en-GB"/>
        </w:rPr>
        <w:t xml:space="preserve">he distributions of disease types were no significant differences between the </w:t>
      </w:r>
      <w:r>
        <w:rPr>
          <w:rFonts w:hint="eastAsia" w:ascii="Times New Roman" w:hAnsi="Times New Roman"/>
          <w:kern w:val="0"/>
          <w:lang w:val="en-GB"/>
        </w:rPr>
        <w:t>two</w:t>
      </w:r>
      <w:r>
        <w:rPr>
          <w:rFonts w:ascii="Times New Roman" w:hAnsi="Times New Roman"/>
          <w:kern w:val="0"/>
          <w:lang w:val="en-GB"/>
        </w:rPr>
        <w:t xml:space="preserve"> group</w:t>
      </w:r>
      <w:r>
        <w:rPr>
          <w:rFonts w:hint="eastAsia" w:ascii="Times New Roman" w:hAnsi="Times New Roman"/>
          <w:kern w:val="0"/>
          <w:lang w:val="en-GB"/>
        </w:rPr>
        <w:t>s</w:t>
      </w:r>
      <w:r>
        <w:rPr>
          <w:rFonts w:ascii="Times New Roman" w:hAnsi="Times New Roman"/>
          <w:kern w:val="0"/>
          <w:lang w:val="en-GB"/>
        </w:rPr>
        <w:t>(</w:t>
      </w:r>
      <w:r>
        <w:rPr>
          <w:rFonts w:ascii="Times New Roman" w:hAnsi="Times New Roman"/>
          <w:i/>
          <w:kern w:val="0"/>
          <w:lang w:val="en-GB"/>
        </w:rPr>
        <w:t>P</w:t>
      </w:r>
      <w:r>
        <w:rPr>
          <w:rFonts w:ascii="Times New Roman" w:hAnsi="Times New Roman"/>
          <w:kern w:val="0"/>
          <w:lang w:val="en-GB"/>
        </w:rPr>
        <w:t>&gt;0.05)</w:t>
      </w:r>
      <w:r>
        <w:rPr>
          <w:rFonts w:hint="eastAsia" w:ascii="Times New Roman" w:hAnsi="Times New Roman"/>
          <w:kern w:val="0"/>
          <w:lang w:val="en-GB"/>
        </w:rPr>
        <w:t xml:space="preserve">. And </w:t>
      </w:r>
      <w:r>
        <w:rPr>
          <w:rFonts w:hint="eastAsia" w:ascii="Times New Roman" w:hAnsi="Times New Roman"/>
          <w:szCs w:val="21"/>
          <w:lang w:val="en-GB"/>
        </w:rPr>
        <w:t>t</w:t>
      </w:r>
      <w:r>
        <w:rPr>
          <w:rFonts w:ascii="Times New Roman" w:hAnsi="Times New Roman"/>
          <w:szCs w:val="21"/>
          <w:lang w:val="en-GB"/>
        </w:rPr>
        <w:t>here</w:t>
      </w:r>
      <w:r>
        <w:rPr>
          <w:rFonts w:hint="eastAsia" w:ascii="Times New Roman" w:hAnsi="Times New Roman"/>
          <w:szCs w:val="21"/>
          <w:lang w:val="en-GB"/>
        </w:rPr>
        <w:t xml:space="preserve"> also</w:t>
      </w:r>
      <w:r>
        <w:rPr>
          <w:rFonts w:ascii="Times New Roman" w:hAnsi="Times New Roman"/>
          <w:szCs w:val="21"/>
          <w:lang w:val="en-GB"/>
        </w:rPr>
        <w:t xml:space="preserve"> were no significant difference in age,sex or weight between the two groups</w:t>
      </w:r>
      <w:r>
        <w:rPr>
          <w:rFonts w:hint="eastAsia" w:ascii="Times New Roman" w:hAnsi="Times New Roman"/>
          <w:szCs w:val="21"/>
          <w:lang w:val="en-GB"/>
        </w:rPr>
        <w:t xml:space="preserve"> too</w:t>
      </w:r>
      <w:r>
        <w:rPr>
          <w:rFonts w:ascii="Times New Roman" w:hAnsi="Times New Roman"/>
          <w:szCs w:val="21"/>
          <w:lang w:val="en-GB"/>
        </w:rPr>
        <w:t xml:space="preserve"> (</w:t>
      </w:r>
      <w:r>
        <w:rPr>
          <w:rFonts w:ascii="Times New Roman" w:hAnsi="Times New Roman"/>
          <w:i/>
          <w:szCs w:val="21"/>
          <w:lang w:val="en-GB"/>
        </w:rPr>
        <w:t xml:space="preserve">P </w:t>
      </w:r>
      <w:r>
        <w:rPr>
          <w:rFonts w:ascii="Times New Roman" w:hAnsi="Times New Roman"/>
          <w:szCs w:val="21"/>
          <w:lang w:val="en-GB"/>
        </w:rPr>
        <w:t xml:space="preserve">&gt;0.05) (see Table 1). </w:t>
      </w:r>
    </w:p>
    <w:p>
      <w:pPr>
        <w:spacing w:line="360" w:lineRule="auto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Table 1 Comparisons between the high-flow nasal cannula oxygen therapy Success Group and Failed Group</w:t>
      </w:r>
    </w:p>
    <w:tbl>
      <w:tblPr>
        <w:tblStyle w:val="3"/>
        <w:tblW w:w="811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4"/>
        <w:gridCol w:w="432"/>
        <w:gridCol w:w="2314"/>
        <w:gridCol w:w="1668"/>
        <w:gridCol w:w="261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No.</w:t>
            </w:r>
          </w:p>
        </w:tc>
        <w:tc>
          <w:tcPr>
            <w:tcW w:w="23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Age 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[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  <w:lang w:val="en-GB"/>
              </w:rPr>
              <w:t>P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bscript"/>
                <w:lang w:val="en-GB"/>
              </w:rPr>
              <w:t>50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GB"/>
              </w:rPr>
              <w:t>（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  <w:lang w:val="en-GB"/>
              </w:rPr>
              <w:t>P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bscript"/>
                <w:lang w:val="en-GB"/>
              </w:rPr>
              <w:t>25</w:t>
            </w:r>
            <w:r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  <w:lang w:val="en-GB"/>
              </w:rPr>
              <w:t>P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bscript"/>
                <w:lang w:val="en-GB"/>
              </w:rPr>
              <w:t>75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GB"/>
              </w:rPr>
              <w:t>）</w:t>
            </w:r>
            <w:r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  <w:t>, month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</w:p>
        </w:tc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Male/Female (patients)</w:t>
            </w:r>
          </w:p>
        </w:tc>
        <w:tc>
          <w:tcPr>
            <w:tcW w:w="26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Weight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[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  <w:lang w:val="en-GB"/>
              </w:rPr>
              <w:t>P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bscript"/>
                <w:lang w:val="en-GB"/>
              </w:rPr>
              <w:t>50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GB"/>
              </w:rPr>
              <w:t>（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  <w:lang w:val="en-GB"/>
              </w:rPr>
              <w:t>P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bscript"/>
                <w:lang w:val="en-GB"/>
              </w:rPr>
              <w:t>25</w:t>
            </w:r>
            <w:r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  <w:lang w:val="en-GB"/>
              </w:rPr>
              <w:t>P</w:t>
            </w:r>
            <w:r>
              <w:rPr>
                <w:rFonts w:ascii="Arial" w:hAnsi="Arial" w:cs="Arial"/>
                <w:kern w:val="0"/>
                <w:sz w:val="18"/>
                <w:szCs w:val="18"/>
                <w:vertAlign w:val="subscript"/>
                <w:lang w:val="en-GB"/>
              </w:rPr>
              <w:t>75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GB"/>
              </w:rPr>
              <w:t>）</w:t>
            </w:r>
            <w:r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  <w:t>, kg]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1094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Success group</w:t>
            </w:r>
          </w:p>
        </w:tc>
        <w:tc>
          <w:tcPr>
            <w:tcW w:w="432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55</w:t>
            </w:r>
          </w:p>
        </w:tc>
        <w:tc>
          <w:tcPr>
            <w:tcW w:w="2314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>
              <w:rPr>
                <w:rFonts w:hint="eastAsia" w:ascii="Arial" w:hAnsi="Arial" w:cs="Arial"/>
                <w:sz w:val="18"/>
                <w:szCs w:val="18"/>
                <w:lang w:val="en-GB"/>
              </w:rPr>
              <w:t>（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2,24</w:t>
            </w:r>
            <w:r>
              <w:rPr>
                <w:rFonts w:hint="eastAsia" w:ascii="Arial" w:hAnsi="Arial" w:cs="Arial"/>
                <w:sz w:val="18"/>
                <w:szCs w:val="18"/>
                <w:lang w:val="en-GB"/>
              </w:rPr>
              <w:t>）</w:t>
            </w:r>
          </w:p>
        </w:tc>
        <w:tc>
          <w:tcPr>
            <w:tcW w:w="1668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31/24</w:t>
            </w:r>
          </w:p>
        </w:tc>
        <w:tc>
          <w:tcPr>
            <w:tcW w:w="2610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7.00</w:t>
            </w:r>
            <w:r>
              <w:rPr>
                <w:rFonts w:hint="eastAsia" w:ascii="Arial" w:hAnsi="Arial" w:cs="Arial"/>
                <w:sz w:val="18"/>
                <w:szCs w:val="18"/>
                <w:lang w:val="en-GB"/>
              </w:rPr>
              <w:t>（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5.00,10.60</w:t>
            </w:r>
            <w:r>
              <w:rPr>
                <w:rFonts w:hint="eastAsia" w:ascii="Arial" w:hAnsi="Arial" w:cs="Arial"/>
                <w:sz w:val="18"/>
                <w:szCs w:val="18"/>
                <w:lang w:val="en-GB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094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Failed group</w:t>
            </w:r>
          </w:p>
        </w:tc>
        <w:tc>
          <w:tcPr>
            <w:tcW w:w="432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</w:p>
        </w:tc>
        <w:tc>
          <w:tcPr>
            <w:tcW w:w="2314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  <w:r>
              <w:rPr>
                <w:rFonts w:hint="eastAsia" w:ascii="Arial" w:hAnsi="Arial" w:cs="Arial"/>
                <w:sz w:val="18"/>
                <w:szCs w:val="18"/>
                <w:lang w:val="en-GB"/>
              </w:rPr>
              <w:t>（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7,72</w:t>
            </w:r>
            <w:r>
              <w:rPr>
                <w:rFonts w:hint="eastAsia" w:ascii="Arial" w:hAnsi="Arial" w:cs="Arial"/>
                <w:sz w:val="18"/>
                <w:szCs w:val="18"/>
                <w:lang w:val="en-GB"/>
              </w:rPr>
              <w:t>）</w:t>
            </w:r>
          </w:p>
        </w:tc>
        <w:tc>
          <w:tcPr>
            <w:tcW w:w="1668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4/8</w:t>
            </w:r>
          </w:p>
        </w:tc>
        <w:tc>
          <w:tcPr>
            <w:tcW w:w="2610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9.90</w:t>
            </w:r>
            <w:r>
              <w:rPr>
                <w:rFonts w:hint="eastAsia" w:ascii="Arial" w:hAnsi="Arial" w:cs="Arial"/>
                <w:sz w:val="18"/>
                <w:szCs w:val="18"/>
                <w:lang w:val="en-GB"/>
              </w:rPr>
              <w:t>（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6.32,22.25</w:t>
            </w:r>
            <w:r>
              <w:rPr>
                <w:rFonts w:hint="eastAsia" w:ascii="Arial" w:hAnsi="Arial" w:cs="Arial"/>
                <w:sz w:val="18"/>
                <w:szCs w:val="18"/>
                <w:lang w:val="en-GB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0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U(x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value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-1.916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GB"/>
              </w:rPr>
              <w:t>（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2.094</w:t>
            </w:r>
            <w:r>
              <w:rPr>
                <w:rFonts w:hint="eastAsia" w:ascii="Arial" w:hAnsi="Arial" w:cs="Arial"/>
                <w:sz w:val="18"/>
                <w:szCs w:val="18"/>
                <w:lang w:val="en-GB"/>
              </w:rPr>
              <w:t>）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-1.693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10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value</w:t>
            </w:r>
          </w:p>
        </w:tc>
        <w:tc>
          <w:tcPr>
            <w:tcW w:w="4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0.056</w:t>
            </w:r>
          </w:p>
        </w:tc>
        <w:tc>
          <w:tcPr>
            <w:tcW w:w="16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0.148</w:t>
            </w:r>
          </w:p>
        </w:tc>
        <w:tc>
          <w:tcPr>
            <w:tcW w:w="26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0.090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3B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2020-11-22T15:47:47Z</dcterms:created>
  <dc:creator>LENOVO</dc:creator>
  <cp:lastModifiedBy>LJ</cp:lastModifiedBy>
  <dcterms:modified xsi:type="dcterms:W3CDTF">2020-11-22T15:47:59Z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