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A4" w:rsidRDefault="00DA5FC2" w:rsidP="00DA5FC2">
      <w:pPr>
        <w:spacing w:line="240" w:lineRule="auto"/>
        <w:rPr>
          <w:rFonts w:cs="AdvGulliv-R"/>
        </w:rPr>
      </w:pPr>
      <w:r>
        <w:rPr>
          <w:rFonts w:cs="AdvGulliv-R"/>
        </w:rPr>
        <w:t xml:space="preserve">Additional </w:t>
      </w:r>
      <w:r w:rsidR="007B5A6A">
        <w:rPr>
          <w:rFonts w:cs="AdvGulliv-R"/>
        </w:rPr>
        <w:t>File</w:t>
      </w:r>
      <w:r>
        <w:rPr>
          <w:rFonts w:cs="AdvGulliv-R"/>
        </w:rPr>
        <w:t xml:space="preserve"> 1</w:t>
      </w:r>
      <w:r w:rsidR="00B307A4" w:rsidRPr="003D0AE4">
        <w:rPr>
          <w:rFonts w:cs="AdvGulliv-R"/>
        </w:rPr>
        <w:t xml:space="preserve">. </w:t>
      </w:r>
      <w:r w:rsidR="00B307A4">
        <w:rPr>
          <w:rFonts w:cs="AdvGulliv-R"/>
          <w:i/>
        </w:rPr>
        <w:t xml:space="preserve">Plasmodium </w:t>
      </w:r>
      <w:proofErr w:type="spellStart"/>
      <w:r w:rsidR="00B307A4">
        <w:rPr>
          <w:rFonts w:cs="AdvGulliv-R"/>
        </w:rPr>
        <w:t>SSUrDNA</w:t>
      </w:r>
      <w:proofErr w:type="spellEnd"/>
      <w:r w:rsidR="00B307A4">
        <w:rPr>
          <w:rFonts w:cs="AdvGulliv-R"/>
        </w:rPr>
        <w:t xml:space="preserve"> sequences </w:t>
      </w:r>
      <w:r w:rsidR="00DF5B2F">
        <w:rPr>
          <w:rFonts w:cs="AdvGulliv-R"/>
        </w:rPr>
        <w:t>and their GenBank accession numbers.</w:t>
      </w:r>
    </w:p>
    <w:tbl>
      <w:tblPr>
        <w:tblStyle w:val="TableGrid"/>
        <w:tblW w:w="0" w:type="auto"/>
        <w:jc w:val="center"/>
        <w:tblLook w:val="04A0" w:firstRow="1" w:lastRow="0" w:firstColumn="1" w:lastColumn="0" w:noHBand="0" w:noVBand="1"/>
      </w:tblPr>
      <w:tblGrid>
        <w:gridCol w:w="1902"/>
        <w:gridCol w:w="1708"/>
        <w:gridCol w:w="1344"/>
      </w:tblGrid>
      <w:tr w:rsidR="00B307A4" w:rsidTr="00DF5B2F">
        <w:trPr>
          <w:jc w:val="center"/>
        </w:trPr>
        <w:tc>
          <w:tcPr>
            <w:tcW w:w="1902" w:type="dxa"/>
            <w:vAlign w:val="center"/>
          </w:tcPr>
          <w:p w:rsidR="00B307A4" w:rsidRPr="003D0AE4" w:rsidRDefault="00B307A4" w:rsidP="00B307A4">
            <w:pPr>
              <w:jc w:val="center"/>
              <w:rPr>
                <w:rFonts w:cs="AdvGulliv-R"/>
                <w:sz w:val="20"/>
              </w:rPr>
            </w:pPr>
            <w:r w:rsidRPr="003D0AE4">
              <w:rPr>
                <w:rFonts w:cs="AdvGulliv-R"/>
                <w:sz w:val="20"/>
              </w:rPr>
              <w:t>Species</w:t>
            </w:r>
            <w:r w:rsidR="00DF5B2F">
              <w:rPr>
                <w:rFonts w:cs="AdvGulliv-R"/>
                <w:sz w:val="20"/>
              </w:rPr>
              <w:t>/Sample no.</w:t>
            </w:r>
          </w:p>
        </w:tc>
        <w:tc>
          <w:tcPr>
            <w:tcW w:w="1708" w:type="dxa"/>
            <w:vAlign w:val="center"/>
          </w:tcPr>
          <w:p w:rsidR="00B307A4" w:rsidRPr="003D0AE4" w:rsidRDefault="00DF5B2F" w:rsidP="00B307A4">
            <w:pPr>
              <w:jc w:val="center"/>
              <w:rPr>
                <w:rFonts w:cs="AdvGulliv-R"/>
                <w:sz w:val="20"/>
              </w:rPr>
            </w:pPr>
            <w:r>
              <w:rPr>
                <w:rFonts w:cs="AdvGulliv-R"/>
                <w:sz w:val="20"/>
              </w:rPr>
              <w:t xml:space="preserve">GenBank </w:t>
            </w:r>
            <w:proofErr w:type="spellStart"/>
            <w:r>
              <w:rPr>
                <w:rFonts w:cs="AdvGulliv-R"/>
                <w:sz w:val="20"/>
              </w:rPr>
              <w:t>Acc</w:t>
            </w:r>
            <w:proofErr w:type="spellEnd"/>
            <w:r>
              <w:rPr>
                <w:rFonts w:cs="AdvGulliv-R"/>
                <w:sz w:val="20"/>
              </w:rPr>
              <w:t xml:space="preserve"> No.</w:t>
            </w:r>
          </w:p>
        </w:tc>
        <w:tc>
          <w:tcPr>
            <w:tcW w:w="1344" w:type="dxa"/>
            <w:vAlign w:val="center"/>
          </w:tcPr>
          <w:p w:rsidR="00B307A4" w:rsidRPr="003D0AE4" w:rsidRDefault="00B307A4" w:rsidP="00B307A4">
            <w:pPr>
              <w:jc w:val="center"/>
              <w:rPr>
                <w:rFonts w:cs="AdvGulliv-R"/>
                <w:sz w:val="20"/>
              </w:rPr>
            </w:pPr>
            <w:r w:rsidRPr="003D0AE4">
              <w:rPr>
                <w:rFonts w:cs="AdvGulliv-R"/>
                <w:sz w:val="20"/>
              </w:rPr>
              <w:t>References</w:t>
            </w:r>
          </w:p>
        </w:tc>
      </w:tr>
      <w:tr w:rsidR="00B307A4" w:rsidTr="00DF5B2F">
        <w:trPr>
          <w:jc w:val="center"/>
        </w:trPr>
        <w:tc>
          <w:tcPr>
            <w:tcW w:w="1902" w:type="dxa"/>
            <w:vMerge w:val="restart"/>
            <w:vAlign w:val="center"/>
          </w:tcPr>
          <w:p w:rsidR="00B307A4" w:rsidRPr="003D0AE4" w:rsidRDefault="00B307A4" w:rsidP="00B307A4">
            <w:pPr>
              <w:jc w:val="center"/>
              <w:rPr>
                <w:rFonts w:cs="AdvGulliv-R"/>
                <w:i/>
                <w:sz w:val="20"/>
              </w:rPr>
            </w:pPr>
            <w:r>
              <w:rPr>
                <w:rFonts w:cs="AdvGulliv-R"/>
                <w:i/>
                <w:sz w:val="20"/>
              </w:rPr>
              <w:t xml:space="preserve">P. </w:t>
            </w:r>
            <w:proofErr w:type="spellStart"/>
            <w:r>
              <w:rPr>
                <w:rFonts w:cs="AdvGulliv-R"/>
                <w:i/>
                <w:sz w:val="20"/>
              </w:rPr>
              <w:t>gonderi</w:t>
            </w:r>
            <w:proofErr w:type="spellEnd"/>
          </w:p>
        </w:tc>
        <w:tc>
          <w:tcPr>
            <w:tcW w:w="1708" w:type="dxa"/>
            <w:vAlign w:val="center"/>
          </w:tcPr>
          <w:p w:rsidR="00B307A4" w:rsidRPr="003D0AE4" w:rsidRDefault="00B307A4" w:rsidP="00B307A4">
            <w:pPr>
              <w:jc w:val="center"/>
              <w:rPr>
                <w:rFonts w:cs="AdvGulliv-R"/>
                <w:sz w:val="20"/>
              </w:rPr>
            </w:pPr>
            <w:r>
              <w:rPr>
                <w:rFonts w:cs="AdvGulliv-R"/>
                <w:sz w:val="20"/>
              </w:rPr>
              <w:t>AB287269</w:t>
            </w:r>
          </w:p>
        </w:tc>
        <w:tc>
          <w:tcPr>
            <w:tcW w:w="1344" w:type="dxa"/>
            <w:vMerge w:val="restart"/>
            <w:vAlign w:val="center"/>
          </w:tcPr>
          <w:p w:rsidR="00B307A4" w:rsidRPr="003D0AE4" w:rsidRDefault="00B307A4" w:rsidP="00B307A4">
            <w:pPr>
              <w:jc w:val="center"/>
              <w:rPr>
                <w:rFonts w:cs="AdvGulliv-R"/>
                <w:sz w:val="20"/>
              </w:rPr>
            </w:pPr>
            <w:r>
              <w:rPr>
                <w:rFonts w:cs="AdvGulliv-R"/>
                <w:sz w:val="20"/>
              </w:rPr>
              <w:fldChar w:fldCharType="begin" w:fldLock="1"/>
            </w:r>
            <w:r w:rsidR="00C478A3">
              <w:rPr>
                <w:rFonts w:cs="AdvGulliv-R"/>
                <w:sz w:val="20"/>
              </w:rPr>
              <w:instrText>ADDIN CSL_CITATION {"citationItems":[{"id":"ITEM-1","itemData":{"DOI":"10.1016/j.ympev.2008.01.031","ISBN":"1055-7903 (Print)\\r1055-7903 (Linking)","ISSN":"10557903","PMID":"18334303","abstract":"Unlike other eukaryotes, malaria parasites in the genus Plasmodium have structurally and functionally different paralogous copies of the cytosolic (cyto-) SSU rRNA (18S rRNA) gene that are expressed at different developmental stages. In P. falciparum, P. vivax, and P. berghei, A-type cyto-SSU rRNA is expressed in asexual stage, while S-type in sporozoite stage. A third type (O-type) has been described in P. vivax. It is expressed only in oocyst stage in the mosquito. Recently, it has been shown that the maintenance of heterogeneous cyto-SSU rRNAs in Plasmodium can be modeled as a birth-and-death process under strong purifying selection [Rooney, A.P., 2004. Mechanisms underlying the evolution and maintenance of functionally heterogeneous 18S rRNA genes in Apicomplexans. Mol. Biol. Evol. 21, 1704-1711]. In this study, we performed detailed phylogenetic analyses of Plasmodium cyto-SSU rRNAs with special emphasis on the evolution of multi-copy genes in simian Plasmodium species. We sequenced paralogous copies of the cyto-SSU rRNA genes from an African simian Plasmodium species, P. gonderi, and Asian simian Plasmodium species, P. fragile, P. coatneyi, P. inui, P. hylobati, P. fieldi, P. simiovale, and P. cynomolgi. Interestingly, all Asian simian Plasmodium species have a single S-type-like gene and several A-type-like genes. Alignment analysis demonstrated for the first time that an approximately 50-residue insertion in the V7 variable region near the stem 43 is shared exclusively by the S-type-like sequences of the Asian simian Plasmodium species and the S- and O-type sequences of P. vivax. We comprehensively analyzed all cyto-SSU rRNA sequences of the genus Plasmodium currently available in the database. Phylogenetic analyses of all publicly available cyto-SSU rRNA sequences for the genus Plasmodium clearly demonstrated that gene duplication events giving rise to A- and S-type-like sequences took place independently at least three times in the Plasmodium evolution, supporting the hypothesis that these genes evolve according to a birth-and-death model. ?? 2008 Elsevier Inc. All rights reserved.","author":[{"dropping-particle":"","family":"Nishimoto","given":"Yuriko","non-dropping-particle":"","parse-names":false,"suffix":""},{"dropping-particle":"","family":"Arisue","given":"Nobuko","non-dropping-particle":"","parse-names":false,"suffix":""},{"dropping-particle":"","family":"Kawai","given":"Satoru","non-dropping-particle":"","parse-names":false,"suffix":""},{"dropping-particle":"","family":"Escalante","given":"Ananias A.","non-dropping-particle":"","parse-names":false,"suffix":""},{"dropping-particle":"","family":"Horii","given":"Toshihiro","non-dropping-particle":"","parse-names":false,"suffix":""},{"dropping-particle":"","family":"Tanabe","given":"Kazuyuki","non-dropping-particle":"","parse-names":false,"suffix":""},{"dropping-particle":"","family":"Hashimoto","given":"Tetsuo","non-dropping-particle":"","parse-names":false,"suffix":""}],"container-title":"Molecular Phylogenetics and Evolution","id":"ITEM-1","issue":"1","issued":{"date-parts":[["2008"]]},"page":"45-53","title":"Evolution and phylogeny of the heterogeneous cytosolic SSU rRNA genes in the genus Plasmodium","type":"article-journal","volume":"47"},"uris":["http://www.mendeley.com/documents/?uuid=1292eedc-a568-43e8-b2bc-143700dd7222"]}],"mendeley":{"formattedCitation":"[1]","plainTextFormattedCitation":"[1]","previouslyFormattedCitation":"[1]"},"properties":{"noteIndex":0},"schema":"https://github.com/citation-style-language/schema/raw/master/csl-citation.json"}</w:instrText>
            </w:r>
            <w:r>
              <w:rPr>
                <w:rFonts w:cs="AdvGulliv-R"/>
                <w:sz w:val="20"/>
              </w:rPr>
              <w:fldChar w:fldCharType="separate"/>
            </w:r>
            <w:r w:rsidR="00C478A3" w:rsidRPr="00C478A3">
              <w:rPr>
                <w:rFonts w:cs="AdvGulliv-R"/>
                <w:noProof/>
                <w:sz w:val="20"/>
              </w:rPr>
              <w:t>[1]</w:t>
            </w:r>
            <w:r>
              <w:rPr>
                <w:rFonts w:cs="AdvGulliv-R"/>
                <w:sz w:val="20"/>
              </w:rPr>
              <w:fldChar w:fldCharType="end"/>
            </w:r>
          </w:p>
        </w:tc>
      </w:tr>
      <w:tr w:rsidR="00B307A4" w:rsidTr="00DF5B2F">
        <w:trPr>
          <w:jc w:val="center"/>
        </w:trPr>
        <w:tc>
          <w:tcPr>
            <w:tcW w:w="1902" w:type="dxa"/>
            <w:vMerge/>
            <w:vAlign w:val="center"/>
          </w:tcPr>
          <w:p w:rsidR="00B307A4" w:rsidRPr="003D0AE4" w:rsidRDefault="00B307A4" w:rsidP="00B307A4">
            <w:pPr>
              <w:jc w:val="center"/>
              <w:rPr>
                <w:rFonts w:cs="AdvGulliv-R"/>
                <w:sz w:val="20"/>
              </w:rPr>
            </w:pPr>
          </w:p>
        </w:tc>
        <w:tc>
          <w:tcPr>
            <w:tcW w:w="1708" w:type="dxa"/>
            <w:vAlign w:val="center"/>
          </w:tcPr>
          <w:p w:rsidR="00B307A4" w:rsidRPr="003D0AE4" w:rsidRDefault="00B307A4" w:rsidP="00B307A4">
            <w:pPr>
              <w:jc w:val="center"/>
              <w:rPr>
                <w:rFonts w:cs="AdvGulliv-R"/>
                <w:sz w:val="20"/>
              </w:rPr>
            </w:pPr>
            <w:r>
              <w:rPr>
                <w:rFonts w:cs="AdvGulliv-R"/>
                <w:sz w:val="20"/>
              </w:rPr>
              <w:t>AB287270</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Pr="003D0AE4" w:rsidRDefault="00B307A4" w:rsidP="00B307A4">
            <w:pPr>
              <w:jc w:val="center"/>
              <w:rPr>
                <w:rFonts w:cs="AdvGulliv-R"/>
                <w:sz w:val="20"/>
              </w:rPr>
            </w:pPr>
          </w:p>
        </w:tc>
        <w:tc>
          <w:tcPr>
            <w:tcW w:w="1708" w:type="dxa"/>
            <w:vAlign w:val="center"/>
          </w:tcPr>
          <w:p w:rsidR="00B307A4" w:rsidRPr="003D0AE4" w:rsidRDefault="00B307A4" w:rsidP="00B307A4">
            <w:pPr>
              <w:jc w:val="center"/>
              <w:rPr>
                <w:rFonts w:cs="AdvGulliv-R"/>
                <w:sz w:val="20"/>
              </w:rPr>
            </w:pPr>
            <w:r>
              <w:rPr>
                <w:rFonts w:cs="AdvGulliv-R"/>
                <w:sz w:val="20"/>
              </w:rPr>
              <w:t>AB287271</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restart"/>
            <w:vAlign w:val="center"/>
          </w:tcPr>
          <w:p w:rsidR="00B307A4" w:rsidRPr="003D0AE4" w:rsidRDefault="00B307A4" w:rsidP="00B307A4">
            <w:pPr>
              <w:jc w:val="center"/>
              <w:rPr>
                <w:rFonts w:cs="AdvGulliv-R"/>
                <w:i/>
                <w:sz w:val="20"/>
              </w:rPr>
            </w:pPr>
            <w:r>
              <w:rPr>
                <w:rFonts w:cs="AdvGulliv-R"/>
                <w:i/>
                <w:sz w:val="20"/>
              </w:rPr>
              <w:t>P. fragile</w:t>
            </w:r>
          </w:p>
        </w:tc>
        <w:tc>
          <w:tcPr>
            <w:tcW w:w="1708" w:type="dxa"/>
            <w:vAlign w:val="center"/>
          </w:tcPr>
          <w:p w:rsidR="00B307A4" w:rsidRPr="003D0AE4" w:rsidRDefault="00B307A4" w:rsidP="00B307A4">
            <w:pPr>
              <w:jc w:val="center"/>
              <w:rPr>
                <w:rFonts w:cs="AdvGulliv-R"/>
                <w:sz w:val="20"/>
              </w:rPr>
            </w:pPr>
            <w:r>
              <w:rPr>
                <w:rFonts w:cs="AdvGulliv-R"/>
                <w:sz w:val="20"/>
              </w:rPr>
              <w:t>AB287272</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Pr="003D0AE4" w:rsidRDefault="00B307A4" w:rsidP="00B307A4">
            <w:pPr>
              <w:jc w:val="center"/>
              <w:rPr>
                <w:rFonts w:cs="AdvGulliv-R"/>
                <w:sz w:val="20"/>
              </w:rPr>
            </w:pPr>
          </w:p>
        </w:tc>
        <w:tc>
          <w:tcPr>
            <w:tcW w:w="1708" w:type="dxa"/>
            <w:vAlign w:val="center"/>
          </w:tcPr>
          <w:p w:rsidR="00B307A4" w:rsidRPr="003D0AE4" w:rsidRDefault="00B307A4" w:rsidP="00B307A4">
            <w:pPr>
              <w:jc w:val="center"/>
              <w:rPr>
                <w:rFonts w:cs="AdvGulliv-R"/>
                <w:sz w:val="20"/>
              </w:rPr>
            </w:pPr>
            <w:r>
              <w:rPr>
                <w:rFonts w:cs="AdvGulliv-R"/>
                <w:sz w:val="20"/>
              </w:rPr>
              <w:t>AB287273</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restart"/>
            <w:vAlign w:val="center"/>
          </w:tcPr>
          <w:p w:rsidR="00B307A4" w:rsidRPr="006A6B8E" w:rsidRDefault="00B307A4" w:rsidP="00B307A4">
            <w:pPr>
              <w:jc w:val="center"/>
              <w:rPr>
                <w:rFonts w:cs="AdvGulliv-R"/>
                <w:i/>
                <w:sz w:val="20"/>
              </w:rPr>
            </w:pPr>
            <w:r>
              <w:rPr>
                <w:rFonts w:cs="AdvGulliv-R"/>
                <w:i/>
                <w:sz w:val="20"/>
              </w:rPr>
              <w:t xml:space="preserve">P. </w:t>
            </w:r>
            <w:proofErr w:type="spellStart"/>
            <w:r>
              <w:rPr>
                <w:rFonts w:cs="AdvGulliv-R"/>
                <w:i/>
                <w:sz w:val="20"/>
              </w:rPr>
              <w:t>coatneyi</w:t>
            </w:r>
            <w:proofErr w:type="spellEnd"/>
          </w:p>
        </w:tc>
        <w:tc>
          <w:tcPr>
            <w:tcW w:w="1708" w:type="dxa"/>
            <w:vAlign w:val="center"/>
          </w:tcPr>
          <w:p w:rsidR="00B307A4" w:rsidRPr="003D0AE4" w:rsidRDefault="00B307A4" w:rsidP="00B307A4">
            <w:pPr>
              <w:jc w:val="center"/>
              <w:rPr>
                <w:rFonts w:cs="AdvGulliv-R"/>
                <w:sz w:val="20"/>
              </w:rPr>
            </w:pPr>
            <w:r>
              <w:rPr>
                <w:rFonts w:cs="AdvGulliv-R"/>
                <w:sz w:val="20"/>
              </w:rPr>
              <w:t>AB265789</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Default="00B307A4" w:rsidP="00B307A4">
            <w:pPr>
              <w:jc w:val="center"/>
              <w:rPr>
                <w:rFonts w:cs="AdvGulliv-R"/>
                <w:i/>
                <w:sz w:val="20"/>
              </w:rPr>
            </w:pPr>
          </w:p>
        </w:tc>
        <w:tc>
          <w:tcPr>
            <w:tcW w:w="1708" w:type="dxa"/>
            <w:vAlign w:val="center"/>
          </w:tcPr>
          <w:p w:rsidR="00B307A4" w:rsidRPr="003D0AE4" w:rsidRDefault="00B307A4" w:rsidP="00B307A4">
            <w:pPr>
              <w:jc w:val="center"/>
              <w:rPr>
                <w:rFonts w:cs="AdvGulliv-R"/>
                <w:sz w:val="20"/>
              </w:rPr>
            </w:pPr>
            <w:r>
              <w:rPr>
                <w:rFonts w:cs="AdvGulliv-R"/>
                <w:sz w:val="20"/>
              </w:rPr>
              <w:t>AB265791</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restart"/>
            <w:vAlign w:val="center"/>
          </w:tcPr>
          <w:p w:rsidR="00B307A4" w:rsidRDefault="00B307A4" w:rsidP="00B307A4">
            <w:pPr>
              <w:jc w:val="center"/>
              <w:rPr>
                <w:rFonts w:cs="AdvGulliv-R"/>
                <w:i/>
                <w:sz w:val="20"/>
              </w:rPr>
            </w:pPr>
            <w:r>
              <w:rPr>
                <w:rFonts w:cs="AdvGulliv-R"/>
                <w:i/>
                <w:sz w:val="20"/>
              </w:rPr>
              <w:t xml:space="preserve">P. </w:t>
            </w:r>
            <w:proofErr w:type="spellStart"/>
            <w:r>
              <w:rPr>
                <w:rFonts w:cs="AdvGulliv-R"/>
                <w:i/>
                <w:sz w:val="20"/>
              </w:rPr>
              <w:t>inui</w:t>
            </w:r>
            <w:proofErr w:type="spellEnd"/>
          </w:p>
        </w:tc>
        <w:tc>
          <w:tcPr>
            <w:tcW w:w="1708" w:type="dxa"/>
            <w:vAlign w:val="center"/>
          </w:tcPr>
          <w:p w:rsidR="00B307A4" w:rsidRPr="003D0AE4" w:rsidRDefault="00B307A4" w:rsidP="00B307A4">
            <w:pPr>
              <w:jc w:val="center"/>
              <w:rPr>
                <w:rFonts w:cs="AdvGulliv-R"/>
                <w:sz w:val="20"/>
              </w:rPr>
            </w:pPr>
            <w:r>
              <w:rPr>
                <w:rFonts w:cs="AdvGulliv-R"/>
                <w:sz w:val="20"/>
              </w:rPr>
              <w:t>AB287275</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Default="00B307A4" w:rsidP="00B307A4">
            <w:pPr>
              <w:jc w:val="center"/>
              <w:rPr>
                <w:rFonts w:cs="AdvGulliv-R"/>
                <w:i/>
                <w:sz w:val="20"/>
              </w:rPr>
            </w:pPr>
          </w:p>
        </w:tc>
        <w:tc>
          <w:tcPr>
            <w:tcW w:w="1708" w:type="dxa"/>
            <w:vAlign w:val="center"/>
          </w:tcPr>
          <w:p w:rsidR="00B307A4" w:rsidRPr="003D0AE4" w:rsidRDefault="00B307A4" w:rsidP="00B307A4">
            <w:pPr>
              <w:jc w:val="center"/>
              <w:rPr>
                <w:rFonts w:cs="AdvGulliv-R"/>
                <w:sz w:val="20"/>
              </w:rPr>
            </w:pPr>
            <w:r>
              <w:rPr>
                <w:rFonts w:cs="AdvGulliv-R"/>
                <w:sz w:val="20"/>
              </w:rPr>
              <w:t>AB287276</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restart"/>
            <w:vAlign w:val="center"/>
          </w:tcPr>
          <w:p w:rsidR="00B307A4" w:rsidRDefault="00B307A4" w:rsidP="00B307A4">
            <w:pPr>
              <w:jc w:val="center"/>
              <w:rPr>
                <w:rFonts w:cs="AdvGulliv-R"/>
                <w:i/>
                <w:sz w:val="20"/>
              </w:rPr>
            </w:pPr>
            <w:r>
              <w:rPr>
                <w:rFonts w:cs="AdvGulliv-R"/>
                <w:i/>
                <w:sz w:val="20"/>
              </w:rPr>
              <w:t xml:space="preserve">P. </w:t>
            </w:r>
            <w:proofErr w:type="spellStart"/>
            <w:r>
              <w:rPr>
                <w:rFonts w:cs="AdvGulliv-R"/>
                <w:i/>
                <w:sz w:val="20"/>
              </w:rPr>
              <w:t>hylobati</w:t>
            </w:r>
            <w:proofErr w:type="spellEnd"/>
          </w:p>
        </w:tc>
        <w:tc>
          <w:tcPr>
            <w:tcW w:w="1708" w:type="dxa"/>
            <w:vAlign w:val="center"/>
          </w:tcPr>
          <w:p w:rsidR="00B307A4" w:rsidRPr="003D0AE4" w:rsidRDefault="00B307A4" w:rsidP="00B307A4">
            <w:pPr>
              <w:jc w:val="center"/>
              <w:rPr>
                <w:rFonts w:cs="AdvGulliv-R"/>
                <w:sz w:val="20"/>
              </w:rPr>
            </w:pPr>
            <w:r>
              <w:rPr>
                <w:rFonts w:cs="AdvGulliv-R"/>
                <w:sz w:val="20"/>
              </w:rPr>
              <w:t>AB287278</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Default="00B307A4" w:rsidP="00B307A4">
            <w:pPr>
              <w:jc w:val="center"/>
              <w:rPr>
                <w:rFonts w:cs="AdvGulliv-R"/>
                <w:i/>
                <w:sz w:val="20"/>
              </w:rPr>
            </w:pPr>
          </w:p>
        </w:tc>
        <w:tc>
          <w:tcPr>
            <w:tcW w:w="1708" w:type="dxa"/>
            <w:vAlign w:val="center"/>
          </w:tcPr>
          <w:p w:rsidR="00B307A4" w:rsidRPr="003D0AE4" w:rsidRDefault="00B307A4" w:rsidP="00B307A4">
            <w:pPr>
              <w:jc w:val="center"/>
              <w:rPr>
                <w:rFonts w:cs="AdvGulliv-R"/>
                <w:sz w:val="20"/>
              </w:rPr>
            </w:pPr>
            <w:r>
              <w:rPr>
                <w:rFonts w:cs="AdvGulliv-R"/>
                <w:sz w:val="20"/>
              </w:rPr>
              <w:t>AB287279</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Default="00B307A4" w:rsidP="00B307A4">
            <w:pPr>
              <w:jc w:val="center"/>
              <w:rPr>
                <w:rFonts w:cs="AdvGulliv-R"/>
                <w:i/>
                <w:sz w:val="20"/>
              </w:rPr>
            </w:pPr>
          </w:p>
        </w:tc>
        <w:tc>
          <w:tcPr>
            <w:tcW w:w="1708" w:type="dxa"/>
            <w:vAlign w:val="center"/>
          </w:tcPr>
          <w:p w:rsidR="00B307A4" w:rsidRPr="003D0AE4" w:rsidRDefault="00B307A4" w:rsidP="00B307A4">
            <w:pPr>
              <w:jc w:val="center"/>
              <w:rPr>
                <w:rFonts w:cs="AdvGulliv-R"/>
                <w:sz w:val="20"/>
              </w:rPr>
            </w:pPr>
            <w:r>
              <w:rPr>
                <w:rFonts w:cs="AdvGulliv-R"/>
                <w:sz w:val="20"/>
              </w:rPr>
              <w:t>AB287280</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restart"/>
            <w:vAlign w:val="center"/>
          </w:tcPr>
          <w:p w:rsidR="00B307A4" w:rsidRDefault="00B307A4" w:rsidP="00B307A4">
            <w:pPr>
              <w:jc w:val="center"/>
              <w:rPr>
                <w:rFonts w:cs="AdvGulliv-R"/>
                <w:i/>
                <w:sz w:val="20"/>
              </w:rPr>
            </w:pPr>
            <w:r>
              <w:rPr>
                <w:rFonts w:cs="AdvGulliv-R"/>
                <w:i/>
                <w:sz w:val="20"/>
              </w:rPr>
              <w:t xml:space="preserve">P. </w:t>
            </w:r>
            <w:proofErr w:type="spellStart"/>
            <w:r>
              <w:rPr>
                <w:rFonts w:cs="AdvGulliv-R"/>
                <w:i/>
                <w:sz w:val="20"/>
              </w:rPr>
              <w:t>fieldi</w:t>
            </w:r>
            <w:proofErr w:type="spellEnd"/>
          </w:p>
        </w:tc>
        <w:tc>
          <w:tcPr>
            <w:tcW w:w="1708" w:type="dxa"/>
            <w:vAlign w:val="center"/>
          </w:tcPr>
          <w:p w:rsidR="00B307A4" w:rsidRPr="003D0AE4" w:rsidRDefault="00B307A4" w:rsidP="00B307A4">
            <w:pPr>
              <w:jc w:val="center"/>
              <w:rPr>
                <w:rFonts w:cs="AdvGulliv-R"/>
                <w:sz w:val="20"/>
              </w:rPr>
            </w:pPr>
            <w:r>
              <w:rPr>
                <w:rFonts w:cs="AdvGulliv-R"/>
                <w:sz w:val="20"/>
              </w:rPr>
              <w:t>AB287281</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Default="00B307A4" w:rsidP="00B307A4">
            <w:pPr>
              <w:jc w:val="center"/>
              <w:rPr>
                <w:rFonts w:cs="AdvGulliv-R"/>
                <w:i/>
                <w:sz w:val="20"/>
              </w:rPr>
            </w:pPr>
          </w:p>
        </w:tc>
        <w:tc>
          <w:tcPr>
            <w:tcW w:w="1708" w:type="dxa"/>
            <w:vAlign w:val="center"/>
          </w:tcPr>
          <w:p w:rsidR="00B307A4" w:rsidRPr="003D0AE4" w:rsidRDefault="00B307A4" w:rsidP="00B307A4">
            <w:pPr>
              <w:jc w:val="center"/>
              <w:rPr>
                <w:rFonts w:cs="AdvGulliv-R"/>
                <w:sz w:val="20"/>
              </w:rPr>
            </w:pPr>
            <w:r>
              <w:rPr>
                <w:rFonts w:cs="AdvGulliv-R"/>
                <w:sz w:val="20"/>
              </w:rPr>
              <w:t>AB287284</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restart"/>
            <w:vAlign w:val="center"/>
          </w:tcPr>
          <w:p w:rsidR="00B307A4" w:rsidRDefault="00B307A4" w:rsidP="00B307A4">
            <w:pPr>
              <w:jc w:val="center"/>
              <w:rPr>
                <w:rFonts w:cs="AdvGulliv-R"/>
                <w:i/>
                <w:sz w:val="20"/>
              </w:rPr>
            </w:pPr>
            <w:r>
              <w:rPr>
                <w:rFonts w:cs="AdvGulliv-R"/>
                <w:i/>
                <w:sz w:val="20"/>
              </w:rPr>
              <w:t xml:space="preserve">P. </w:t>
            </w:r>
            <w:proofErr w:type="spellStart"/>
            <w:r>
              <w:rPr>
                <w:rFonts w:cs="AdvGulliv-R"/>
                <w:i/>
                <w:sz w:val="20"/>
              </w:rPr>
              <w:t>simiovale</w:t>
            </w:r>
            <w:proofErr w:type="spellEnd"/>
          </w:p>
        </w:tc>
        <w:tc>
          <w:tcPr>
            <w:tcW w:w="1708" w:type="dxa"/>
            <w:vAlign w:val="center"/>
          </w:tcPr>
          <w:p w:rsidR="00B307A4" w:rsidRPr="003D0AE4" w:rsidRDefault="00B307A4" w:rsidP="00B307A4">
            <w:pPr>
              <w:jc w:val="center"/>
              <w:rPr>
                <w:rFonts w:cs="AdvGulliv-R"/>
                <w:sz w:val="20"/>
              </w:rPr>
            </w:pPr>
            <w:r>
              <w:rPr>
                <w:rFonts w:cs="AdvGulliv-R"/>
                <w:sz w:val="20"/>
              </w:rPr>
              <w:t>AB287285</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Default="00B307A4" w:rsidP="00B307A4">
            <w:pPr>
              <w:jc w:val="center"/>
              <w:rPr>
                <w:rFonts w:cs="AdvGulliv-R"/>
                <w:i/>
                <w:sz w:val="20"/>
              </w:rPr>
            </w:pPr>
          </w:p>
        </w:tc>
        <w:tc>
          <w:tcPr>
            <w:tcW w:w="1708" w:type="dxa"/>
            <w:vAlign w:val="center"/>
          </w:tcPr>
          <w:p w:rsidR="00B307A4" w:rsidRPr="003D0AE4" w:rsidRDefault="00B307A4" w:rsidP="00B307A4">
            <w:pPr>
              <w:jc w:val="center"/>
              <w:rPr>
                <w:rFonts w:cs="AdvGulliv-R"/>
                <w:sz w:val="20"/>
              </w:rPr>
            </w:pPr>
            <w:r>
              <w:rPr>
                <w:rFonts w:cs="AdvGulliv-R"/>
                <w:sz w:val="20"/>
              </w:rPr>
              <w:t>AB287286</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restart"/>
            <w:vAlign w:val="center"/>
          </w:tcPr>
          <w:p w:rsidR="00B307A4" w:rsidRDefault="00B307A4" w:rsidP="00B307A4">
            <w:pPr>
              <w:jc w:val="center"/>
              <w:rPr>
                <w:rFonts w:cs="AdvGulliv-R"/>
                <w:i/>
                <w:sz w:val="20"/>
              </w:rPr>
            </w:pPr>
            <w:r>
              <w:rPr>
                <w:rFonts w:cs="AdvGulliv-R"/>
                <w:i/>
                <w:sz w:val="20"/>
              </w:rPr>
              <w:t xml:space="preserve">P. </w:t>
            </w:r>
            <w:proofErr w:type="spellStart"/>
            <w:r>
              <w:rPr>
                <w:rFonts w:cs="AdvGulliv-R"/>
                <w:i/>
                <w:sz w:val="20"/>
              </w:rPr>
              <w:t>cynomolgi</w:t>
            </w:r>
            <w:proofErr w:type="spellEnd"/>
          </w:p>
        </w:tc>
        <w:tc>
          <w:tcPr>
            <w:tcW w:w="1708" w:type="dxa"/>
            <w:vAlign w:val="center"/>
          </w:tcPr>
          <w:p w:rsidR="00B307A4" w:rsidRPr="003D0AE4" w:rsidRDefault="00B307A4" w:rsidP="00B307A4">
            <w:pPr>
              <w:jc w:val="center"/>
              <w:rPr>
                <w:rFonts w:cs="AdvGulliv-R"/>
                <w:sz w:val="20"/>
              </w:rPr>
            </w:pPr>
            <w:r>
              <w:rPr>
                <w:rFonts w:cs="AdvGulliv-R"/>
                <w:sz w:val="20"/>
              </w:rPr>
              <w:t>AB287288</w:t>
            </w:r>
          </w:p>
        </w:tc>
        <w:tc>
          <w:tcPr>
            <w:tcW w:w="1344" w:type="dxa"/>
            <w:vMerge/>
            <w:vAlign w:val="center"/>
          </w:tcPr>
          <w:p w:rsidR="00B307A4" w:rsidRPr="003D0AE4" w:rsidRDefault="00B307A4" w:rsidP="00B307A4">
            <w:pPr>
              <w:jc w:val="center"/>
              <w:rPr>
                <w:rFonts w:cs="AdvGulliv-R"/>
                <w:sz w:val="20"/>
              </w:rPr>
            </w:pPr>
          </w:p>
        </w:tc>
      </w:tr>
      <w:tr w:rsidR="00B307A4" w:rsidTr="00DF5B2F">
        <w:trPr>
          <w:jc w:val="center"/>
        </w:trPr>
        <w:tc>
          <w:tcPr>
            <w:tcW w:w="1902" w:type="dxa"/>
            <w:vMerge/>
            <w:vAlign w:val="center"/>
          </w:tcPr>
          <w:p w:rsidR="00B307A4" w:rsidRDefault="00B307A4" w:rsidP="00B307A4">
            <w:pPr>
              <w:jc w:val="center"/>
              <w:rPr>
                <w:rFonts w:cs="AdvGulliv-R"/>
                <w:i/>
                <w:sz w:val="20"/>
              </w:rPr>
            </w:pPr>
          </w:p>
        </w:tc>
        <w:tc>
          <w:tcPr>
            <w:tcW w:w="1708" w:type="dxa"/>
            <w:vAlign w:val="center"/>
          </w:tcPr>
          <w:p w:rsidR="00B307A4" w:rsidRPr="003D0AE4" w:rsidRDefault="00B307A4" w:rsidP="00B307A4">
            <w:pPr>
              <w:jc w:val="center"/>
              <w:rPr>
                <w:rFonts w:cs="AdvGulliv-R"/>
                <w:sz w:val="20"/>
              </w:rPr>
            </w:pPr>
            <w:r>
              <w:rPr>
                <w:rFonts w:cs="AdvGulliv-R"/>
                <w:sz w:val="20"/>
              </w:rPr>
              <w:t>AB287289</w:t>
            </w:r>
          </w:p>
        </w:tc>
        <w:tc>
          <w:tcPr>
            <w:tcW w:w="1344" w:type="dxa"/>
            <w:vMerge/>
            <w:vAlign w:val="center"/>
          </w:tcPr>
          <w:p w:rsidR="00B307A4" w:rsidRPr="003D0AE4" w:rsidRDefault="00B307A4" w:rsidP="00B307A4">
            <w:pPr>
              <w:jc w:val="center"/>
              <w:rPr>
                <w:rFonts w:cs="AdvGulliv-R"/>
                <w:sz w:val="20"/>
              </w:rPr>
            </w:pPr>
          </w:p>
        </w:tc>
      </w:tr>
      <w:tr w:rsidR="00C478A3" w:rsidTr="00DF5B2F">
        <w:trPr>
          <w:jc w:val="center"/>
        </w:trPr>
        <w:tc>
          <w:tcPr>
            <w:tcW w:w="1902" w:type="dxa"/>
            <w:vMerge w:val="restart"/>
            <w:vAlign w:val="center"/>
          </w:tcPr>
          <w:p w:rsidR="00C478A3" w:rsidRDefault="00C478A3" w:rsidP="00B307A4">
            <w:pPr>
              <w:jc w:val="center"/>
              <w:rPr>
                <w:rFonts w:cs="AdvGulliv-R"/>
                <w:i/>
                <w:sz w:val="20"/>
              </w:rPr>
            </w:pPr>
            <w:r>
              <w:rPr>
                <w:rFonts w:cs="AdvGulliv-R"/>
                <w:i/>
                <w:sz w:val="20"/>
              </w:rPr>
              <w:t xml:space="preserve">P. </w:t>
            </w:r>
            <w:proofErr w:type="spellStart"/>
            <w:r>
              <w:rPr>
                <w:rFonts w:cs="AdvGulliv-R"/>
                <w:i/>
                <w:sz w:val="20"/>
              </w:rPr>
              <w:t>knowlesi</w:t>
            </w:r>
            <w:proofErr w:type="spellEnd"/>
          </w:p>
        </w:tc>
        <w:tc>
          <w:tcPr>
            <w:tcW w:w="1708" w:type="dxa"/>
            <w:vAlign w:val="center"/>
          </w:tcPr>
          <w:p w:rsidR="00C478A3" w:rsidRPr="003D0AE4" w:rsidRDefault="00C478A3" w:rsidP="00B307A4">
            <w:pPr>
              <w:jc w:val="center"/>
              <w:rPr>
                <w:rFonts w:cs="AdvGulliv-R"/>
                <w:sz w:val="20"/>
              </w:rPr>
            </w:pPr>
            <w:r>
              <w:rPr>
                <w:rFonts w:cs="AdvGulliv-R"/>
                <w:sz w:val="20"/>
              </w:rPr>
              <w:t>DQ641519</w:t>
            </w:r>
          </w:p>
        </w:tc>
        <w:tc>
          <w:tcPr>
            <w:tcW w:w="1344" w:type="dxa"/>
            <w:vMerge w:val="restart"/>
            <w:vAlign w:val="center"/>
          </w:tcPr>
          <w:p w:rsidR="00C478A3" w:rsidRPr="003D0AE4" w:rsidRDefault="00C478A3" w:rsidP="00B307A4">
            <w:pPr>
              <w:jc w:val="center"/>
              <w:rPr>
                <w:rFonts w:cs="AdvGulliv-R"/>
                <w:sz w:val="20"/>
              </w:rPr>
            </w:pPr>
            <w:r>
              <w:rPr>
                <w:rFonts w:cs="AdvGulliv-R"/>
                <w:sz w:val="20"/>
              </w:rPr>
              <w:t>Unpublished</w:t>
            </w: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Pr="003D0AE4" w:rsidRDefault="00C478A3" w:rsidP="00B307A4">
            <w:pPr>
              <w:jc w:val="center"/>
              <w:rPr>
                <w:rFonts w:cs="AdvGulliv-R"/>
                <w:sz w:val="20"/>
              </w:rPr>
            </w:pPr>
            <w:r>
              <w:rPr>
                <w:rFonts w:cs="AdvGulliv-R"/>
                <w:sz w:val="20"/>
              </w:rPr>
              <w:t>DQ641521</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Pr="003D0AE4" w:rsidRDefault="00C478A3" w:rsidP="00B307A4">
            <w:pPr>
              <w:jc w:val="center"/>
              <w:rPr>
                <w:rFonts w:cs="AdvGulliv-R"/>
                <w:sz w:val="20"/>
              </w:rPr>
            </w:pPr>
            <w:r>
              <w:rPr>
                <w:rFonts w:cs="AdvGulliv-R"/>
                <w:sz w:val="20"/>
              </w:rPr>
              <w:t>DQ350255</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Pr="003D0AE4" w:rsidRDefault="00C478A3" w:rsidP="00B307A4">
            <w:pPr>
              <w:jc w:val="center"/>
              <w:rPr>
                <w:rFonts w:cs="AdvGulliv-R"/>
                <w:sz w:val="20"/>
              </w:rPr>
            </w:pPr>
            <w:r>
              <w:rPr>
                <w:rFonts w:cs="AdvGulliv-R"/>
                <w:sz w:val="20"/>
              </w:rPr>
              <w:t>DQ350256</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Pr="003D0AE4" w:rsidRDefault="00C478A3" w:rsidP="00B307A4">
            <w:pPr>
              <w:jc w:val="center"/>
              <w:rPr>
                <w:rFonts w:cs="AdvGulliv-R"/>
                <w:sz w:val="20"/>
              </w:rPr>
            </w:pPr>
            <w:r>
              <w:rPr>
                <w:rFonts w:cs="AdvGulliv-R"/>
                <w:sz w:val="20"/>
              </w:rPr>
              <w:t>DQ350260</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Pr="003D0AE4" w:rsidRDefault="00C478A3" w:rsidP="00B307A4">
            <w:pPr>
              <w:jc w:val="center"/>
              <w:rPr>
                <w:rFonts w:cs="AdvGulliv-R"/>
                <w:sz w:val="20"/>
              </w:rPr>
            </w:pPr>
            <w:r>
              <w:rPr>
                <w:rFonts w:cs="AdvGulliv-R"/>
                <w:sz w:val="20"/>
              </w:rPr>
              <w:t>DQ350261</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Default="00C478A3" w:rsidP="00B307A4">
            <w:pPr>
              <w:jc w:val="center"/>
              <w:rPr>
                <w:rFonts w:cs="AdvGulliv-R"/>
                <w:sz w:val="20"/>
              </w:rPr>
            </w:pPr>
            <w:r>
              <w:rPr>
                <w:rFonts w:cs="AdvGulliv-R"/>
                <w:sz w:val="20"/>
              </w:rPr>
              <w:t>DQ350262</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restart"/>
            <w:vAlign w:val="center"/>
          </w:tcPr>
          <w:p w:rsidR="00C478A3" w:rsidRDefault="00C478A3" w:rsidP="00B307A4">
            <w:pPr>
              <w:jc w:val="center"/>
              <w:rPr>
                <w:rFonts w:cs="AdvGulliv-R"/>
                <w:i/>
                <w:sz w:val="20"/>
              </w:rPr>
            </w:pPr>
            <w:r>
              <w:rPr>
                <w:rFonts w:cs="AdvGulliv-R"/>
                <w:i/>
                <w:sz w:val="20"/>
              </w:rPr>
              <w:t xml:space="preserve">P. </w:t>
            </w:r>
            <w:proofErr w:type="spellStart"/>
            <w:r>
              <w:rPr>
                <w:rFonts w:cs="AdvGulliv-R"/>
                <w:i/>
                <w:sz w:val="20"/>
              </w:rPr>
              <w:t>fieldi</w:t>
            </w:r>
            <w:proofErr w:type="spellEnd"/>
            <w:r>
              <w:rPr>
                <w:rFonts w:cs="AdvGulliv-R"/>
                <w:i/>
                <w:sz w:val="20"/>
              </w:rPr>
              <w:t xml:space="preserve"> </w:t>
            </w:r>
            <w:proofErr w:type="spellStart"/>
            <w:r>
              <w:rPr>
                <w:rFonts w:cs="AdvGulliv-R"/>
                <w:sz w:val="20"/>
              </w:rPr>
              <w:t>cf</w:t>
            </w:r>
            <w:proofErr w:type="spellEnd"/>
          </w:p>
        </w:tc>
        <w:tc>
          <w:tcPr>
            <w:tcW w:w="1708" w:type="dxa"/>
            <w:vAlign w:val="center"/>
          </w:tcPr>
          <w:p w:rsidR="00C478A3" w:rsidRDefault="00C478A3" w:rsidP="00B307A4">
            <w:pPr>
              <w:jc w:val="center"/>
              <w:rPr>
                <w:rFonts w:cs="AdvGulliv-R"/>
                <w:sz w:val="20"/>
              </w:rPr>
            </w:pPr>
            <w:r>
              <w:rPr>
                <w:rFonts w:cs="AdvGulliv-R"/>
                <w:sz w:val="20"/>
              </w:rPr>
              <w:t>FJ619062</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Pr="00B943B6" w:rsidRDefault="00C478A3" w:rsidP="00B307A4">
            <w:pPr>
              <w:jc w:val="center"/>
              <w:rPr>
                <w:rFonts w:cs="AdvGulliv-R"/>
                <w:sz w:val="20"/>
              </w:rPr>
            </w:pPr>
          </w:p>
        </w:tc>
        <w:tc>
          <w:tcPr>
            <w:tcW w:w="1708" w:type="dxa"/>
            <w:vAlign w:val="center"/>
          </w:tcPr>
          <w:p w:rsidR="00C478A3" w:rsidRDefault="00C478A3" w:rsidP="00B307A4">
            <w:pPr>
              <w:jc w:val="center"/>
              <w:rPr>
                <w:rFonts w:cs="AdvGulliv-R"/>
                <w:sz w:val="20"/>
              </w:rPr>
            </w:pPr>
            <w:r>
              <w:rPr>
                <w:rFonts w:cs="AdvGulliv-R"/>
                <w:sz w:val="20"/>
              </w:rPr>
              <w:t>FJ619066</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Default="00C478A3" w:rsidP="00B307A4">
            <w:pPr>
              <w:jc w:val="center"/>
              <w:rPr>
                <w:rFonts w:cs="AdvGulliv-R"/>
                <w:sz w:val="20"/>
              </w:rPr>
            </w:pPr>
            <w:r>
              <w:rPr>
                <w:rFonts w:cs="AdvGulliv-R"/>
                <w:sz w:val="20"/>
              </w:rPr>
              <w:t>FJ619070</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restart"/>
            <w:vAlign w:val="center"/>
          </w:tcPr>
          <w:p w:rsidR="00C478A3" w:rsidRDefault="00C478A3" w:rsidP="00B307A4">
            <w:pPr>
              <w:jc w:val="center"/>
              <w:rPr>
                <w:rFonts w:cs="AdvGulliv-R"/>
                <w:i/>
                <w:sz w:val="20"/>
              </w:rPr>
            </w:pPr>
            <w:r>
              <w:rPr>
                <w:rFonts w:cs="AdvGulliv-R"/>
                <w:i/>
                <w:sz w:val="20"/>
              </w:rPr>
              <w:t xml:space="preserve">P. </w:t>
            </w:r>
            <w:proofErr w:type="spellStart"/>
            <w:r>
              <w:rPr>
                <w:rFonts w:cs="AdvGulliv-R"/>
                <w:i/>
                <w:sz w:val="20"/>
              </w:rPr>
              <w:t>sp</w:t>
            </w:r>
            <w:proofErr w:type="spellEnd"/>
          </w:p>
        </w:tc>
        <w:tc>
          <w:tcPr>
            <w:tcW w:w="1708" w:type="dxa"/>
            <w:vAlign w:val="center"/>
          </w:tcPr>
          <w:p w:rsidR="00C478A3" w:rsidRDefault="00C478A3" w:rsidP="00B307A4">
            <w:pPr>
              <w:jc w:val="center"/>
              <w:rPr>
                <w:rFonts w:cs="AdvGulliv-R"/>
                <w:sz w:val="20"/>
              </w:rPr>
            </w:pPr>
            <w:r>
              <w:rPr>
                <w:rFonts w:cs="AdvGulliv-R"/>
                <w:sz w:val="20"/>
              </w:rPr>
              <w:t>FJ619071</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Default="00C478A3" w:rsidP="00B307A4">
            <w:pPr>
              <w:jc w:val="center"/>
              <w:rPr>
                <w:rFonts w:cs="AdvGulliv-R"/>
                <w:sz w:val="20"/>
              </w:rPr>
            </w:pPr>
            <w:r>
              <w:rPr>
                <w:rFonts w:cs="AdvGulliv-R"/>
                <w:sz w:val="20"/>
              </w:rPr>
              <w:t>FJ619074</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Default="00C478A3" w:rsidP="00B307A4">
            <w:pPr>
              <w:jc w:val="center"/>
              <w:rPr>
                <w:rFonts w:cs="AdvGulliv-R"/>
                <w:sz w:val="20"/>
              </w:rPr>
            </w:pPr>
            <w:r>
              <w:rPr>
                <w:rFonts w:cs="AdvGulliv-R"/>
                <w:sz w:val="20"/>
              </w:rPr>
              <w:t>FJ619077</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Default="00C478A3" w:rsidP="00B307A4">
            <w:pPr>
              <w:jc w:val="center"/>
              <w:rPr>
                <w:rFonts w:cs="AdvGulliv-R"/>
                <w:sz w:val="20"/>
              </w:rPr>
            </w:pPr>
            <w:r>
              <w:rPr>
                <w:rFonts w:cs="AdvGulliv-R"/>
                <w:sz w:val="20"/>
              </w:rPr>
              <w:t>FJ619087</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restart"/>
            <w:vAlign w:val="center"/>
          </w:tcPr>
          <w:p w:rsidR="00C478A3" w:rsidRPr="00B943B6" w:rsidRDefault="00C478A3" w:rsidP="00B307A4">
            <w:pPr>
              <w:jc w:val="center"/>
              <w:rPr>
                <w:rFonts w:cs="AdvGulliv-R"/>
                <w:sz w:val="20"/>
              </w:rPr>
            </w:pPr>
            <w:r>
              <w:rPr>
                <w:rFonts w:cs="AdvGulliv-R"/>
                <w:i/>
                <w:sz w:val="20"/>
              </w:rPr>
              <w:t xml:space="preserve">P. </w:t>
            </w:r>
            <w:proofErr w:type="spellStart"/>
            <w:r>
              <w:rPr>
                <w:rFonts w:cs="AdvGulliv-R"/>
                <w:i/>
                <w:sz w:val="20"/>
              </w:rPr>
              <w:t>inui</w:t>
            </w:r>
            <w:proofErr w:type="spellEnd"/>
            <w:r>
              <w:rPr>
                <w:rFonts w:cs="AdvGulliv-R"/>
                <w:i/>
                <w:sz w:val="20"/>
              </w:rPr>
              <w:t xml:space="preserve"> </w:t>
            </w:r>
            <w:proofErr w:type="spellStart"/>
            <w:r>
              <w:rPr>
                <w:rFonts w:cs="AdvGulliv-R"/>
                <w:sz w:val="20"/>
              </w:rPr>
              <w:t>cf</w:t>
            </w:r>
            <w:proofErr w:type="spellEnd"/>
          </w:p>
        </w:tc>
        <w:tc>
          <w:tcPr>
            <w:tcW w:w="1708" w:type="dxa"/>
            <w:vAlign w:val="center"/>
          </w:tcPr>
          <w:p w:rsidR="00C478A3" w:rsidRDefault="00C478A3" w:rsidP="00B307A4">
            <w:pPr>
              <w:jc w:val="center"/>
              <w:rPr>
                <w:rFonts w:cs="AdvGulliv-R"/>
                <w:sz w:val="20"/>
              </w:rPr>
            </w:pPr>
            <w:r>
              <w:rPr>
                <w:rFonts w:cs="AdvGulliv-R"/>
                <w:sz w:val="20"/>
              </w:rPr>
              <w:t>FJ619065</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307A4">
            <w:pPr>
              <w:jc w:val="center"/>
              <w:rPr>
                <w:rFonts w:cs="AdvGulliv-R"/>
                <w:i/>
                <w:sz w:val="20"/>
              </w:rPr>
            </w:pPr>
          </w:p>
        </w:tc>
        <w:tc>
          <w:tcPr>
            <w:tcW w:w="1708" w:type="dxa"/>
            <w:vAlign w:val="center"/>
          </w:tcPr>
          <w:p w:rsidR="00C478A3" w:rsidRDefault="00C478A3" w:rsidP="00B307A4">
            <w:pPr>
              <w:jc w:val="center"/>
              <w:rPr>
                <w:rFonts w:cs="AdvGulliv-R"/>
                <w:sz w:val="20"/>
              </w:rPr>
            </w:pPr>
            <w:r>
              <w:rPr>
                <w:rFonts w:cs="AdvGulliv-R"/>
                <w:sz w:val="20"/>
              </w:rPr>
              <w:t>FJ619091</w:t>
            </w:r>
          </w:p>
        </w:tc>
        <w:tc>
          <w:tcPr>
            <w:tcW w:w="1344" w:type="dxa"/>
            <w:vMerge/>
            <w:vAlign w:val="center"/>
          </w:tcPr>
          <w:p w:rsidR="00C478A3" w:rsidRPr="003D0AE4" w:rsidRDefault="00C478A3" w:rsidP="00B307A4">
            <w:pPr>
              <w:jc w:val="center"/>
              <w:rPr>
                <w:rFonts w:cs="AdvGulliv-R"/>
                <w:sz w:val="20"/>
              </w:rPr>
            </w:pPr>
          </w:p>
        </w:tc>
      </w:tr>
      <w:tr w:rsidR="00C478A3" w:rsidTr="00DF5B2F">
        <w:trPr>
          <w:jc w:val="center"/>
        </w:trPr>
        <w:tc>
          <w:tcPr>
            <w:tcW w:w="1902" w:type="dxa"/>
            <w:vMerge/>
            <w:vAlign w:val="center"/>
          </w:tcPr>
          <w:p w:rsidR="00C478A3" w:rsidRDefault="00C478A3" w:rsidP="00B943B6">
            <w:pPr>
              <w:jc w:val="center"/>
              <w:rPr>
                <w:rFonts w:cs="AdvGulliv-R"/>
                <w:i/>
                <w:sz w:val="20"/>
              </w:rPr>
            </w:pPr>
          </w:p>
        </w:tc>
        <w:tc>
          <w:tcPr>
            <w:tcW w:w="1708" w:type="dxa"/>
            <w:vAlign w:val="center"/>
          </w:tcPr>
          <w:p w:rsidR="00C478A3" w:rsidRDefault="00C478A3" w:rsidP="00B943B6">
            <w:pPr>
              <w:jc w:val="center"/>
              <w:rPr>
                <w:rFonts w:cs="AdvGulliv-R"/>
                <w:sz w:val="20"/>
              </w:rPr>
            </w:pPr>
            <w:r>
              <w:rPr>
                <w:rFonts w:cs="AdvGulliv-R"/>
                <w:sz w:val="20"/>
              </w:rPr>
              <w:t>FJ619096</w:t>
            </w:r>
          </w:p>
        </w:tc>
        <w:tc>
          <w:tcPr>
            <w:tcW w:w="1344" w:type="dxa"/>
            <w:vMerge/>
            <w:vAlign w:val="center"/>
          </w:tcPr>
          <w:p w:rsidR="00C478A3" w:rsidRPr="003D0AE4" w:rsidRDefault="00C478A3" w:rsidP="00B943B6">
            <w:pPr>
              <w:jc w:val="center"/>
              <w:rPr>
                <w:rFonts w:cs="AdvGulliv-R"/>
                <w:sz w:val="20"/>
              </w:rPr>
            </w:pPr>
          </w:p>
        </w:tc>
      </w:tr>
      <w:tr w:rsidR="00C478A3" w:rsidTr="00DF5B2F">
        <w:trPr>
          <w:jc w:val="center"/>
        </w:trPr>
        <w:tc>
          <w:tcPr>
            <w:tcW w:w="1902" w:type="dxa"/>
            <w:vMerge w:val="restart"/>
            <w:vAlign w:val="center"/>
          </w:tcPr>
          <w:p w:rsidR="00C478A3" w:rsidRDefault="00C478A3" w:rsidP="00B943B6">
            <w:pPr>
              <w:jc w:val="center"/>
              <w:rPr>
                <w:rFonts w:cs="AdvGulliv-R"/>
                <w:i/>
                <w:sz w:val="20"/>
              </w:rPr>
            </w:pPr>
            <w:r>
              <w:rPr>
                <w:rFonts w:cs="AdvGulliv-R"/>
                <w:i/>
                <w:sz w:val="20"/>
              </w:rPr>
              <w:t>P. vivax</w:t>
            </w:r>
          </w:p>
        </w:tc>
        <w:tc>
          <w:tcPr>
            <w:tcW w:w="1708" w:type="dxa"/>
            <w:vAlign w:val="center"/>
          </w:tcPr>
          <w:p w:rsidR="00C478A3" w:rsidRDefault="00C478A3" w:rsidP="00B943B6">
            <w:pPr>
              <w:jc w:val="center"/>
              <w:rPr>
                <w:rFonts w:cs="AdvGulliv-R"/>
                <w:sz w:val="20"/>
              </w:rPr>
            </w:pPr>
            <w:r>
              <w:rPr>
                <w:rFonts w:cs="AdvGulliv-R"/>
                <w:sz w:val="20"/>
              </w:rPr>
              <w:t>U83877</w:t>
            </w:r>
          </w:p>
        </w:tc>
        <w:tc>
          <w:tcPr>
            <w:tcW w:w="1344" w:type="dxa"/>
            <w:vAlign w:val="center"/>
          </w:tcPr>
          <w:p w:rsidR="00C478A3" w:rsidRDefault="00C478A3" w:rsidP="00B943B6">
            <w:pPr>
              <w:jc w:val="center"/>
              <w:rPr>
                <w:rFonts w:cs="AdvGulliv-R"/>
                <w:sz w:val="20"/>
              </w:rPr>
            </w:pPr>
            <w:r>
              <w:rPr>
                <w:rFonts w:cs="AdvGulliv-R"/>
                <w:sz w:val="20"/>
              </w:rPr>
              <w:t>Unpublished</w:t>
            </w:r>
          </w:p>
        </w:tc>
      </w:tr>
      <w:tr w:rsidR="00C478A3" w:rsidTr="00DF5B2F">
        <w:trPr>
          <w:jc w:val="center"/>
        </w:trPr>
        <w:tc>
          <w:tcPr>
            <w:tcW w:w="1902" w:type="dxa"/>
            <w:vMerge/>
            <w:vAlign w:val="center"/>
          </w:tcPr>
          <w:p w:rsidR="00C478A3" w:rsidRDefault="00C478A3" w:rsidP="00B943B6">
            <w:pPr>
              <w:jc w:val="center"/>
              <w:rPr>
                <w:rFonts w:cs="AdvGulliv-R"/>
                <w:i/>
                <w:sz w:val="20"/>
              </w:rPr>
            </w:pPr>
          </w:p>
        </w:tc>
        <w:tc>
          <w:tcPr>
            <w:tcW w:w="1708" w:type="dxa"/>
            <w:vAlign w:val="center"/>
          </w:tcPr>
          <w:p w:rsidR="00C478A3" w:rsidRDefault="00C478A3" w:rsidP="00B943B6">
            <w:pPr>
              <w:jc w:val="center"/>
              <w:rPr>
                <w:rFonts w:cs="AdvGulliv-R"/>
                <w:sz w:val="20"/>
              </w:rPr>
            </w:pPr>
            <w:r>
              <w:rPr>
                <w:rFonts w:cs="AdvGulliv-R"/>
                <w:sz w:val="20"/>
              </w:rPr>
              <w:t>U07367</w:t>
            </w:r>
          </w:p>
        </w:tc>
        <w:tc>
          <w:tcPr>
            <w:tcW w:w="1344" w:type="dxa"/>
            <w:vMerge w:val="restart"/>
            <w:vAlign w:val="center"/>
          </w:tcPr>
          <w:p w:rsidR="00C478A3" w:rsidRPr="003D0AE4" w:rsidRDefault="00C478A3" w:rsidP="00B943B6">
            <w:pPr>
              <w:jc w:val="center"/>
              <w:rPr>
                <w:rFonts w:cs="AdvGulliv-R"/>
                <w:sz w:val="20"/>
              </w:rPr>
            </w:pPr>
            <w:r>
              <w:rPr>
                <w:rFonts w:cs="AdvGulliv-R"/>
                <w:sz w:val="20"/>
              </w:rPr>
              <w:fldChar w:fldCharType="begin" w:fldLock="1"/>
            </w:r>
            <w:r>
              <w:rPr>
                <w:rFonts w:cs="AdvGulliv-R"/>
                <w:sz w:val="20"/>
              </w:rPr>
              <w:instrText>ADDIN CSL_CITATION {"citationItems":[{"id":"ITEM-1","itemData":{"DOI":"10.1016/0166-6851(94)90079-5","ISSN":"01666851","PMID":"7969269","abstract":"Two distinct small subunit ribosomal RNA (SSUrRNA) genes were amplified from the genomic DNA of Plasmodium vivax. Comparison of the two coding sequences reveals an overall divergence of 14.5% and most differences are clustered into the regions known to diverge rapidly in all eukaryotic SSUrRNAs. Oligonucleotides complementary to unique sequences of each gene have been used to distinguish the transcripts expressed either at schizogony in human blood (A gene) or at sporogony in the mosquito (C gene). These oligonucleotides were also used to monitor turnover of ribosomes during parasite development in mosquitoes. Transcripts of the A gene were predominant in the infected human blood and engorged mosquitoes but disappeared within 24 h after feeding. Expression of the C gene in mosquitoes was not detected until day 6 after the blood meal. A period of rapid accumulation of the C type rRNA from day 6 today 8 corresponds to differentiation of individual sporozoites within the oocyst. Possible functional implications relating to the timing of this transition are discussed. ?? 1994.","author":[{"dropping-particle":"","family":"Li","given":"Jun","non-dropping-particle":"","parse-names":false,"suffix":""},{"dropping-particle":"","family":"Wirtz","given":"Robert A.","non-dropping-particle":"","parse-names":false,"suffix":""},{"dropping-particle":"","family":"McConkey","given":"Glenn A.","non-dropping-particle":"","parse-names":false,"suffix":""},{"dropping-particle":"","family":"Sattabongkot","given":"Jetsumon","non-dropping-particle":"","parse-names":false,"suffix":""},{"dropping-particle":"","family":"McCutchan","given":"Thomas F.","non-dropping-particle":"","parse-names":false,"suffix":""}],"container-title":"Molecular and Biochemical Parasitology","id":"ITEM-1","issue":"2","issued":{"date-parts":[["1994"]]},"note":"NULL","page":"283-289","title":"Transition of Plasmodium vivax ribosome types corresponds to sporozoite differentiation in the mosquito","type":"article-journal","volume":"65"},"uris":["http://www.mendeley.com/documents/?uuid=8895c210-5a82-42cd-bda9-adef00333d96"]}],"mendeley":{"formattedCitation":"[2]","plainTextFormattedCitation":"[2]","previouslyFormattedCitation":"[2]"},"properties":{"noteIndex":0},"schema":"https://github.com/citation-style-language/schema/raw/master/csl-citation.json"}</w:instrText>
            </w:r>
            <w:r>
              <w:rPr>
                <w:rFonts w:cs="AdvGulliv-R"/>
                <w:sz w:val="20"/>
              </w:rPr>
              <w:fldChar w:fldCharType="separate"/>
            </w:r>
            <w:r w:rsidRPr="00C478A3">
              <w:rPr>
                <w:rFonts w:cs="AdvGulliv-R"/>
                <w:noProof/>
                <w:sz w:val="20"/>
              </w:rPr>
              <w:t>[2]</w:t>
            </w:r>
            <w:r>
              <w:rPr>
                <w:rFonts w:cs="AdvGulliv-R"/>
                <w:sz w:val="20"/>
              </w:rPr>
              <w:fldChar w:fldCharType="end"/>
            </w:r>
          </w:p>
        </w:tc>
      </w:tr>
      <w:tr w:rsidR="00C478A3" w:rsidTr="00DF5B2F">
        <w:trPr>
          <w:jc w:val="center"/>
        </w:trPr>
        <w:tc>
          <w:tcPr>
            <w:tcW w:w="1902" w:type="dxa"/>
            <w:vMerge/>
            <w:vAlign w:val="center"/>
          </w:tcPr>
          <w:p w:rsidR="00C478A3" w:rsidRDefault="00C478A3" w:rsidP="00B943B6">
            <w:pPr>
              <w:jc w:val="center"/>
              <w:rPr>
                <w:rFonts w:cs="AdvGulliv-R"/>
                <w:i/>
                <w:sz w:val="20"/>
              </w:rPr>
            </w:pPr>
          </w:p>
        </w:tc>
        <w:tc>
          <w:tcPr>
            <w:tcW w:w="1708" w:type="dxa"/>
            <w:vAlign w:val="center"/>
          </w:tcPr>
          <w:p w:rsidR="00C478A3" w:rsidRDefault="00C478A3" w:rsidP="00B943B6">
            <w:pPr>
              <w:jc w:val="center"/>
              <w:rPr>
                <w:rFonts w:cs="AdvGulliv-R"/>
                <w:sz w:val="20"/>
              </w:rPr>
            </w:pPr>
            <w:r>
              <w:rPr>
                <w:rFonts w:cs="AdvGulliv-R"/>
                <w:sz w:val="20"/>
              </w:rPr>
              <w:t>U07368</w:t>
            </w:r>
          </w:p>
        </w:tc>
        <w:tc>
          <w:tcPr>
            <w:tcW w:w="1344" w:type="dxa"/>
            <w:vMerge/>
            <w:vAlign w:val="center"/>
          </w:tcPr>
          <w:p w:rsidR="00C478A3" w:rsidRPr="003D0AE4" w:rsidRDefault="00C478A3" w:rsidP="00B943B6">
            <w:pPr>
              <w:jc w:val="center"/>
              <w:rPr>
                <w:rFonts w:cs="AdvGulliv-R"/>
                <w:sz w:val="20"/>
              </w:rPr>
            </w:pPr>
          </w:p>
        </w:tc>
      </w:tr>
      <w:tr w:rsidR="00C478A3" w:rsidTr="00DF5B2F">
        <w:trPr>
          <w:jc w:val="center"/>
        </w:trPr>
        <w:tc>
          <w:tcPr>
            <w:tcW w:w="1902" w:type="dxa"/>
            <w:vMerge/>
            <w:vAlign w:val="center"/>
          </w:tcPr>
          <w:p w:rsidR="00C478A3" w:rsidRDefault="00C478A3" w:rsidP="00B943B6">
            <w:pPr>
              <w:jc w:val="center"/>
              <w:rPr>
                <w:rFonts w:cs="AdvGulliv-R"/>
                <w:i/>
                <w:sz w:val="20"/>
              </w:rPr>
            </w:pPr>
          </w:p>
        </w:tc>
        <w:tc>
          <w:tcPr>
            <w:tcW w:w="1708" w:type="dxa"/>
            <w:vAlign w:val="center"/>
          </w:tcPr>
          <w:p w:rsidR="00C478A3" w:rsidRDefault="00C478A3" w:rsidP="00B943B6">
            <w:pPr>
              <w:jc w:val="center"/>
              <w:rPr>
                <w:rFonts w:cs="AdvGulliv-R"/>
                <w:sz w:val="20"/>
              </w:rPr>
            </w:pPr>
            <w:r>
              <w:rPr>
                <w:rFonts w:cs="AdvGulliv-R"/>
                <w:sz w:val="20"/>
              </w:rPr>
              <w:t>X13926</w:t>
            </w:r>
          </w:p>
        </w:tc>
        <w:tc>
          <w:tcPr>
            <w:tcW w:w="1344" w:type="dxa"/>
            <w:vAlign w:val="center"/>
          </w:tcPr>
          <w:p w:rsidR="00C478A3" w:rsidRPr="003D0AE4" w:rsidRDefault="00C478A3" w:rsidP="00B943B6">
            <w:pPr>
              <w:jc w:val="center"/>
              <w:rPr>
                <w:rFonts w:cs="AdvGulliv-R"/>
                <w:sz w:val="20"/>
              </w:rPr>
            </w:pPr>
            <w:r>
              <w:rPr>
                <w:rFonts w:cs="AdvGulliv-R"/>
                <w:sz w:val="20"/>
              </w:rPr>
              <w:fldChar w:fldCharType="begin" w:fldLock="1"/>
            </w:r>
            <w:r>
              <w:rPr>
                <w:rFonts w:cs="AdvGulliv-R"/>
                <w:sz w:val="20"/>
              </w:rPr>
              <w:instrText>ADDIN CSL_CITATION {"citationItems":[{"id":"ITEM-1","itemData":{"DOI":"10.1093/nar/17.5.2135","ISSN":"03051048","author":[{"dropping-particle":"","family":"Waters","given":"A. P.","non-dropping-particle":"","parse-names":false,"suffix":""},{"dropping-particle":"","family":"Mccutchan","given":"T. F.","non-dropping-particle":"","parse-names":false,"suffix":""}],"container-title":"Nucleic Acids Research","id":"ITEM-1","issue":"5","issued":{"date-parts":[["1989"]]},"page":"2135","title":"Partial sequence of the asexually expressed SU rRNA gene of Plasmdium vivax","type":"article-journal","volume":"17"},"uris":["http://www.mendeley.com/documents/?uuid=941d9adf-7e1d-4f2b-a2be-7a4fac3b2ac9"]}],"mendeley":{"formattedCitation":"[3]","plainTextFormattedCitation":"[3]","previouslyFormattedCitation":"[3]"},"properties":{"noteIndex":0},"schema":"https://github.com/citation-style-language/schema/raw/master/csl-citation.json"}</w:instrText>
            </w:r>
            <w:r>
              <w:rPr>
                <w:rFonts w:cs="AdvGulliv-R"/>
                <w:sz w:val="20"/>
              </w:rPr>
              <w:fldChar w:fldCharType="separate"/>
            </w:r>
            <w:r w:rsidRPr="00C478A3">
              <w:rPr>
                <w:rFonts w:cs="AdvGulliv-R"/>
                <w:noProof/>
                <w:sz w:val="20"/>
              </w:rPr>
              <w:t>[3]</w:t>
            </w:r>
            <w:r>
              <w:rPr>
                <w:rFonts w:cs="AdvGulliv-R"/>
                <w:sz w:val="20"/>
              </w:rPr>
              <w:fldChar w:fldCharType="end"/>
            </w:r>
          </w:p>
        </w:tc>
      </w:tr>
      <w:tr w:rsidR="00B943B6" w:rsidTr="00DF5B2F">
        <w:trPr>
          <w:jc w:val="center"/>
        </w:trPr>
        <w:tc>
          <w:tcPr>
            <w:tcW w:w="1902" w:type="dxa"/>
            <w:vMerge w:val="restart"/>
            <w:vAlign w:val="center"/>
          </w:tcPr>
          <w:p w:rsidR="00B943B6" w:rsidRDefault="00B943B6" w:rsidP="00B943B6">
            <w:pPr>
              <w:jc w:val="center"/>
              <w:rPr>
                <w:rFonts w:cs="AdvGulliv-R"/>
                <w:i/>
                <w:sz w:val="20"/>
              </w:rPr>
            </w:pPr>
            <w:r>
              <w:rPr>
                <w:rFonts w:cs="AdvGulliv-R"/>
                <w:i/>
                <w:sz w:val="20"/>
              </w:rPr>
              <w:t>P. falciparum</w:t>
            </w:r>
          </w:p>
        </w:tc>
        <w:tc>
          <w:tcPr>
            <w:tcW w:w="1708" w:type="dxa"/>
            <w:vAlign w:val="center"/>
          </w:tcPr>
          <w:p w:rsidR="00B943B6" w:rsidRDefault="00B943B6" w:rsidP="00B943B6">
            <w:pPr>
              <w:jc w:val="center"/>
              <w:rPr>
                <w:rFonts w:cs="AdvGulliv-R"/>
                <w:sz w:val="20"/>
              </w:rPr>
            </w:pPr>
            <w:r>
              <w:rPr>
                <w:rFonts w:cs="AdvGulliv-R"/>
                <w:sz w:val="20"/>
              </w:rPr>
              <w:t>M19172</w:t>
            </w:r>
          </w:p>
        </w:tc>
        <w:tc>
          <w:tcPr>
            <w:tcW w:w="1344" w:type="dxa"/>
            <w:vMerge w:val="restart"/>
            <w:vAlign w:val="center"/>
          </w:tcPr>
          <w:p w:rsidR="00B943B6" w:rsidRPr="003D0AE4" w:rsidRDefault="00B943B6" w:rsidP="00B943B6">
            <w:pPr>
              <w:jc w:val="center"/>
              <w:rPr>
                <w:rFonts w:cs="AdvGulliv-R"/>
                <w:sz w:val="20"/>
              </w:rPr>
            </w:pPr>
            <w:r>
              <w:rPr>
                <w:rFonts w:cs="AdvGulliv-R"/>
                <w:sz w:val="20"/>
              </w:rPr>
              <w:fldChar w:fldCharType="begin" w:fldLock="1"/>
            </w:r>
            <w:r w:rsidR="00C478A3">
              <w:rPr>
                <w:rFonts w:cs="AdvGulliv-R"/>
                <w:sz w:val="20"/>
              </w:rPr>
              <w:instrText>ADDIN CSL_CITATION {"citationItems":[{"id":"ITEM-1","itemData":{"DOI":"10.1016/0166-6851(88)90181-8","ISSN":"01666851","abstract":"We have determined the complete sequence of two structurally distinct 18S ribosomal RNA genes from the malarial parasite Plasmodium falciparum. S1 nuclease analyses demonstrate that only one of the genes is represented in stable rRNA populations isolated from blood-stage parasites. Comparisons of homologous rRNA genes from Plasmodium berghei and P. falciparum reveal that they are identical at 86% of their positions. From comparisons of the Plasmodium genes to that of humans, it was possible to design genus-specific as well as species-specific oligonucleotide probes that can be used to distinguish the parasite 18S ribosomal RNA from that of its host. The utilization of these probes as diagnostic reagents is discussed. ?? 1988.","author":[{"dropping-particle":"","family":"McCutchan","given":"Thomas F.","non-dropping-particle":"","parse-names":false,"suffix":""},{"dropping-particle":"","family":"la Cruz","given":"Vidal F.","non-dropping-particle":"de","parse-names":false,"suffix":""},{"dropping-particle":"","family":"Lal","given":"Altaf A.","non-dropping-particle":"","parse-names":false,"suffix":""},{"dropping-particle":"","family":"Gunderson","given":"John H.","non-dropping-particle":"","parse-names":false,"suffix":""},{"dropping-particle":"","family":"Elwood","given":"Hille J.","non-dropping-particle":"","parse-names":false,"suffix":""},{"dropping-particle":"","family":"Sogin","given":"Mitchell L.","non-dropping-particle":"","parse-names":false,"suffix":""}],"container-title":"Molecular and Biochemical Parasitology","id":"ITEM-1","issue":"1","issued":{"date-parts":[["1988"]]},"note":"NULL","page":"63-68","title":"Primary sequences of two small subunit ribosomal RNA genes from Plasmodium falciparum","type":"article-journal","volume":"28"},"uris":["http://www.mendeley.com/documents/?uuid=92e19cc7-5790-4c50-9ab7-6757d064077d"]}],"mendeley":{"formattedCitation":"[4]","plainTextFormattedCitation":"[4]","previouslyFormattedCitation":"[4]"},"properties":{"noteIndex":0},"schema":"https://github.com/citation-style-language/schema/raw/master/csl-citation.json"}</w:instrText>
            </w:r>
            <w:r>
              <w:rPr>
                <w:rFonts w:cs="AdvGulliv-R"/>
                <w:sz w:val="20"/>
              </w:rPr>
              <w:fldChar w:fldCharType="separate"/>
            </w:r>
            <w:r w:rsidR="00C478A3" w:rsidRPr="00C478A3">
              <w:rPr>
                <w:rFonts w:cs="AdvGulliv-R"/>
                <w:noProof/>
                <w:sz w:val="20"/>
              </w:rPr>
              <w:t>[4]</w:t>
            </w:r>
            <w:r>
              <w:rPr>
                <w:rFonts w:cs="AdvGulliv-R"/>
                <w:sz w:val="20"/>
              </w:rPr>
              <w:fldChar w:fldCharType="end"/>
            </w:r>
          </w:p>
        </w:tc>
      </w:tr>
      <w:tr w:rsidR="00B943B6" w:rsidTr="00DF5B2F">
        <w:trPr>
          <w:jc w:val="center"/>
        </w:trPr>
        <w:tc>
          <w:tcPr>
            <w:tcW w:w="1902" w:type="dxa"/>
            <w:vMerge/>
            <w:vAlign w:val="center"/>
          </w:tcPr>
          <w:p w:rsidR="00B943B6" w:rsidRDefault="00B943B6" w:rsidP="00B943B6">
            <w:pPr>
              <w:jc w:val="center"/>
              <w:rPr>
                <w:rFonts w:cs="AdvGulliv-R"/>
                <w:i/>
                <w:sz w:val="20"/>
              </w:rPr>
            </w:pPr>
          </w:p>
        </w:tc>
        <w:tc>
          <w:tcPr>
            <w:tcW w:w="1708" w:type="dxa"/>
            <w:vAlign w:val="center"/>
          </w:tcPr>
          <w:p w:rsidR="00B943B6" w:rsidRDefault="00B943B6" w:rsidP="00B943B6">
            <w:pPr>
              <w:jc w:val="center"/>
              <w:rPr>
                <w:rFonts w:cs="AdvGulliv-R"/>
                <w:sz w:val="20"/>
              </w:rPr>
            </w:pPr>
            <w:r>
              <w:rPr>
                <w:rFonts w:cs="AdvGulliv-R"/>
                <w:sz w:val="20"/>
              </w:rPr>
              <w:t>M19173</w:t>
            </w:r>
          </w:p>
        </w:tc>
        <w:tc>
          <w:tcPr>
            <w:tcW w:w="1344" w:type="dxa"/>
            <w:vMerge/>
            <w:vAlign w:val="center"/>
          </w:tcPr>
          <w:p w:rsidR="00B943B6" w:rsidRPr="003D0AE4" w:rsidRDefault="00B943B6" w:rsidP="00B943B6">
            <w:pPr>
              <w:jc w:val="center"/>
              <w:rPr>
                <w:rFonts w:cs="AdvGulliv-R"/>
                <w:sz w:val="20"/>
              </w:rPr>
            </w:pPr>
          </w:p>
        </w:tc>
      </w:tr>
      <w:tr w:rsidR="00F1114E" w:rsidTr="00DF5B2F">
        <w:trPr>
          <w:jc w:val="center"/>
        </w:trPr>
        <w:tc>
          <w:tcPr>
            <w:tcW w:w="1902" w:type="dxa"/>
            <w:vAlign w:val="center"/>
          </w:tcPr>
          <w:p w:rsidR="00F1114E" w:rsidRPr="00D8677E" w:rsidRDefault="00F1114E" w:rsidP="00B943B6">
            <w:pPr>
              <w:jc w:val="center"/>
              <w:rPr>
                <w:rFonts w:cs="AdvGulliv-R"/>
                <w:sz w:val="20"/>
              </w:rPr>
            </w:pPr>
            <w:r w:rsidRPr="00D8677E">
              <w:rPr>
                <w:rFonts w:cs="AdvGulliv-R"/>
                <w:sz w:val="20"/>
              </w:rPr>
              <w:t xml:space="preserve">LW45C10      </w:t>
            </w:r>
          </w:p>
        </w:tc>
        <w:tc>
          <w:tcPr>
            <w:tcW w:w="1708" w:type="dxa"/>
            <w:vAlign w:val="center"/>
          </w:tcPr>
          <w:p w:rsidR="00F1114E" w:rsidRDefault="00F1114E" w:rsidP="00B943B6">
            <w:pPr>
              <w:jc w:val="center"/>
              <w:rPr>
                <w:rFonts w:cs="AdvGulliv-R"/>
                <w:sz w:val="20"/>
              </w:rPr>
            </w:pPr>
            <w:r w:rsidRPr="00D8677E">
              <w:rPr>
                <w:rFonts w:cs="AdvGulliv-R"/>
                <w:sz w:val="20"/>
              </w:rPr>
              <w:t>MN368095</w:t>
            </w:r>
          </w:p>
        </w:tc>
        <w:tc>
          <w:tcPr>
            <w:tcW w:w="1344" w:type="dxa"/>
            <w:vMerge w:val="restart"/>
            <w:vAlign w:val="center"/>
          </w:tcPr>
          <w:p w:rsidR="00F1114E" w:rsidRPr="003D0AE4" w:rsidRDefault="00F1114E" w:rsidP="00B943B6">
            <w:pPr>
              <w:jc w:val="center"/>
              <w:rPr>
                <w:rFonts w:cs="AdvGulliv-R"/>
                <w:sz w:val="20"/>
              </w:rPr>
            </w:pPr>
            <w:r>
              <w:rPr>
                <w:rFonts w:cs="AdvGulliv-R"/>
                <w:sz w:val="20"/>
              </w:rPr>
              <w:t>Current study</w:t>
            </w:r>
          </w:p>
        </w:tc>
      </w:tr>
      <w:tr w:rsidR="00F1114E" w:rsidTr="00DF5B2F">
        <w:trPr>
          <w:jc w:val="center"/>
        </w:trPr>
        <w:tc>
          <w:tcPr>
            <w:tcW w:w="1902" w:type="dxa"/>
            <w:vAlign w:val="center"/>
          </w:tcPr>
          <w:p w:rsidR="00F1114E" w:rsidRPr="00D8677E" w:rsidRDefault="00F1114E" w:rsidP="00B943B6">
            <w:pPr>
              <w:jc w:val="center"/>
              <w:rPr>
                <w:rFonts w:cs="AdvGulliv-R"/>
                <w:sz w:val="20"/>
              </w:rPr>
            </w:pPr>
            <w:r w:rsidRPr="00D8677E">
              <w:rPr>
                <w:rFonts w:cs="AdvGulliv-R"/>
                <w:sz w:val="20"/>
              </w:rPr>
              <w:t xml:space="preserve">LW45C13      </w:t>
            </w:r>
          </w:p>
        </w:tc>
        <w:tc>
          <w:tcPr>
            <w:tcW w:w="1708" w:type="dxa"/>
            <w:vAlign w:val="center"/>
          </w:tcPr>
          <w:p w:rsidR="00F1114E" w:rsidRDefault="00F1114E" w:rsidP="00B943B6">
            <w:pPr>
              <w:jc w:val="center"/>
              <w:rPr>
                <w:rFonts w:cs="AdvGulliv-R"/>
                <w:sz w:val="20"/>
              </w:rPr>
            </w:pPr>
            <w:r w:rsidRPr="00D8677E">
              <w:rPr>
                <w:rFonts w:cs="AdvGulliv-R"/>
                <w:sz w:val="20"/>
              </w:rPr>
              <w:t>MN368096</w:t>
            </w:r>
          </w:p>
        </w:tc>
        <w:tc>
          <w:tcPr>
            <w:tcW w:w="1344" w:type="dxa"/>
            <w:vMerge/>
            <w:vAlign w:val="center"/>
          </w:tcPr>
          <w:p w:rsidR="00F1114E" w:rsidRPr="003D0AE4" w:rsidRDefault="00F1114E" w:rsidP="00B943B6">
            <w:pPr>
              <w:jc w:val="center"/>
              <w:rPr>
                <w:rFonts w:cs="AdvGulliv-R"/>
                <w:sz w:val="20"/>
              </w:rPr>
            </w:pPr>
          </w:p>
        </w:tc>
      </w:tr>
      <w:tr w:rsidR="00F1114E" w:rsidTr="00983073">
        <w:trPr>
          <w:jc w:val="center"/>
        </w:trPr>
        <w:tc>
          <w:tcPr>
            <w:tcW w:w="1902" w:type="dxa"/>
            <w:vAlign w:val="center"/>
          </w:tcPr>
          <w:p w:rsidR="00F1114E" w:rsidRPr="00D8677E" w:rsidRDefault="00F1114E" w:rsidP="00F1114E">
            <w:pPr>
              <w:jc w:val="center"/>
              <w:rPr>
                <w:rFonts w:cs="AdvGulliv-R"/>
                <w:sz w:val="20"/>
              </w:rPr>
            </w:pPr>
            <w:r w:rsidRPr="00D8677E">
              <w:rPr>
                <w:rFonts w:cs="AdvGulliv-R"/>
                <w:sz w:val="20"/>
              </w:rPr>
              <w:t xml:space="preserve">LW67C3       </w:t>
            </w:r>
          </w:p>
        </w:tc>
        <w:tc>
          <w:tcPr>
            <w:tcW w:w="1708" w:type="dxa"/>
          </w:tcPr>
          <w:p w:rsidR="00F1114E" w:rsidRDefault="00F1114E" w:rsidP="00F1114E">
            <w:pPr>
              <w:jc w:val="center"/>
            </w:pPr>
            <w:r w:rsidRPr="00952FEF">
              <w:rPr>
                <w:rFonts w:cs="AdvGulliv-R"/>
                <w:sz w:val="20"/>
              </w:rPr>
              <w:t>MN36809</w:t>
            </w:r>
            <w:r>
              <w:rPr>
                <w:rFonts w:cs="AdvGulliv-R"/>
                <w:sz w:val="20"/>
              </w:rPr>
              <w:t>7</w:t>
            </w:r>
          </w:p>
        </w:tc>
        <w:tc>
          <w:tcPr>
            <w:tcW w:w="1344" w:type="dxa"/>
            <w:vMerge/>
            <w:vAlign w:val="center"/>
          </w:tcPr>
          <w:p w:rsidR="00F1114E" w:rsidRPr="003D0AE4" w:rsidRDefault="00F1114E" w:rsidP="00F1114E">
            <w:pPr>
              <w:jc w:val="center"/>
              <w:rPr>
                <w:rFonts w:cs="AdvGulliv-R"/>
                <w:sz w:val="20"/>
              </w:rPr>
            </w:pPr>
          </w:p>
        </w:tc>
      </w:tr>
      <w:tr w:rsidR="00F1114E" w:rsidTr="00983073">
        <w:trPr>
          <w:jc w:val="center"/>
        </w:trPr>
        <w:tc>
          <w:tcPr>
            <w:tcW w:w="1902" w:type="dxa"/>
          </w:tcPr>
          <w:p w:rsidR="00F1114E" w:rsidRDefault="00F1114E" w:rsidP="00F1114E">
            <w:pPr>
              <w:jc w:val="center"/>
            </w:pPr>
            <w:r w:rsidRPr="009856DF">
              <w:rPr>
                <w:rFonts w:cs="AdvGulliv-R"/>
                <w:sz w:val="20"/>
              </w:rPr>
              <w:t>LW67C</w:t>
            </w:r>
            <w:r>
              <w:rPr>
                <w:rFonts w:cs="AdvGulliv-R"/>
                <w:sz w:val="20"/>
              </w:rPr>
              <w:t>7</w:t>
            </w:r>
          </w:p>
        </w:tc>
        <w:tc>
          <w:tcPr>
            <w:tcW w:w="1708" w:type="dxa"/>
          </w:tcPr>
          <w:p w:rsidR="00F1114E" w:rsidRDefault="00F1114E" w:rsidP="00F1114E">
            <w:pPr>
              <w:jc w:val="center"/>
            </w:pPr>
            <w:r w:rsidRPr="00952FEF">
              <w:rPr>
                <w:rFonts w:cs="AdvGulliv-R"/>
                <w:sz w:val="20"/>
              </w:rPr>
              <w:t>MN3680</w:t>
            </w:r>
            <w:r>
              <w:rPr>
                <w:rFonts w:cs="AdvGulliv-R"/>
                <w:sz w:val="20"/>
              </w:rPr>
              <w:t>98</w:t>
            </w:r>
          </w:p>
        </w:tc>
        <w:tc>
          <w:tcPr>
            <w:tcW w:w="1344" w:type="dxa"/>
            <w:vMerge/>
            <w:vAlign w:val="center"/>
          </w:tcPr>
          <w:p w:rsidR="00F1114E" w:rsidRPr="003D0AE4" w:rsidRDefault="00F1114E" w:rsidP="00F1114E">
            <w:pPr>
              <w:jc w:val="center"/>
              <w:rPr>
                <w:rFonts w:cs="AdvGulliv-R"/>
                <w:sz w:val="20"/>
              </w:rPr>
            </w:pPr>
          </w:p>
        </w:tc>
      </w:tr>
      <w:tr w:rsidR="00F1114E" w:rsidTr="00983073">
        <w:trPr>
          <w:jc w:val="center"/>
        </w:trPr>
        <w:tc>
          <w:tcPr>
            <w:tcW w:w="1902" w:type="dxa"/>
          </w:tcPr>
          <w:p w:rsidR="00F1114E" w:rsidRDefault="00F1114E" w:rsidP="00F1114E">
            <w:pPr>
              <w:jc w:val="center"/>
            </w:pPr>
            <w:r w:rsidRPr="009856DF">
              <w:rPr>
                <w:rFonts w:cs="AdvGulliv-R"/>
                <w:sz w:val="20"/>
              </w:rPr>
              <w:t>LW67C</w:t>
            </w:r>
            <w:r>
              <w:rPr>
                <w:rFonts w:cs="AdvGulliv-R"/>
                <w:sz w:val="20"/>
              </w:rPr>
              <w:t>8</w:t>
            </w:r>
          </w:p>
        </w:tc>
        <w:tc>
          <w:tcPr>
            <w:tcW w:w="1708" w:type="dxa"/>
          </w:tcPr>
          <w:p w:rsidR="00F1114E" w:rsidRDefault="00F1114E" w:rsidP="00F1114E">
            <w:pPr>
              <w:jc w:val="center"/>
            </w:pPr>
            <w:r w:rsidRPr="00952FEF">
              <w:rPr>
                <w:rFonts w:cs="AdvGulliv-R"/>
                <w:sz w:val="20"/>
              </w:rPr>
              <w:t>MN36809</w:t>
            </w:r>
            <w:r>
              <w:rPr>
                <w:rFonts w:cs="AdvGulliv-R"/>
                <w:sz w:val="20"/>
              </w:rPr>
              <w:t>9</w:t>
            </w:r>
          </w:p>
        </w:tc>
        <w:tc>
          <w:tcPr>
            <w:tcW w:w="1344" w:type="dxa"/>
            <w:vMerge/>
            <w:vAlign w:val="center"/>
          </w:tcPr>
          <w:p w:rsidR="00F1114E" w:rsidRPr="003D0AE4" w:rsidRDefault="00F1114E" w:rsidP="00F1114E">
            <w:pPr>
              <w:jc w:val="center"/>
              <w:rPr>
                <w:rFonts w:cs="AdvGulliv-R"/>
                <w:sz w:val="20"/>
              </w:rPr>
            </w:pPr>
          </w:p>
        </w:tc>
      </w:tr>
      <w:tr w:rsidR="00F1114E" w:rsidTr="00983073">
        <w:trPr>
          <w:jc w:val="center"/>
        </w:trPr>
        <w:tc>
          <w:tcPr>
            <w:tcW w:w="1902" w:type="dxa"/>
          </w:tcPr>
          <w:p w:rsidR="00F1114E" w:rsidRDefault="00F1114E" w:rsidP="00F1114E">
            <w:pPr>
              <w:jc w:val="center"/>
            </w:pPr>
            <w:r w:rsidRPr="009856DF">
              <w:rPr>
                <w:rFonts w:cs="AdvGulliv-R"/>
                <w:sz w:val="20"/>
              </w:rPr>
              <w:t>LW67C</w:t>
            </w:r>
            <w:r>
              <w:rPr>
                <w:rFonts w:cs="AdvGulliv-R"/>
                <w:sz w:val="20"/>
              </w:rPr>
              <w:t>11</w:t>
            </w:r>
          </w:p>
        </w:tc>
        <w:tc>
          <w:tcPr>
            <w:tcW w:w="1708" w:type="dxa"/>
          </w:tcPr>
          <w:p w:rsidR="00F1114E" w:rsidRDefault="00F1114E" w:rsidP="00F1114E">
            <w:pPr>
              <w:jc w:val="center"/>
            </w:pPr>
            <w:r w:rsidRPr="00952FEF">
              <w:rPr>
                <w:rFonts w:cs="AdvGulliv-R"/>
                <w:sz w:val="20"/>
              </w:rPr>
              <w:t>MN368</w:t>
            </w:r>
            <w:r>
              <w:rPr>
                <w:rFonts w:cs="AdvGulliv-R"/>
                <w:sz w:val="20"/>
              </w:rPr>
              <w:t>100</w:t>
            </w:r>
          </w:p>
        </w:tc>
        <w:tc>
          <w:tcPr>
            <w:tcW w:w="1344" w:type="dxa"/>
            <w:vMerge/>
            <w:vAlign w:val="center"/>
          </w:tcPr>
          <w:p w:rsidR="00F1114E" w:rsidRPr="003D0AE4" w:rsidRDefault="00F1114E" w:rsidP="00F1114E">
            <w:pPr>
              <w:jc w:val="center"/>
              <w:rPr>
                <w:rFonts w:cs="AdvGulliv-R"/>
                <w:sz w:val="20"/>
              </w:rPr>
            </w:pPr>
          </w:p>
        </w:tc>
      </w:tr>
      <w:tr w:rsidR="00F1114E" w:rsidTr="00B14BCE">
        <w:trPr>
          <w:jc w:val="center"/>
        </w:trPr>
        <w:tc>
          <w:tcPr>
            <w:tcW w:w="1902" w:type="dxa"/>
          </w:tcPr>
          <w:p w:rsidR="00F1114E" w:rsidRDefault="00F1114E" w:rsidP="00D8677E">
            <w:pPr>
              <w:jc w:val="center"/>
            </w:pPr>
            <w:r w:rsidRPr="009856DF">
              <w:rPr>
                <w:rFonts w:cs="AdvGulliv-R"/>
                <w:sz w:val="20"/>
              </w:rPr>
              <w:t>LW67C</w:t>
            </w:r>
            <w:r>
              <w:rPr>
                <w:rFonts w:cs="AdvGulliv-R"/>
                <w:sz w:val="20"/>
              </w:rPr>
              <w:t>1</w:t>
            </w:r>
            <w:r w:rsidRPr="009856DF">
              <w:rPr>
                <w:rFonts w:cs="AdvGulliv-R"/>
                <w:sz w:val="20"/>
              </w:rPr>
              <w:t>3</w:t>
            </w:r>
          </w:p>
        </w:tc>
        <w:tc>
          <w:tcPr>
            <w:tcW w:w="1708" w:type="dxa"/>
            <w:vAlign w:val="center"/>
          </w:tcPr>
          <w:p w:rsidR="00F1114E" w:rsidRDefault="00F1114E" w:rsidP="00D8677E">
            <w:pPr>
              <w:jc w:val="center"/>
              <w:rPr>
                <w:rFonts w:cs="AdvGulliv-R"/>
                <w:sz w:val="20"/>
              </w:rPr>
            </w:pPr>
            <w:r w:rsidRPr="00952FEF">
              <w:rPr>
                <w:rFonts w:cs="AdvGulliv-R"/>
                <w:sz w:val="20"/>
              </w:rPr>
              <w:t>MN368</w:t>
            </w:r>
            <w:r>
              <w:rPr>
                <w:rFonts w:cs="AdvGulliv-R"/>
                <w:sz w:val="20"/>
              </w:rPr>
              <w:t>10</w:t>
            </w:r>
            <w:r>
              <w:rPr>
                <w:rFonts w:cs="AdvGulliv-R"/>
                <w:sz w:val="20"/>
              </w:rPr>
              <w:t>1</w:t>
            </w:r>
          </w:p>
        </w:tc>
        <w:tc>
          <w:tcPr>
            <w:tcW w:w="1344" w:type="dxa"/>
            <w:vMerge/>
            <w:vAlign w:val="center"/>
          </w:tcPr>
          <w:p w:rsidR="00F1114E" w:rsidRPr="003D0AE4" w:rsidRDefault="00F1114E" w:rsidP="00D8677E">
            <w:pPr>
              <w:jc w:val="center"/>
              <w:rPr>
                <w:rFonts w:cs="AdvGulliv-R"/>
                <w:sz w:val="20"/>
              </w:rPr>
            </w:pPr>
          </w:p>
        </w:tc>
      </w:tr>
      <w:tr w:rsidR="00F1114E" w:rsidTr="00B14BCE">
        <w:trPr>
          <w:jc w:val="center"/>
        </w:trPr>
        <w:tc>
          <w:tcPr>
            <w:tcW w:w="1902" w:type="dxa"/>
          </w:tcPr>
          <w:p w:rsidR="00F1114E" w:rsidRDefault="00F1114E" w:rsidP="00D8677E">
            <w:pPr>
              <w:jc w:val="center"/>
            </w:pPr>
            <w:r w:rsidRPr="009856DF">
              <w:rPr>
                <w:rFonts w:cs="AdvGulliv-R"/>
                <w:sz w:val="20"/>
              </w:rPr>
              <w:lastRenderedPageBreak/>
              <w:t>LW67C</w:t>
            </w:r>
            <w:r>
              <w:rPr>
                <w:rFonts w:cs="AdvGulliv-R"/>
                <w:sz w:val="20"/>
              </w:rPr>
              <w:t>14</w:t>
            </w:r>
          </w:p>
        </w:tc>
        <w:tc>
          <w:tcPr>
            <w:tcW w:w="1708" w:type="dxa"/>
            <w:vAlign w:val="center"/>
          </w:tcPr>
          <w:p w:rsidR="00F1114E" w:rsidRDefault="00F1114E" w:rsidP="00D8677E">
            <w:pPr>
              <w:jc w:val="center"/>
              <w:rPr>
                <w:rFonts w:cs="AdvGulliv-R"/>
                <w:sz w:val="20"/>
              </w:rPr>
            </w:pPr>
            <w:r w:rsidRPr="00952FEF">
              <w:rPr>
                <w:rFonts w:cs="AdvGulliv-R"/>
                <w:sz w:val="20"/>
              </w:rPr>
              <w:t>MN368</w:t>
            </w:r>
            <w:r>
              <w:rPr>
                <w:rFonts w:cs="AdvGulliv-R"/>
                <w:sz w:val="20"/>
              </w:rPr>
              <w:t>10</w:t>
            </w:r>
            <w:r>
              <w:rPr>
                <w:rFonts w:cs="AdvGulliv-R"/>
                <w:sz w:val="20"/>
              </w:rPr>
              <w:t>2</w:t>
            </w:r>
          </w:p>
        </w:tc>
        <w:tc>
          <w:tcPr>
            <w:tcW w:w="1344" w:type="dxa"/>
            <w:vMerge/>
            <w:vAlign w:val="center"/>
          </w:tcPr>
          <w:p w:rsidR="00F1114E" w:rsidRPr="003D0AE4" w:rsidRDefault="00F1114E" w:rsidP="00D8677E">
            <w:pPr>
              <w:jc w:val="center"/>
              <w:rPr>
                <w:rFonts w:cs="AdvGulliv-R"/>
                <w:sz w:val="20"/>
              </w:rPr>
            </w:pPr>
          </w:p>
        </w:tc>
      </w:tr>
      <w:tr w:rsidR="00F1114E" w:rsidTr="00B14BCE">
        <w:trPr>
          <w:jc w:val="center"/>
        </w:trPr>
        <w:tc>
          <w:tcPr>
            <w:tcW w:w="1902" w:type="dxa"/>
          </w:tcPr>
          <w:p w:rsidR="00F1114E" w:rsidRDefault="00F1114E" w:rsidP="00D8677E">
            <w:pPr>
              <w:jc w:val="center"/>
            </w:pPr>
            <w:r w:rsidRPr="009856DF">
              <w:rPr>
                <w:rFonts w:cs="AdvGulliv-R"/>
                <w:sz w:val="20"/>
              </w:rPr>
              <w:t>LW67</w:t>
            </w:r>
            <w:r>
              <w:rPr>
                <w:rFonts w:cs="AdvGulliv-R"/>
                <w:sz w:val="20"/>
              </w:rPr>
              <w:t>C20</w:t>
            </w:r>
          </w:p>
        </w:tc>
        <w:tc>
          <w:tcPr>
            <w:tcW w:w="1708" w:type="dxa"/>
            <w:vAlign w:val="center"/>
          </w:tcPr>
          <w:p w:rsidR="00F1114E" w:rsidRDefault="00F1114E" w:rsidP="00D8677E">
            <w:pPr>
              <w:jc w:val="center"/>
              <w:rPr>
                <w:rFonts w:cs="AdvGulliv-R"/>
                <w:sz w:val="20"/>
              </w:rPr>
            </w:pPr>
            <w:r w:rsidRPr="00952FEF">
              <w:rPr>
                <w:rFonts w:cs="AdvGulliv-R"/>
                <w:sz w:val="20"/>
              </w:rPr>
              <w:t>MN368</w:t>
            </w:r>
            <w:r>
              <w:rPr>
                <w:rFonts w:cs="AdvGulliv-R"/>
                <w:sz w:val="20"/>
              </w:rPr>
              <w:t>10</w:t>
            </w:r>
            <w:r>
              <w:rPr>
                <w:rFonts w:cs="AdvGulliv-R"/>
                <w:sz w:val="20"/>
              </w:rPr>
              <w:t>3</w:t>
            </w:r>
          </w:p>
        </w:tc>
        <w:tc>
          <w:tcPr>
            <w:tcW w:w="1344" w:type="dxa"/>
            <w:vMerge/>
            <w:vAlign w:val="center"/>
          </w:tcPr>
          <w:p w:rsidR="00F1114E" w:rsidRPr="003D0AE4" w:rsidRDefault="00F1114E" w:rsidP="00D8677E">
            <w:pPr>
              <w:jc w:val="center"/>
              <w:rPr>
                <w:rFonts w:cs="AdvGulliv-R"/>
                <w:sz w:val="20"/>
              </w:rPr>
            </w:pPr>
          </w:p>
        </w:tc>
      </w:tr>
      <w:tr w:rsidR="00F1114E" w:rsidTr="0061222E">
        <w:trPr>
          <w:jc w:val="center"/>
        </w:trPr>
        <w:tc>
          <w:tcPr>
            <w:tcW w:w="1902" w:type="dxa"/>
          </w:tcPr>
          <w:p w:rsidR="00F1114E" w:rsidRDefault="00F1114E" w:rsidP="00F1114E">
            <w:pPr>
              <w:jc w:val="center"/>
            </w:pPr>
            <w:r w:rsidRPr="009856DF">
              <w:rPr>
                <w:rFonts w:cs="AdvGulliv-R"/>
                <w:sz w:val="20"/>
              </w:rPr>
              <w:t>LW67C</w:t>
            </w:r>
            <w:r>
              <w:rPr>
                <w:rFonts w:cs="AdvGulliv-R"/>
                <w:sz w:val="20"/>
              </w:rPr>
              <w:t>21</w:t>
            </w:r>
          </w:p>
        </w:tc>
        <w:tc>
          <w:tcPr>
            <w:tcW w:w="1708" w:type="dxa"/>
          </w:tcPr>
          <w:p w:rsidR="00F1114E" w:rsidRDefault="00F1114E" w:rsidP="00F1114E">
            <w:pPr>
              <w:jc w:val="center"/>
            </w:pPr>
            <w:r w:rsidRPr="001F1781">
              <w:rPr>
                <w:rFonts w:cs="AdvGulliv-R"/>
                <w:sz w:val="20"/>
              </w:rPr>
              <w:t>MN36810</w:t>
            </w:r>
            <w:r>
              <w:rPr>
                <w:rFonts w:cs="AdvGulliv-R"/>
                <w:sz w:val="20"/>
              </w:rPr>
              <w:t>4</w:t>
            </w:r>
          </w:p>
        </w:tc>
        <w:tc>
          <w:tcPr>
            <w:tcW w:w="1344" w:type="dxa"/>
            <w:vMerge/>
            <w:vAlign w:val="center"/>
          </w:tcPr>
          <w:p w:rsidR="00F1114E" w:rsidRPr="003D0AE4" w:rsidRDefault="00F1114E" w:rsidP="00F1114E">
            <w:pPr>
              <w:jc w:val="center"/>
              <w:rPr>
                <w:rFonts w:cs="AdvGulliv-R"/>
                <w:sz w:val="20"/>
              </w:rPr>
            </w:pPr>
          </w:p>
        </w:tc>
      </w:tr>
      <w:tr w:rsidR="00F1114E" w:rsidTr="0061222E">
        <w:trPr>
          <w:jc w:val="center"/>
        </w:trPr>
        <w:tc>
          <w:tcPr>
            <w:tcW w:w="1902" w:type="dxa"/>
          </w:tcPr>
          <w:p w:rsidR="00F1114E" w:rsidRDefault="00F1114E" w:rsidP="00F1114E">
            <w:pPr>
              <w:jc w:val="center"/>
            </w:pPr>
            <w:r w:rsidRPr="009856DF">
              <w:rPr>
                <w:rFonts w:cs="AdvGulliv-R"/>
                <w:sz w:val="20"/>
              </w:rPr>
              <w:t>LW67C</w:t>
            </w:r>
            <w:r>
              <w:rPr>
                <w:rFonts w:cs="AdvGulliv-R"/>
                <w:sz w:val="20"/>
              </w:rPr>
              <w:t>22</w:t>
            </w:r>
          </w:p>
        </w:tc>
        <w:tc>
          <w:tcPr>
            <w:tcW w:w="1708" w:type="dxa"/>
          </w:tcPr>
          <w:p w:rsidR="00F1114E" w:rsidRDefault="00F1114E" w:rsidP="00F1114E">
            <w:pPr>
              <w:jc w:val="center"/>
            </w:pPr>
            <w:r w:rsidRPr="001F1781">
              <w:rPr>
                <w:rFonts w:cs="AdvGulliv-R"/>
                <w:sz w:val="20"/>
              </w:rPr>
              <w:t>MN36810</w:t>
            </w:r>
            <w:r>
              <w:rPr>
                <w:rFonts w:cs="AdvGulliv-R"/>
                <w:sz w:val="20"/>
              </w:rPr>
              <w:t>5</w:t>
            </w:r>
          </w:p>
        </w:tc>
        <w:tc>
          <w:tcPr>
            <w:tcW w:w="1344" w:type="dxa"/>
            <w:vMerge/>
            <w:vAlign w:val="center"/>
          </w:tcPr>
          <w:p w:rsidR="00F1114E" w:rsidRPr="003D0AE4" w:rsidRDefault="00F1114E" w:rsidP="00F1114E">
            <w:pPr>
              <w:jc w:val="center"/>
              <w:rPr>
                <w:rFonts w:cs="AdvGulliv-R"/>
                <w:sz w:val="20"/>
              </w:rPr>
            </w:pPr>
          </w:p>
        </w:tc>
      </w:tr>
      <w:tr w:rsidR="00F1114E" w:rsidTr="0061222E">
        <w:trPr>
          <w:jc w:val="center"/>
        </w:trPr>
        <w:tc>
          <w:tcPr>
            <w:tcW w:w="1902" w:type="dxa"/>
          </w:tcPr>
          <w:p w:rsidR="00F1114E" w:rsidRPr="009856DF" w:rsidRDefault="00F1114E" w:rsidP="00F1114E">
            <w:pPr>
              <w:jc w:val="center"/>
              <w:rPr>
                <w:rFonts w:cs="AdvGulliv-R"/>
                <w:sz w:val="20"/>
              </w:rPr>
            </w:pPr>
            <w:r w:rsidRPr="009856DF">
              <w:rPr>
                <w:rFonts w:cs="AdvGulliv-R"/>
                <w:sz w:val="20"/>
              </w:rPr>
              <w:t>LW67C</w:t>
            </w:r>
            <w:r>
              <w:rPr>
                <w:rFonts w:cs="AdvGulliv-R"/>
                <w:sz w:val="20"/>
              </w:rPr>
              <w:t>2</w:t>
            </w:r>
            <w:r>
              <w:rPr>
                <w:rFonts w:cs="AdvGulliv-R"/>
                <w:sz w:val="20"/>
              </w:rPr>
              <w:t>6</w:t>
            </w:r>
          </w:p>
        </w:tc>
        <w:tc>
          <w:tcPr>
            <w:tcW w:w="1708" w:type="dxa"/>
          </w:tcPr>
          <w:p w:rsidR="00F1114E" w:rsidRDefault="00F1114E" w:rsidP="00F1114E">
            <w:pPr>
              <w:jc w:val="center"/>
            </w:pPr>
            <w:r w:rsidRPr="001F1781">
              <w:rPr>
                <w:rFonts w:cs="AdvGulliv-R"/>
                <w:sz w:val="20"/>
              </w:rPr>
              <w:t>MN36810</w:t>
            </w:r>
            <w:r>
              <w:rPr>
                <w:rFonts w:cs="AdvGulliv-R"/>
                <w:sz w:val="20"/>
              </w:rPr>
              <w:t>6</w:t>
            </w:r>
          </w:p>
        </w:tc>
        <w:tc>
          <w:tcPr>
            <w:tcW w:w="1344" w:type="dxa"/>
            <w:vMerge/>
            <w:vAlign w:val="center"/>
          </w:tcPr>
          <w:p w:rsidR="00F1114E" w:rsidRPr="003D0AE4" w:rsidRDefault="00F1114E" w:rsidP="00F1114E">
            <w:pPr>
              <w:jc w:val="center"/>
              <w:rPr>
                <w:rFonts w:cs="AdvGulliv-R"/>
                <w:sz w:val="20"/>
              </w:rPr>
            </w:pPr>
          </w:p>
        </w:tc>
      </w:tr>
      <w:tr w:rsidR="00F1114E" w:rsidTr="0061222E">
        <w:trPr>
          <w:jc w:val="center"/>
        </w:trPr>
        <w:tc>
          <w:tcPr>
            <w:tcW w:w="1902" w:type="dxa"/>
          </w:tcPr>
          <w:p w:rsidR="00F1114E" w:rsidRPr="009856DF" w:rsidRDefault="00F1114E" w:rsidP="00F1114E">
            <w:pPr>
              <w:jc w:val="center"/>
              <w:rPr>
                <w:rFonts w:cs="AdvGulliv-R"/>
                <w:sz w:val="20"/>
              </w:rPr>
            </w:pPr>
            <w:r w:rsidRPr="009856DF">
              <w:rPr>
                <w:rFonts w:cs="AdvGulliv-R"/>
                <w:sz w:val="20"/>
              </w:rPr>
              <w:t>LW67C</w:t>
            </w:r>
            <w:r>
              <w:rPr>
                <w:rFonts w:cs="AdvGulliv-R"/>
                <w:sz w:val="20"/>
              </w:rPr>
              <w:t>31</w:t>
            </w:r>
          </w:p>
        </w:tc>
        <w:tc>
          <w:tcPr>
            <w:tcW w:w="1708" w:type="dxa"/>
          </w:tcPr>
          <w:p w:rsidR="00F1114E" w:rsidRDefault="00F1114E" w:rsidP="00F1114E">
            <w:pPr>
              <w:jc w:val="center"/>
            </w:pPr>
            <w:r w:rsidRPr="001F1781">
              <w:rPr>
                <w:rFonts w:cs="AdvGulliv-R"/>
                <w:sz w:val="20"/>
              </w:rPr>
              <w:t>MN36810</w:t>
            </w:r>
            <w:r>
              <w:rPr>
                <w:rFonts w:cs="AdvGulliv-R"/>
                <w:sz w:val="20"/>
              </w:rPr>
              <w:t>7</w:t>
            </w:r>
          </w:p>
        </w:tc>
        <w:tc>
          <w:tcPr>
            <w:tcW w:w="1344" w:type="dxa"/>
            <w:vMerge/>
            <w:vAlign w:val="center"/>
          </w:tcPr>
          <w:p w:rsidR="00F1114E" w:rsidRPr="003D0AE4" w:rsidRDefault="00F1114E" w:rsidP="00F1114E">
            <w:pPr>
              <w:jc w:val="center"/>
              <w:rPr>
                <w:rFonts w:cs="AdvGulliv-R"/>
                <w:sz w:val="20"/>
              </w:rPr>
            </w:pPr>
          </w:p>
        </w:tc>
      </w:tr>
      <w:tr w:rsidR="00F1114E" w:rsidTr="0061222E">
        <w:trPr>
          <w:jc w:val="center"/>
        </w:trPr>
        <w:tc>
          <w:tcPr>
            <w:tcW w:w="1902" w:type="dxa"/>
          </w:tcPr>
          <w:p w:rsidR="00F1114E" w:rsidRPr="009856DF" w:rsidRDefault="00F1114E" w:rsidP="00F1114E">
            <w:pPr>
              <w:jc w:val="center"/>
              <w:rPr>
                <w:rFonts w:cs="AdvGulliv-R"/>
                <w:sz w:val="20"/>
              </w:rPr>
            </w:pPr>
            <w:r w:rsidRPr="009856DF">
              <w:rPr>
                <w:rFonts w:cs="AdvGulliv-R"/>
                <w:sz w:val="20"/>
              </w:rPr>
              <w:t>LW67C</w:t>
            </w:r>
            <w:r>
              <w:rPr>
                <w:rFonts w:cs="AdvGulliv-R"/>
                <w:sz w:val="20"/>
              </w:rPr>
              <w:t>32</w:t>
            </w:r>
          </w:p>
        </w:tc>
        <w:tc>
          <w:tcPr>
            <w:tcW w:w="1708" w:type="dxa"/>
          </w:tcPr>
          <w:p w:rsidR="00F1114E" w:rsidRDefault="00F1114E" w:rsidP="00F1114E">
            <w:pPr>
              <w:jc w:val="center"/>
            </w:pPr>
            <w:r w:rsidRPr="001F1781">
              <w:rPr>
                <w:rFonts w:cs="AdvGulliv-R"/>
                <w:sz w:val="20"/>
              </w:rPr>
              <w:t>MN36810</w:t>
            </w:r>
            <w:r>
              <w:rPr>
                <w:rFonts w:cs="AdvGulliv-R"/>
                <w:sz w:val="20"/>
              </w:rPr>
              <w:t>8</w:t>
            </w:r>
          </w:p>
        </w:tc>
        <w:tc>
          <w:tcPr>
            <w:tcW w:w="1344" w:type="dxa"/>
            <w:vMerge/>
            <w:vAlign w:val="center"/>
          </w:tcPr>
          <w:p w:rsidR="00F1114E" w:rsidRPr="003D0AE4" w:rsidRDefault="00F1114E" w:rsidP="00F1114E">
            <w:pPr>
              <w:jc w:val="center"/>
              <w:rPr>
                <w:rFonts w:cs="AdvGulliv-R"/>
                <w:sz w:val="20"/>
              </w:rPr>
            </w:pPr>
          </w:p>
        </w:tc>
      </w:tr>
      <w:tr w:rsidR="00F1114E" w:rsidTr="0061222E">
        <w:trPr>
          <w:jc w:val="center"/>
        </w:trPr>
        <w:tc>
          <w:tcPr>
            <w:tcW w:w="1902" w:type="dxa"/>
          </w:tcPr>
          <w:p w:rsidR="00F1114E" w:rsidRPr="009856DF" w:rsidRDefault="00F1114E" w:rsidP="00F1114E">
            <w:pPr>
              <w:jc w:val="center"/>
              <w:rPr>
                <w:rFonts w:cs="AdvGulliv-R"/>
                <w:sz w:val="20"/>
              </w:rPr>
            </w:pPr>
            <w:r w:rsidRPr="009856DF">
              <w:rPr>
                <w:rFonts w:cs="AdvGulliv-R"/>
                <w:sz w:val="20"/>
              </w:rPr>
              <w:t>LW67C</w:t>
            </w:r>
            <w:r>
              <w:rPr>
                <w:rFonts w:cs="AdvGulliv-R"/>
                <w:sz w:val="20"/>
              </w:rPr>
              <w:t>33</w:t>
            </w:r>
          </w:p>
        </w:tc>
        <w:tc>
          <w:tcPr>
            <w:tcW w:w="1708" w:type="dxa"/>
          </w:tcPr>
          <w:p w:rsidR="00F1114E" w:rsidRDefault="00F1114E" w:rsidP="00F1114E">
            <w:pPr>
              <w:jc w:val="center"/>
            </w:pPr>
            <w:r w:rsidRPr="001F1781">
              <w:rPr>
                <w:rFonts w:cs="AdvGulliv-R"/>
                <w:sz w:val="20"/>
              </w:rPr>
              <w:t>MN36810</w:t>
            </w:r>
            <w:r>
              <w:rPr>
                <w:rFonts w:cs="AdvGulliv-R"/>
                <w:sz w:val="20"/>
              </w:rPr>
              <w:t>9</w:t>
            </w:r>
          </w:p>
        </w:tc>
        <w:tc>
          <w:tcPr>
            <w:tcW w:w="1344" w:type="dxa"/>
            <w:vMerge/>
            <w:vAlign w:val="center"/>
          </w:tcPr>
          <w:p w:rsidR="00F1114E" w:rsidRPr="003D0AE4" w:rsidRDefault="00F1114E" w:rsidP="00F1114E">
            <w:pPr>
              <w:jc w:val="center"/>
              <w:rPr>
                <w:rFonts w:cs="AdvGulliv-R"/>
                <w:sz w:val="20"/>
              </w:rPr>
            </w:pPr>
          </w:p>
        </w:tc>
      </w:tr>
      <w:tr w:rsidR="00F1114E" w:rsidTr="0061222E">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D3</w:t>
            </w:r>
          </w:p>
        </w:tc>
        <w:tc>
          <w:tcPr>
            <w:tcW w:w="1708" w:type="dxa"/>
          </w:tcPr>
          <w:p w:rsidR="00F1114E" w:rsidRDefault="00F1114E" w:rsidP="00F1114E">
            <w:pPr>
              <w:jc w:val="center"/>
            </w:pPr>
            <w:r w:rsidRPr="001F1781">
              <w:rPr>
                <w:rFonts w:cs="AdvGulliv-R"/>
                <w:sz w:val="20"/>
              </w:rPr>
              <w:t>MN3681</w:t>
            </w:r>
            <w:r>
              <w:rPr>
                <w:rFonts w:cs="AdvGulliv-R"/>
                <w:sz w:val="20"/>
              </w:rPr>
              <w:t>10</w:t>
            </w:r>
          </w:p>
        </w:tc>
        <w:tc>
          <w:tcPr>
            <w:tcW w:w="1344" w:type="dxa"/>
            <w:vMerge/>
            <w:vAlign w:val="center"/>
          </w:tcPr>
          <w:p w:rsidR="00F1114E" w:rsidRPr="003D0AE4" w:rsidRDefault="00F1114E" w:rsidP="00F1114E">
            <w:pPr>
              <w:jc w:val="center"/>
              <w:rPr>
                <w:rFonts w:cs="AdvGulliv-R"/>
                <w:sz w:val="20"/>
              </w:rPr>
            </w:pPr>
          </w:p>
        </w:tc>
      </w:tr>
      <w:tr w:rsidR="00F1114E" w:rsidTr="0061222E">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w:t>
            </w:r>
            <w:r>
              <w:rPr>
                <w:rFonts w:cs="AdvGulliv-R"/>
                <w:sz w:val="20"/>
              </w:rPr>
              <w:t>4</w:t>
            </w:r>
          </w:p>
        </w:tc>
        <w:tc>
          <w:tcPr>
            <w:tcW w:w="1708" w:type="dxa"/>
          </w:tcPr>
          <w:p w:rsidR="00F1114E" w:rsidRDefault="00F1114E" w:rsidP="00F1114E">
            <w:pPr>
              <w:jc w:val="center"/>
            </w:pPr>
            <w:r w:rsidRPr="006B712B">
              <w:rPr>
                <w:rFonts w:cs="AdvGulliv-R"/>
                <w:sz w:val="20"/>
              </w:rPr>
              <w:t>MN36811</w:t>
            </w:r>
            <w:r>
              <w:rPr>
                <w:rFonts w:cs="AdvGulliv-R"/>
                <w:sz w:val="20"/>
              </w:rPr>
              <w:t>1</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w:t>
            </w:r>
            <w:r>
              <w:rPr>
                <w:rFonts w:cs="AdvGulliv-R"/>
                <w:sz w:val="20"/>
              </w:rPr>
              <w:t>5</w:t>
            </w:r>
          </w:p>
        </w:tc>
        <w:tc>
          <w:tcPr>
            <w:tcW w:w="1708" w:type="dxa"/>
          </w:tcPr>
          <w:p w:rsidR="00F1114E" w:rsidRDefault="00F1114E" w:rsidP="00F1114E">
            <w:pPr>
              <w:jc w:val="center"/>
            </w:pPr>
            <w:r w:rsidRPr="006B712B">
              <w:rPr>
                <w:rFonts w:cs="AdvGulliv-R"/>
                <w:sz w:val="20"/>
              </w:rPr>
              <w:t>MN36811</w:t>
            </w:r>
            <w:r>
              <w:rPr>
                <w:rFonts w:cs="AdvGulliv-R"/>
                <w:sz w:val="20"/>
              </w:rPr>
              <w:t>2</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w:t>
            </w:r>
            <w:r>
              <w:rPr>
                <w:rFonts w:cs="AdvGulliv-R"/>
                <w:sz w:val="20"/>
              </w:rPr>
              <w:t>6</w:t>
            </w:r>
          </w:p>
        </w:tc>
        <w:tc>
          <w:tcPr>
            <w:tcW w:w="1708" w:type="dxa"/>
          </w:tcPr>
          <w:p w:rsidR="00F1114E" w:rsidRDefault="00F1114E" w:rsidP="00F1114E">
            <w:pPr>
              <w:jc w:val="center"/>
            </w:pPr>
            <w:r w:rsidRPr="006B712B">
              <w:rPr>
                <w:rFonts w:cs="AdvGulliv-R"/>
                <w:sz w:val="20"/>
              </w:rPr>
              <w:t>MN36811</w:t>
            </w:r>
            <w:r>
              <w:rPr>
                <w:rFonts w:cs="AdvGulliv-R"/>
                <w:sz w:val="20"/>
              </w:rPr>
              <w:t>3</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w:t>
            </w:r>
            <w:r>
              <w:rPr>
                <w:rFonts w:cs="AdvGulliv-R"/>
                <w:sz w:val="20"/>
              </w:rPr>
              <w:t>11</w:t>
            </w:r>
          </w:p>
        </w:tc>
        <w:tc>
          <w:tcPr>
            <w:tcW w:w="1708" w:type="dxa"/>
          </w:tcPr>
          <w:p w:rsidR="00F1114E" w:rsidRDefault="00F1114E" w:rsidP="00F1114E">
            <w:pPr>
              <w:jc w:val="center"/>
            </w:pPr>
            <w:r w:rsidRPr="006B712B">
              <w:rPr>
                <w:rFonts w:cs="AdvGulliv-R"/>
                <w:sz w:val="20"/>
              </w:rPr>
              <w:t>MN36811</w:t>
            </w:r>
            <w:r>
              <w:rPr>
                <w:rFonts w:cs="AdvGulliv-R"/>
                <w:sz w:val="20"/>
              </w:rPr>
              <w:t>4</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w:t>
            </w:r>
            <w:r>
              <w:rPr>
                <w:rFonts w:cs="AdvGulliv-R"/>
                <w:sz w:val="20"/>
              </w:rPr>
              <w:t>16</w:t>
            </w:r>
          </w:p>
        </w:tc>
        <w:tc>
          <w:tcPr>
            <w:tcW w:w="1708" w:type="dxa"/>
          </w:tcPr>
          <w:p w:rsidR="00F1114E" w:rsidRDefault="00F1114E" w:rsidP="00F1114E">
            <w:pPr>
              <w:jc w:val="center"/>
            </w:pPr>
            <w:r w:rsidRPr="006B712B">
              <w:rPr>
                <w:rFonts w:cs="AdvGulliv-R"/>
                <w:sz w:val="20"/>
              </w:rPr>
              <w:t>MN36811</w:t>
            </w:r>
            <w:r>
              <w:rPr>
                <w:rFonts w:cs="AdvGulliv-R"/>
                <w:sz w:val="20"/>
              </w:rPr>
              <w:t>5</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w:t>
            </w:r>
            <w:r>
              <w:rPr>
                <w:rFonts w:cs="AdvGulliv-R"/>
                <w:sz w:val="20"/>
              </w:rPr>
              <w:t>20</w:t>
            </w:r>
          </w:p>
        </w:tc>
        <w:tc>
          <w:tcPr>
            <w:tcW w:w="1708" w:type="dxa"/>
          </w:tcPr>
          <w:p w:rsidR="00F1114E" w:rsidRDefault="00F1114E" w:rsidP="00F1114E">
            <w:pPr>
              <w:jc w:val="center"/>
            </w:pPr>
            <w:r w:rsidRPr="006B712B">
              <w:rPr>
                <w:rFonts w:cs="AdvGulliv-R"/>
                <w:sz w:val="20"/>
              </w:rPr>
              <w:t>MN36811</w:t>
            </w:r>
            <w:r>
              <w:rPr>
                <w:rFonts w:cs="AdvGulliv-R"/>
                <w:sz w:val="20"/>
              </w:rPr>
              <w:t>6</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sidRPr="009856DF">
              <w:rPr>
                <w:rFonts w:cs="AdvGulliv-R"/>
                <w:sz w:val="20"/>
              </w:rPr>
              <w:t>LW67</w:t>
            </w:r>
            <w:r>
              <w:rPr>
                <w:rFonts w:cs="AdvGulliv-R"/>
                <w:sz w:val="20"/>
              </w:rPr>
              <w:t>D</w:t>
            </w:r>
            <w:r>
              <w:rPr>
                <w:rFonts w:cs="AdvGulliv-R"/>
                <w:sz w:val="20"/>
              </w:rPr>
              <w:t>23</w:t>
            </w:r>
          </w:p>
        </w:tc>
        <w:tc>
          <w:tcPr>
            <w:tcW w:w="1708" w:type="dxa"/>
          </w:tcPr>
          <w:p w:rsidR="00F1114E" w:rsidRDefault="00F1114E" w:rsidP="00F1114E">
            <w:pPr>
              <w:jc w:val="center"/>
            </w:pPr>
            <w:r w:rsidRPr="006B712B">
              <w:rPr>
                <w:rFonts w:cs="AdvGulliv-R"/>
                <w:sz w:val="20"/>
              </w:rPr>
              <w:t>MN36811</w:t>
            </w:r>
            <w:r>
              <w:rPr>
                <w:rFonts w:cs="AdvGulliv-R"/>
                <w:sz w:val="20"/>
              </w:rPr>
              <w:t>7</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Pr>
                <w:rFonts w:cs="AdvGulliv-R"/>
                <w:sz w:val="20"/>
              </w:rPr>
              <w:t>LW74C3</w:t>
            </w:r>
          </w:p>
        </w:tc>
        <w:tc>
          <w:tcPr>
            <w:tcW w:w="1708" w:type="dxa"/>
          </w:tcPr>
          <w:p w:rsidR="00F1114E" w:rsidRDefault="00F1114E" w:rsidP="00F1114E">
            <w:pPr>
              <w:jc w:val="center"/>
            </w:pPr>
            <w:r w:rsidRPr="006B712B">
              <w:rPr>
                <w:rFonts w:cs="AdvGulliv-R"/>
                <w:sz w:val="20"/>
              </w:rPr>
              <w:t>MN36811</w:t>
            </w:r>
            <w:r>
              <w:rPr>
                <w:rFonts w:cs="AdvGulliv-R"/>
                <w:sz w:val="20"/>
              </w:rPr>
              <w:t>8</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Pr>
                <w:rFonts w:cs="AdvGulliv-R"/>
                <w:sz w:val="20"/>
              </w:rPr>
              <w:t>LW74</w:t>
            </w:r>
            <w:r>
              <w:rPr>
                <w:rFonts w:cs="AdvGulliv-R"/>
                <w:sz w:val="20"/>
              </w:rPr>
              <w:t>D4</w:t>
            </w:r>
          </w:p>
        </w:tc>
        <w:tc>
          <w:tcPr>
            <w:tcW w:w="1708" w:type="dxa"/>
          </w:tcPr>
          <w:p w:rsidR="00F1114E" w:rsidRDefault="00F1114E" w:rsidP="00F1114E">
            <w:pPr>
              <w:jc w:val="center"/>
            </w:pPr>
            <w:r w:rsidRPr="006B712B">
              <w:rPr>
                <w:rFonts w:cs="AdvGulliv-R"/>
                <w:sz w:val="20"/>
              </w:rPr>
              <w:t>MN36811</w:t>
            </w:r>
            <w:r>
              <w:rPr>
                <w:rFonts w:cs="AdvGulliv-R"/>
                <w:sz w:val="20"/>
              </w:rPr>
              <w:t>9</w:t>
            </w:r>
          </w:p>
        </w:tc>
        <w:tc>
          <w:tcPr>
            <w:tcW w:w="1344" w:type="dxa"/>
            <w:vMerge/>
            <w:vAlign w:val="center"/>
          </w:tcPr>
          <w:p w:rsidR="00F1114E" w:rsidRPr="003D0AE4" w:rsidRDefault="00F1114E" w:rsidP="00F1114E">
            <w:pPr>
              <w:jc w:val="center"/>
              <w:rPr>
                <w:rFonts w:cs="AdvGulliv-R"/>
                <w:sz w:val="20"/>
              </w:rPr>
            </w:pPr>
          </w:p>
        </w:tc>
      </w:tr>
      <w:tr w:rsidR="00F1114E" w:rsidTr="00D705B9">
        <w:trPr>
          <w:jc w:val="center"/>
        </w:trPr>
        <w:tc>
          <w:tcPr>
            <w:tcW w:w="1902" w:type="dxa"/>
          </w:tcPr>
          <w:p w:rsidR="00F1114E" w:rsidRPr="009856DF" w:rsidRDefault="00F1114E" w:rsidP="00F1114E">
            <w:pPr>
              <w:jc w:val="center"/>
              <w:rPr>
                <w:rFonts w:cs="AdvGulliv-R"/>
                <w:sz w:val="20"/>
              </w:rPr>
            </w:pPr>
            <w:r>
              <w:rPr>
                <w:rFonts w:cs="AdvGulliv-R"/>
                <w:sz w:val="20"/>
              </w:rPr>
              <w:t>LW74D</w:t>
            </w:r>
            <w:r>
              <w:rPr>
                <w:rFonts w:cs="AdvGulliv-R"/>
                <w:sz w:val="20"/>
              </w:rPr>
              <w:t>9</w:t>
            </w:r>
          </w:p>
        </w:tc>
        <w:tc>
          <w:tcPr>
            <w:tcW w:w="1708" w:type="dxa"/>
          </w:tcPr>
          <w:p w:rsidR="00F1114E" w:rsidRDefault="00F1114E" w:rsidP="00F1114E">
            <w:pPr>
              <w:jc w:val="center"/>
            </w:pPr>
            <w:r w:rsidRPr="006B712B">
              <w:rPr>
                <w:rFonts w:cs="AdvGulliv-R"/>
                <w:sz w:val="20"/>
              </w:rPr>
              <w:t>MN3681</w:t>
            </w:r>
            <w:r>
              <w:rPr>
                <w:rFonts w:cs="AdvGulliv-R"/>
                <w:sz w:val="20"/>
              </w:rPr>
              <w:t>20</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Pr="009856DF" w:rsidRDefault="00F1114E" w:rsidP="00F1114E">
            <w:pPr>
              <w:jc w:val="center"/>
              <w:rPr>
                <w:rFonts w:cs="AdvGulliv-R"/>
                <w:sz w:val="20"/>
              </w:rPr>
            </w:pPr>
            <w:r>
              <w:rPr>
                <w:rFonts w:cs="AdvGulliv-R"/>
                <w:sz w:val="20"/>
              </w:rPr>
              <w:t>LW74</w:t>
            </w:r>
            <w:r>
              <w:rPr>
                <w:rFonts w:cs="AdvGulliv-R"/>
                <w:sz w:val="20"/>
              </w:rPr>
              <w:t>D14</w:t>
            </w:r>
          </w:p>
        </w:tc>
        <w:tc>
          <w:tcPr>
            <w:tcW w:w="1708" w:type="dxa"/>
          </w:tcPr>
          <w:p w:rsidR="00F1114E" w:rsidRDefault="00F1114E" w:rsidP="00F1114E">
            <w:pPr>
              <w:jc w:val="center"/>
            </w:pPr>
            <w:r w:rsidRPr="00CB2BB4">
              <w:rPr>
                <w:rFonts w:cs="AdvGulliv-R"/>
                <w:sz w:val="20"/>
              </w:rPr>
              <w:t>MN36812</w:t>
            </w:r>
            <w:r>
              <w:rPr>
                <w:rFonts w:cs="AdvGulliv-R"/>
                <w:sz w:val="20"/>
              </w:rPr>
              <w:t>1</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Pr="009856DF" w:rsidRDefault="00F1114E" w:rsidP="00F1114E">
            <w:pPr>
              <w:jc w:val="center"/>
              <w:rPr>
                <w:rFonts w:cs="AdvGulliv-R"/>
                <w:sz w:val="20"/>
              </w:rPr>
            </w:pPr>
            <w:r>
              <w:rPr>
                <w:rFonts w:cs="AdvGulliv-R"/>
                <w:sz w:val="20"/>
              </w:rPr>
              <w:t>LW45C6</w:t>
            </w:r>
          </w:p>
        </w:tc>
        <w:tc>
          <w:tcPr>
            <w:tcW w:w="1708" w:type="dxa"/>
          </w:tcPr>
          <w:p w:rsidR="00F1114E" w:rsidRDefault="00F1114E" w:rsidP="00F1114E">
            <w:pPr>
              <w:jc w:val="center"/>
            </w:pPr>
            <w:r w:rsidRPr="00CB2BB4">
              <w:rPr>
                <w:rFonts w:cs="AdvGulliv-R"/>
                <w:sz w:val="20"/>
              </w:rPr>
              <w:t>MN36812</w:t>
            </w:r>
            <w:r>
              <w:rPr>
                <w:rFonts w:cs="AdvGulliv-R"/>
                <w:sz w:val="20"/>
              </w:rPr>
              <w:t>2</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Pr="009856DF" w:rsidRDefault="00F1114E" w:rsidP="00F1114E">
            <w:pPr>
              <w:jc w:val="center"/>
              <w:rPr>
                <w:rFonts w:cs="AdvGulliv-R"/>
                <w:sz w:val="20"/>
              </w:rPr>
            </w:pPr>
            <w:r>
              <w:rPr>
                <w:rFonts w:cs="AdvGulliv-R"/>
                <w:sz w:val="20"/>
              </w:rPr>
              <w:t>LW4</w:t>
            </w:r>
            <w:r>
              <w:rPr>
                <w:rFonts w:cs="AdvGulliv-R"/>
                <w:sz w:val="20"/>
              </w:rPr>
              <w:t>7A1</w:t>
            </w:r>
          </w:p>
        </w:tc>
        <w:tc>
          <w:tcPr>
            <w:tcW w:w="1708" w:type="dxa"/>
          </w:tcPr>
          <w:p w:rsidR="00F1114E" w:rsidRDefault="00F1114E" w:rsidP="00F1114E">
            <w:pPr>
              <w:jc w:val="center"/>
            </w:pPr>
            <w:r w:rsidRPr="00CB2BB4">
              <w:rPr>
                <w:rFonts w:cs="AdvGulliv-R"/>
                <w:sz w:val="20"/>
              </w:rPr>
              <w:t>MN36812</w:t>
            </w:r>
            <w:r>
              <w:rPr>
                <w:rFonts w:cs="AdvGulliv-R"/>
                <w:sz w:val="20"/>
              </w:rPr>
              <w:t>3</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Default="00F1114E" w:rsidP="00F1114E">
            <w:pPr>
              <w:jc w:val="center"/>
              <w:rPr>
                <w:rFonts w:cs="AdvGulliv-R"/>
                <w:sz w:val="20"/>
              </w:rPr>
            </w:pPr>
            <w:r>
              <w:rPr>
                <w:rFonts w:cs="AdvGulliv-R"/>
                <w:sz w:val="20"/>
              </w:rPr>
              <w:t>LW4</w:t>
            </w:r>
            <w:r>
              <w:rPr>
                <w:rFonts w:cs="AdvGulliv-R"/>
                <w:sz w:val="20"/>
              </w:rPr>
              <w:t>9A1</w:t>
            </w:r>
          </w:p>
        </w:tc>
        <w:tc>
          <w:tcPr>
            <w:tcW w:w="1708" w:type="dxa"/>
          </w:tcPr>
          <w:p w:rsidR="00F1114E" w:rsidRDefault="00F1114E" w:rsidP="00F1114E">
            <w:pPr>
              <w:jc w:val="center"/>
            </w:pPr>
            <w:r w:rsidRPr="00CB2BB4">
              <w:rPr>
                <w:rFonts w:cs="AdvGulliv-R"/>
                <w:sz w:val="20"/>
              </w:rPr>
              <w:t>MN36812</w:t>
            </w:r>
            <w:r>
              <w:rPr>
                <w:rFonts w:cs="AdvGulliv-R"/>
                <w:sz w:val="20"/>
              </w:rPr>
              <w:t>4</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Default="00F1114E" w:rsidP="00F1114E">
            <w:pPr>
              <w:jc w:val="center"/>
              <w:rPr>
                <w:rFonts w:cs="AdvGulliv-R"/>
                <w:sz w:val="20"/>
              </w:rPr>
            </w:pPr>
            <w:r>
              <w:rPr>
                <w:rFonts w:cs="AdvGulliv-R"/>
                <w:sz w:val="20"/>
              </w:rPr>
              <w:t>LW57B7</w:t>
            </w:r>
          </w:p>
        </w:tc>
        <w:tc>
          <w:tcPr>
            <w:tcW w:w="1708" w:type="dxa"/>
          </w:tcPr>
          <w:p w:rsidR="00F1114E" w:rsidRDefault="00F1114E" w:rsidP="00F1114E">
            <w:pPr>
              <w:jc w:val="center"/>
            </w:pPr>
            <w:r w:rsidRPr="00CB2BB4">
              <w:rPr>
                <w:rFonts w:cs="AdvGulliv-R"/>
                <w:sz w:val="20"/>
              </w:rPr>
              <w:t>MN36812</w:t>
            </w:r>
            <w:r>
              <w:rPr>
                <w:rFonts w:cs="AdvGulliv-R"/>
                <w:sz w:val="20"/>
              </w:rPr>
              <w:t>5</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Default="00F1114E" w:rsidP="00F1114E">
            <w:pPr>
              <w:jc w:val="center"/>
              <w:rPr>
                <w:rFonts w:cs="AdvGulliv-R"/>
                <w:sz w:val="20"/>
              </w:rPr>
            </w:pPr>
            <w:r>
              <w:rPr>
                <w:rFonts w:cs="AdvGulliv-R"/>
                <w:sz w:val="20"/>
              </w:rPr>
              <w:t>LW58C3</w:t>
            </w:r>
          </w:p>
        </w:tc>
        <w:tc>
          <w:tcPr>
            <w:tcW w:w="1708" w:type="dxa"/>
          </w:tcPr>
          <w:p w:rsidR="00F1114E" w:rsidRDefault="00F1114E" w:rsidP="00F1114E">
            <w:pPr>
              <w:jc w:val="center"/>
            </w:pPr>
            <w:r w:rsidRPr="00CB2BB4">
              <w:rPr>
                <w:rFonts w:cs="AdvGulliv-R"/>
                <w:sz w:val="20"/>
              </w:rPr>
              <w:t>MN36812</w:t>
            </w:r>
            <w:r>
              <w:rPr>
                <w:rFonts w:cs="AdvGulliv-R"/>
                <w:sz w:val="20"/>
              </w:rPr>
              <w:t>6</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Default="00F1114E" w:rsidP="00F1114E">
            <w:pPr>
              <w:jc w:val="center"/>
              <w:rPr>
                <w:rFonts w:cs="AdvGulliv-R"/>
                <w:sz w:val="20"/>
              </w:rPr>
            </w:pPr>
            <w:r>
              <w:rPr>
                <w:rFonts w:cs="AdvGulliv-R"/>
                <w:sz w:val="20"/>
              </w:rPr>
              <w:t>LW59C11</w:t>
            </w:r>
          </w:p>
        </w:tc>
        <w:tc>
          <w:tcPr>
            <w:tcW w:w="1708" w:type="dxa"/>
          </w:tcPr>
          <w:p w:rsidR="00F1114E" w:rsidRDefault="00F1114E" w:rsidP="00F1114E">
            <w:pPr>
              <w:jc w:val="center"/>
            </w:pPr>
            <w:r w:rsidRPr="00CB2BB4">
              <w:rPr>
                <w:rFonts w:cs="AdvGulliv-R"/>
                <w:sz w:val="20"/>
              </w:rPr>
              <w:t>MN36812</w:t>
            </w:r>
            <w:r>
              <w:rPr>
                <w:rFonts w:cs="AdvGulliv-R"/>
                <w:sz w:val="20"/>
              </w:rPr>
              <w:t>7</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Default="00F1114E" w:rsidP="00F1114E">
            <w:pPr>
              <w:jc w:val="center"/>
              <w:rPr>
                <w:rFonts w:cs="AdvGulliv-R"/>
                <w:sz w:val="20"/>
              </w:rPr>
            </w:pPr>
            <w:r>
              <w:rPr>
                <w:rFonts w:cs="AdvGulliv-R"/>
                <w:sz w:val="20"/>
              </w:rPr>
              <w:t>LW67C10</w:t>
            </w:r>
          </w:p>
        </w:tc>
        <w:tc>
          <w:tcPr>
            <w:tcW w:w="1708" w:type="dxa"/>
          </w:tcPr>
          <w:p w:rsidR="00F1114E" w:rsidRDefault="00F1114E" w:rsidP="00F1114E">
            <w:pPr>
              <w:jc w:val="center"/>
            </w:pPr>
            <w:r w:rsidRPr="00CB2BB4">
              <w:rPr>
                <w:rFonts w:cs="AdvGulliv-R"/>
                <w:sz w:val="20"/>
              </w:rPr>
              <w:t>MN36812</w:t>
            </w:r>
            <w:r>
              <w:rPr>
                <w:rFonts w:cs="AdvGulliv-R"/>
                <w:sz w:val="20"/>
              </w:rPr>
              <w:t>8</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Default="00F1114E" w:rsidP="00F1114E">
            <w:pPr>
              <w:jc w:val="center"/>
              <w:rPr>
                <w:rFonts w:cs="AdvGulliv-R"/>
                <w:sz w:val="20"/>
              </w:rPr>
            </w:pPr>
            <w:r>
              <w:rPr>
                <w:rFonts w:cs="AdvGulliv-R"/>
                <w:sz w:val="20"/>
              </w:rPr>
              <w:t>LW67C</w:t>
            </w:r>
            <w:r>
              <w:rPr>
                <w:rFonts w:cs="AdvGulliv-R"/>
                <w:sz w:val="20"/>
              </w:rPr>
              <w:t>30</w:t>
            </w:r>
          </w:p>
        </w:tc>
        <w:tc>
          <w:tcPr>
            <w:tcW w:w="1708" w:type="dxa"/>
          </w:tcPr>
          <w:p w:rsidR="00F1114E" w:rsidRDefault="00F1114E" w:rsidP="00F1114E">
            <w:pPr>
              <w:jc w:val="center"/>
            </w:pPr>
            <w:r w:rsidRPr="00CB2BB4">
              <w:rPr>
                <w:rFonts w:cs="AdvGulliv-R"/>
                <w:sz w:val="20"/>
              </w:rPr>
              <w:t>MN36812</w:t>
            </w:r>
            <w:r>
              <w:rPr>
                <w:rFonts w:cs="AdvGulliv-R"/>
                <w:sz w:val="20"/>
              </w:rPr>
              <w:t>9</w:t>
            </w:r>
          </w:p>
        </w:tc>
        <w:tc>
          <w:tcPr>
            <w:tcW w:w="1344" w:type="dxa"/>
            <w:vMerge/>
            <w:vAlign w:val="center"/>
          </w:tcPr>
          <w:p w:rsidR="00F1114E" w:rsidRPr="003D0AE4" w:rsidRDefault="00F1114E" w:rsidP="00F1114E">
            <w:pPr>
              <w:jc w:val="center"/>
              <w:rPr>
                <w:rFonts w:cs="AdvGulliv-R"/>
                <w:sz w:val="20"/>
              </w:rPr>
            </w:pPr>
          </w:p>
        </w:tc>
      </w:tr>
      <w:tr w:rsidR="00F1114E" w:rsidTr="00837EF9">
        <w:trPr>
          <w:jc w:val="center"/>
        </w:trPr>
        <w:tc>
          <w:tcPr>
            <w:tcW w:w="1902" w:type="dxa"/>
          </w:tcPr>
          <w:p w:rsidR="00F1114E" w:rsidRDefault="00F1114E" w:rsidP="00F1114E">
            <w:pPr>
              <w:jc w:val="center"/>
              <w:rPr>
                <w:rFonts w:cs="AdvGulliv-R"/>
                <w:sz w:val="20"/>
              </w:rPr>
            </w:pPr>
            <w:r>
              <w:rPr>
                <w:rFonts w:cs="AdvGulliv-R"/>
                <w:sz w:val="20"/>
              </w:rPr>
              <w:t>LW74C11</w:t>
            </w:r>
          </w:p>
        </w:tc>
        <w:tc>
          <w:tcPr>
            <w:tcW w:w="1708" w:type="dxa"/>
          </w:tcPr>
          <w:p w:rsidR="00F1114E" w:rsidRDefault="00F1114E" w:rsidP="00F1114E">
            <w:pPr>
              <w:jc w:val="center"/>
            </w:pPr>
            <w:r w:rsidRPr="00CB2BB4">
              <w:rPr>
                <w:rFonts w:cs="AdvGulliv-R"/>
                <w:sz w:val="20"/>
              </w:rPr>
              <w:t>MN3681</w:t>
            </w:r>
            <w:r>
              <w:rPr>
                <w:rFonts w:cs="AdvGulliv-R"/>
                <w:sz w:val="20"/>
              </w:rPr>
              <w:t>30</w:t>
            </w:r>
          </w:p>
        </w:tc>
        <w:tc>
          <w:tcPr>
            <w:tcW w:w="1344" w:type="dxa"/>
            <w:vMerge/>
            <w:vAlign w:val="center"/>
          </w:tcPr>
          <w:p w:rsidR="00F1114E" w:rsidRPr="003D0AE4" w:rsidRDefault="00F1114E" w:rsidP="00F1114E">
            <w:pPr>
              <w:jc w:val="center"/>
              <w:rPr>
                <w:rFonts w:cs="AdvGulliv-R"/>
                <w:sz w:val="20"/>
              </w:rPr>
            </w:pPr>
          </w:p>
        </w:tc>
      </w:tr>
      <w:tr w:rsidR="00F1114E" w:rsidTr="00B14BCE">
        <w:trPr>
          <w:jc w:val="center"/>
        </w:trPr>
        <w:tc>
          <w:tcPr>
            <w:tcW w:w="1902" w:type="dxa"/>
          </w:tcPr>
          <w:p w:rsidR="00F1114E" w:rsidRDefault="00F1114E" w:rsidP="00D8677E">
            <w:pPr>
              <w:jc w:val="center"/>
              <w:rPr>
                <w:rFonts w:cs="AdvGulliv-R"/>
                <w:sz w:val="20"/>
              </w:rPr>
            </w:pPr>
            <w:r>
              <w:rPr>
                <w:rFonts w:cs="AdvGulliv-R"/>
                <w:sz w:val="20"/>
              </w:rPr>
              <w:t>LW74D12</w:t>
            </w:r>
          </w:p>
        </w:tc>
        <w:tc>
          <w:tcPr>
            <w:tcW w:w="1708" w:type="dxa"/>
            <w:vAlign w:val="center"/>
          </w:tcPr>
          <w:p w:rsidR="00F1114E" w:rsidRDefault="00F1114E" w:rsidP="00D8677E">
            <w:pPr>
              <w:jc w:val="center"/>
              <w:rPr>
                <w:rFonts w:cs="AdvGulliv-R"/>
                <w:sz w:val="20"/>
              </w:rPr>
            </w:pPr>
            <w:r w:rsidRPr="00CB2BB4">
              <w:rPr>
                <w:rFonts w:cs="AdvGulliv-R"/>
                <w:sz w:val="20"/>
              </w:rPr>
              <w:t>MN3681</w:t>
            </w:r>
            <w:r>
              <w:rPr>
                <w:rFonts w:cs="AdvGulliv-R"/>
                <w:sz w:val="20"/>
              </w:rPr>
              <w:t>3</w:t>
            </w:r>
            <w:r>
              <w:rPr>
                <w:rFonts w:cs="AdvGulliv-R"/>
                <w:sz w:val="20"/>
              </w:rPr>
              <w:t>1</w:t>
            </w:r>
          </w:p>
        </w:tc>
        <w:tc>
          <w:tcPr>
            <w:tcW w:w="1344" w:type="dxa"/>
            <w:vMerge/>
            <w:vAlign w:val="center"/>
          </w:tcPr>
          <w:p w:rsidR="00F1114E" w:rsidRPr="003D0AE4" w:rsidRDefault="00F1114E" w:rsidP="00D8677E">
            <w:pPr>
              <w:jc w:val="center"/>
              <w:rPr>
                <w:rFonts w:cs="AdvGulliv-R"/>
                <w:sz w:val="20"/>
              </w:rPr>
            </w:pPr>
          </w:p>
        </w:tc>
      </w:tr>
    </w:tbl>
    <w:p w:rsidR="00C478A3" w:rsidRPr="00C478A3" w:rsidRDefault="00C478A3" w:rsidP="00B307A4">
      <w:pPr>
        <w:spacing w:line="480" w:lineRule="auto"/>
        <w:rPr>
          <w:rFonts w:cs="AdvGulliv-R"/>
          <w:b/>
        </w:rPr>
      </w:pPr>
      <w:bookmarkStart w:id="0" w:name="_GoBack"/>
      <w:bookmarkEnd w:id="0"/>
      <w:r w:rsidRPr="00C478A3">
        <w:rPr>
          <w:rFonts w:cs="AdvGulliv-R"/>
          <w:b/>
        </w:rPr>
        <w:t>References</w:t>
      </w:r>
    </w:p>
    <w:p w:rsidR="00C478A3" w:rsidRPr="00C478A3" w:rsidRDefault="00C478A3" w:rsidP="00C478A3">
      <w:pPr>
        <w:widowControl w:val="0"/>
        <w:autoSpaceDE w:val="0"/>
        <w:autoSpaceDN w:val="0"/>
        <w:adjustRightInd w:val="0"/>
        <w:spacing w:line="480" w:lineRule="auto"/>
        <w:rPr>
          <w:rFonts w:ascii="Calibri" w:hAnsi="Calibri" w:cs="Calibri"/>
          <w:noProof/>
          <w:szCs w:val="24"/>
        </w:rPr>
      </w:pPr>
      <w:r>
        <w:rPr>
          <w:rFonts w:cs="AdvGulliv-R"/>
        </w:rPr>
        <w:fldChar w:fldCharType="begin" w:fldLock="1"/>
      </w:r>
      <w:r>
        <w:rPr>
          <w:rFonts w:cs="AdvGulliv-R"/>
        </w:rPr>
        <w:instrText xml:space="preserve">ADDIN Mendeley Bibliography CSL_BIBLIOGRAPHY </w:instrText>
      </w:r>
      <w:r>
        <w:rPr>
          <w:rFonts w:cs="AdvGulliv-R"/>
        </w:rPr>
        <w:fldChar w:fldCharType="separate"/>
      </w:r>
      <w:r w:rsidRPr="00C478A3">
        <w:rPr>
          <w:rFonts w:ascii="Calibri" w:hAnsi="Calibri" w:cs="Calibri"/>
          <w:noProof/>
          <w:szCs w:val="24"/>
        </w:rPr>
        <w:t xml:space="preserve">1. Nishimoto Y, Arisue N, Kawai S, Escalante AA, Horii T, Tanabe K, et al. Evolution and phylogeny of the heterogeneous cytosolic SSU rRNA genes in the genus Plasmodium. Mol Phylogenet Evol. 2008;47:45–53. </w:t>
      </w:r>
    </w:p>
    <w:p w:rsidR="00C478A3" w:rsidRPr="00C478A3" w:rsidRDefault="00C478A3" w:rsidP="00C478A3">
      <w:pPr>
        <w:widowControl w:val="0"/>
        <w:autoSpaceDE w:val="0"/>
        <w:autoSpaceDN w:val="0"/>
        <w:adjustRightInd w:val="0"/>
        <w:spacing w:line="480" w:lineRule="auto"/>
        <w:rPr>
          <w:rFonts w:ascii="Calibri" w:hAnsi="Calibri" w:cs="Calibri"/>
          <w:noProof/>
          <w:szCs w:val="24"/>
        </w:rPr>
      </w:pPr>
      <w:r w:rsidRPr="00C478A3">
        <w:rPr>
          <w:rFonts w:ascii="Calibri" w:hAnsi="Calibri" w:cs="Calibri"/>
          <w:noProof/>
          <w:szCs w:val="24"/>
        </w:rPr>
        <w:t xml:space="preserve">2. Li J, Wirtz RA, McConkey GA, Sattabongkot J, McCutchan TF. Transition of Plasmodium vivax ribosome types corresponds to sporozoite differentiation in the mosquito. Mol Biochem Parasitol. 1994;65:283–9. </w:t>
      </w:r>
    </w:p>
    <w:p w:rsidR="00C478A3" w:rsidRPr="00C478A3" w:rsidRDefault="00C478A3" w:rsidP="00C478A3">
      <w:pPr>
        <w:widowControl w:val="0"/>
        <w:autoSpaceDE w:val="0"/>
        <w:autoSpaceDN w:val="0"/>
        <w:adjustRightInd w:val="0"/>
        <w:spacing w:line="480" w:lineRule="auto"/>
        <w:rPr>
          <w:rFonts w:ascii="Calibri" w:hAnsi="Calibri" w:cs="Calibri"/>
          <w:noProof/>
          <w:szCs w:val="24"/>
        </w:rPr>
      </w:pPr>
      <w:r w:rsidRPr="00C478A3">
        <w:rPr>
          <w:rFonts w:ascii="Calibri" w:hAnsi="Calibri" w:cs="Calibri"/>
          <w:noProof/>
          <w:szCs w:val="24"/>
        </w:rPr>
        <w:t xml:space="preserve">3. Waters AP, Mccutchan TF. Partial sequence of the asexually expressed SU rRNA gene of Plasmdium vivax. Nucleic Acids Res. 1989;17:2135. </w:t>
      </w:r>
    </w:p>
    <w:p w:rsidR="00C478A3" w:rsidRPr="00C478A3" w:rsidRDefault="00C478A3" w:rsidP="00C478A3">
      <w:pPr>
        <w:widowControl w:val="0"/>
        <w:autoSpaceDE w:val="0"/>
        <w:autoSpaceDN w:val="0"/>
        <w:adjustRightInd w:val="0"/>
        <w:spacing w:line="480" w:lineRule="auto"/>
        <w:rPr>
          <w:rFonts w:ascii="Calibri" w:hAnsi="Calibri" w:cs="Calibri"/>
          <w:noProof/>
        </w:rPr>
      </w:pPr>
      <w:r w:rsidRPr="00C478A3">
        <w:rPr>
          <w:rFonts w:ascii="Calibri" w:hAnsi="Calibri" w:cs="Calibri"/>
          <w:noProof/>
          <w:szCs w:val="24"/>
        </w:rPr>
        <w:t xml:space="preserve">4. McCutchan TF, de la Cruz VF, Lal AA, Gunderson JH, Elwood HJ, Sogin ML. Primary sequences of two </w:t>
      </w:r>
      <w:r w:rsidRPr="00C478A3">
        <w:rPr>
          <w:rFonts w:ascii="Calibri" w:hAnsi="Calibri" w:cs="Calibri"/>
          <w:noProof/>
          <w:szCs w:val="24"/>
        </w:rPr>
        <w:lastRenderedPageBreak/>
        <w:t xml:space="preserve">small subunit ribosomal RNA genes from Plasmodium falciparum. Mol Biochem Parasitol. 1988;28:63–8. </w:t>
      </w:r>
    </w:p>
    <w:p w:rsidR="00C478A3" w:rsidRDefault="00C478A3" w:rsidP="00B307A4">
      <w:pPr>
        <w:spacing w:line="480" w:lineRule="auto"/>
        <w:rPr>
          <w:rFonts w:cs="AdvGulliv-R"/>
        </w:rPr>
      </w:pPr>
      <w:r>
        <w:rPr>
          <w:rFonts w:cs="AdvGulliv-R"/>
        </w:rPr>
        <w:fldChar w:fldCharType="end"/>
      </w:r>
    </w:p>
    <w:p w:rsidR="00191C99" w:rsidRDefault="00191C99"/>
    <w:sectPr w:rsidR="0019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A4"/>
    <w:rsid w:val="000701F8"/>
    <w:rsid w:val="00191C99"/>
    <w:rsid w:val="003A6138"/>
    <w:rsid w:val="00635031"/>
    <w:rsid w:val="007B5A6A"/>
    <w:rsid w:val="00B307A4"/>
    <w:rsid w:val="00B943B6"/>
    <w:rsid w:val="00C478A3"/>
    <w:rsid w:val="00D8677E"/>
    <w:rsid w:val="00DA5FC2"/>
    <w:rsid w:val="00DF5B2F"/>
    <w:rsid w:val="00F1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8490"/>
  <w15:chartTrackingRefBased/>
  <w15:docId w15:val="{DEBA8F54-669A-4DEE-98B2-EB51308F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7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7A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1126-8E06-4FC8-B9F1-AFCFF43D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Joshua Ang</cp:lastModifiedBy>
  <cp:revision>7</cp:revision>
  <dcterms:created xsi:type="dcterms:W3CDTF">2017-03-09T04:01:00Z</dcterms:created>
  <dcterms:modified xsi:type="dcterms:W3CDTF">2020-03-11T19:29:00Z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http://www.zotero.org/styles/parasites-and-vectors</vt:lpwstr>
  </property>
  <property fmtid="{D5CDD505-2E9C-101B-9397-08002B2CF9AE}" pid="21" name="Mendeley Recent Style Name 9_1">
    <vt:lpwstr>Parasites &amp; Vectors</vt:lpwstr>
  </property>
  <property fmtid="{D5CDD505-2E9C-101B-9397-08002B2CF9AE}" pid="22" name="Mendeley Document_1">
    <vt:lpwstr>True</vt:lpwstr>
  </property>
  <property fmtid="{D5CDD505-2E9C-101B-9397-08002B2CF9AE}" pid="23" name="Mendeley Unique User Id_1">
    <vt:lpwstr>3aa0309e-e933-3710-a5de-0828459632de</vt:lpwstr>
  </property>
  <property fmtid="{D5CDD505-2E9C-101B-9397-08002B2CF9AE}" pid="24" name="Mendeley Citation Style_1">
    <vt:lpwstr>http://www.zotero.org/styles/parasites-and-vectors</vt:lpwstr>
  </property>
</Properties>
</file>