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1458" w14:textId="77777777" w:rsidR="007D3B99" w:rsidRDefault="007D3B99" w:rsidP="007D3B99">
      <w:pPr>
        <w:rPr>
          <w:b/>
          <w:sz w:val="20"/>
          <w:szCs w:val="20"/>
        </w:rPr>
      </w:pPr>
      <w:r>
        <w:rPr>
          <w:b/>
          <w:sz w:val="20"/>
          <w:szCs w:val="20"/>
        </w:rPr>
        <w:t xml:space="preserve">Supplemental Digital Content 1. </w:t>
      </w:r>
      <w:proofErr w:type="gramStart"/>
      <w:r>
        <w:rPr>
          <w:b/>
          <w:sz w:val="20"/>
          <w:szCs w:val="20"/>
        </w:rPr>
        <w:t>Operationalized and Expanded QUIPS Guidelines for Assessing Risk of Bias in Included Studies</w:t>
      </w:r>
      <w:r w:rsidR="00A61D8C">
        <w:rPr>
          <w:b/>
          <w:sz w:val="20"/>
          <w:szCs w:val="20"/>
        </w:rPr>
        <w:t xml:space="preserve"> [23-25]</w:t>
      </w:r>
      <w:r>
        <w:rPr>
          <w:b/>
          <w:sz w:val="20"/>
          <w:szCs w:val="20"/>
        </w:rPr>
        <w:t>.</w:t>
      </w:r>
      <w:proofErr w:type="gramEnd"/>
      <w:r w:rsidR="00A61D8C">
        <w:rPr>
          <w:b/>
          <w:sz w:val="20"/>
          <w:szCs w:val="20"/>
        </w:rPr>
        <w:t xml:space="preserve"> </w:t>
      </w:r>
    </w:p>
    <w:tbl>
      <w:tblPr>
        <w:tblStyle w:val="TableGrid"/>
        <w:tblW w:w="0" w:type="auto"/>
        <w:tblLayout w:type="fixed"/>
        <w:tblLook w:val="04A0" w:firstRow="1" w:lastRow="0" w:firstColumn="1" w:lastColumn="0" w:noHBand="0" w:noVBand="1"/>
      </w:tblPr>
      <w:tblGrid>
        <w:gridCol w:w="1098"/>
        <w:gridCol w:w="1845"/>
        <w:gridCol w:w="1843"/>
        <w:gridCol w:w="1985"/>
        <w:gridCol w:w="1701"/>
        <w:gridCol w:w="1701"/>
        <w:gridCol w:w="1559"/>
        <w:gridCol w:w="1444"/>
      </w:tblGrid>
      <w:tr w:rsidR="007D3B99" w14:paraId="6071EF3B" w14:textId="77777777" w:rsidTr="00A9278B">
        <w:tc>
          <w:tcPr>
            <w:tcW w:w="1098" w:type="dxa"/>
            <w:tcBorders>
              <w:top w:val="single" w:sz="4" w:space="0" w:color="auto"/>
              <w:left w:val="single" w:sz="4" w:space="0" w:color="auto"/>
              <w:bottom w:val="single" w:sz="4" w:space="0" w:color="auto"/>
              <w:right w:val="single" w:sz="4" w:space="0" w:color="auto"/>
            </w:tcBorders>
            <w:hideMark/>
          </w:tcPr>
          <w:p w14:paraId="222154C7" w14:textId="77777777" w:rsidR="007D3B99" w:rsidRDefault="007D3B99" w:rsidP="00A9278B">
            <w:pPr>
              <w:rPr>
                <w:b/>
                <w:lang w:eastAsia="en-CA"/>
              </w:rPr>
            </w:pPr>
            <w:r>
              <w:rPr>
                <w:b/>
                <w:lang w:eastAsia="en-CA"/>
              </w:rPr>
              <w:t>Variables</w:t>
            </w:r>
          </w:p>
        </w:tc>
        <w:tc>
          <w:tcPr>
            <w:tcW w:w="12078" w:type="dxa"/>
            <w:gridSpan w:val="7"/>
            <w:tcBorders>
              <w:top w:val="single" w:sz="4" w:space="0" w:color="auto"/>
              <w:left w:val="single" w:sz="4" w:space="0" w:color="auto"/>
              <w:bottom w:val="single" w:sz="4" w:space="0" w:color="auto"/>
              <w:right w:val="single" w:sz="4" w:space="0" w:color="auto"/>
            </w:tcBorders>
            <w:hideMark/>
          </w:tcPr>
          <w:p w14:paraId="73BE23D7" w14:textId="77777777" w:rsidR="007D3B99" w:rsidRDefault="007D3B99" w:rsidP="00A9278B">
            <w:pPr>
              <w:jc w:val="center"/>
              <w:rPr>
                <w:b/>
                <w:lang w:eastAsia="en-CA"/>
              </w:rPr>
            </w:pPr>
            <w:r>
              <w:rPr>
                <w:b/>
                <w:lang w:eastAsia="en-CA"/>
              </w:rPr>
              <w:t>Bias Domains</w:t>
            </w:r>
          </w:p>
        </w:tc>
      </w:tr>
      <w:tr w:rsidR="007D3B99" w14:paraId="535A155F" w14:textId="77777777" w:rsidTr="00A9278B">
        <w:tc>
          <w:tcPr>
            <w:tcW w:w="1098" w:type="dxa"/>
            <w:tcBorders>
              <w:top w:val="single" w:sz="4" w:space="0" w:color="auto"/>
              <w:left w:val="single" w:sz="4" w:space="0" w:color="auto"/>
              <w:bottom w:val="single" w:sz="4" w:space="0" w:color="auto"/>
              <w:right w:val="single" w:sz="4" w:space="0" w:color="auto"/>
            </w:tcBorders>
            <w:hideMark/>
          </w:tcPr>
          <w:p w14:paraId="0DF39BA7" w14:textId="77777777" w:rsidR="007D3B99" w:rsidRDefault="007D3B99" w:rsidP="00A9278B">
            <w:pPr>
              <w:rPr>
                <w:b/>
                <w:lang w:eastAsia="en-CA"/>
              </w:rPr>
            </w:pPr>
            <w:r>
              <w:rPr>
                <w:b/>
                <w:lang w:eastAsia="en-CA"/>
              </w:rPr>
              <w:t>Study Quality Domains</w:t>
            </w:r>
          </w:p>
        </w:tc>
        <w:tc>
          <w:tcPr>
            <w:tcW w:w="1845" w:type="dxa"/>
            <w:tcBorders>
              <w:top w:val="single" w:sz="4" w:space="0" w:color="auto"/>
              <w:left w:val="single" w:sz="4" w:space="0" w:color="auto"/>
              <w:bottom w:val="single" w:sz="4" w:space="0" w:color="auto"/>
              <w:right w:val="single" w:sz="4" w:space="0" w:color="auto"/>
            </w:tcBorders>
            <w:hideMark/>
          </w:tcPr>
          <w:p w14:paraId="55A71AC0" w14:textId="77777777" w:rsidR="007D3B99" w:rsidRDefault="007D3B99" w:rsidP="00A9278B">
            <w:pPr>
              <w:jc w:val="center"/>
              <w:rPr>
                <w:b/>
                <w:lang w:eastAsia="en-CA"/>
              </w:rPr>
            </w:pPr>
            <w:r>
              <w:rPr>
                <w:b/>
                <w:lang w:eastAsia="en-CA"/>
              </w:rPr>
              <w:t>Study Participation</w:t>
            </w:r>
          </w:p>
        </w:tc>
        <w:tc>
          <w:tcPr>
            <w:tcW w:w="1843" w:type="dxa"/>
            <w:tcBorders>
              <w:top w:val="single" w:sz="4" w:space="0" w:color="auto"/>
              <w:left w:val="single" w:sz="4" w:space="0" w:color="auto"/>
              <w:bottom w:val="single" w:sz="4" w:space="0" w:color="auto"/>
              <w:right w:val="single" w:sz="4" w:space="0" w:color="auto"/>
            </w:tcBorders>
            <w:hideMark/>
          </w:tcPr>
          <w:p w14:paraId="06BA23BA" w14:textId="77777777" w:rsidR="007D3B99" w:rsidRDefault="007D3B99" w:rsidP="00A9278B">
            <w:pPr>
              <w:jc w:val="center"/>
              <w:rPr>
                <w:b/>
                <w:lang w:eastAsia="en-CA"/>
              </w:rPr>
            </w:pPr>
            <w:r>
              <w:rPr>
                <w:b/>
                <w:lang w:eastAsia="en-CA"/>
              </w:rPr>
              <w:t>Study Attrition</w:t>
            </w:r>
          </w:p>
        </w:tc>
        <w:tc>
          <w:tcPr>
            <w:tcW w:w="1985" w:type="dxa"/>
            <w:tcBorders>
              <w:top w:val="single" w:sz="4" w:space="0" w:color="auto"/>
              <w:left w:val="single" w:sz="4" w:space="0" w:color="auto"/>
              <w:bottom w:val="single" w:sz="4" w:space="0" w:color="auto"/>
              <w:right w:val="single" w:sz="4" w:space="0" w:color="auto"/>
            </w:tcBorders>
            <w:hideMark/>
          </w:tcPr>
          <w:p w14:paraId="2DF9403B" w14:textId="77777777" w:rsidR="007D3B99" w:rsidRDefault="007D3B99" w:rsidP="00A9278B">
            <w:pPr>
              <w:jc w:val="center"/>
              <w:rPr>
                <w:b/>
                <w:lang w:eastAsia="en-CA"/>
              </w:rPr>
            </w:pPr>
            <w:r>
              <w:rPr>
                <w:b/>
                <w:lang w:eastAsia="en-CA"/>
              </w:rPr>
              <w:t>Indication Description and Measurement</w:t>
            </w:r>
          </w:p>
        </w:tc>
        <w:tc>
          <w:tcPr>
            <w:tcW w:w="1701" w:type="dxa"/>
            <w:tcBorders>
              <w:top w:val="single" w:sz="4" w:space="0" w:color="auto"/>
              <w:left w:val="single" w:sz="4" w:space="0" w:color="auto"/>
              <w:bottom w:val="single" w:sz="4" w:space="0" w:color="auto"/>
              <w:right w:val="single" w:sz="4" w:space="0" w:color="auto"/>
            </w:tcBorders>
            <w:hideMark/>
          </w:tcPr>
          <w:p w14:paraId="4E21F0F9" w14:textId="77777777" w:rsidR="007D3B99" w:rsidRDefault="007D3B99" w:rsidP="00A9278B">
            <w:pPr>
              <w:jc w:val="center"/>
              <w:rPr>
                <w:b/>
                <w:lang w:eastAsia="en-CA"/>
              </w:rPr>
            </w:pPr>
            <w:r>
              <w:rPr>
                <w:b/>
                <w:lang w:eastAsia="en-CA"/>
              </w:rPr>
              <w:t>Outcome Measurement</w:t>
            </w:r>
          </w:p>
        </w:tc>
        <w:tc>
          <w:tcPr>
            <w:tcW w:w="1701" w:type="dxa"/>
            <w:tcBorders>
              <w:top w:val="single" w:sz="4" w:space="0" w:color="auto"/>
              <w:left w:val="single" w:sz="4" w:space="0" w:color="auto"/>
              <w:bottom w:val="single" w:sz="4" w:space="0" w:color="auto"/>
              <w:right w:val="single" w:sz="4" w:space="0" w:color="auto"/>
            </w:tcBorders>
            <w:hideMark/>
          </w:tcPr>
          <w:p w14:paraId="07265C9F" w14:textId="77777777" w:rsidR="007D3B99" w:rsidRDefault="007D3B99" w:rsidP="00A9278B">
            <w:pPr>
              <w:jc w:val="center"/>
              <w:rPr>
                <w:b/>
                <w:lang w:eastAsia="en-CA"/>
              </w:rPr>
            </w:pPr>
            <w:r>
              <w:rPr>
                <w:b/>
                <w:lang w:eastAsia="en-CA"/>
              </w:rPr>
              <w:t>Confounding Measurement and Account</w:t>
            </w:r>
          </w:p>
        </w:tc>
        <w:tc>
          <w:tcPr>
            <w:tcW w:w="1559" w:type="dxa"/>
            <w:tcBorders>
              <w:top w:val="single" w:sz="4" w:space="0" w:color="auto"/>
              <w:left w:val="single" w:sz="4" w:space="0" w:color="auto"/>
              <w:bottom w:val="single" w:sz="4" w:space="0" w:color="auto"/>
              <w:right w:val="single" w:sz="4" w:space="0" w:color="auto"/>
            </w:tcBorders>
            <w:hideMark/>
          </w:tcPr>
          <w:p w14:paraId="65BC0345" w14:textId="77777777" w:rsidR="007D3B99" w:rsidRDefault="007D3B99" w:rsidP="00A9278B">
            <w:pPr>
              <w:jc w:val="center"/>
              <w:rPr>
                <w:b/>
                <w:lang w:eastAsia="en-CA"/>
              </w:rPr>
            </w:pPr>
            <w:r>
              <w:rPr>
                <w:b/>
                <w:lang w:eastAsia="en-CA"/>
              </w:rPr>
              <w:t>Similar Treatment After Cohort Inclusion</w:t>
            </w:r>
          </w:p>
        </w:tc>
        <w:tc>
          <w:tcPr>
            <w:tcW w:w="1444" w:type="dxa"/>
            <w:tcBorders>
              <w:top w:val="single" w:sz="4" w:space="0" w:color="auto"/>
              <w:left w:val="single" w:sz="4" w:space="0" w:color="auto"/>
              <w:bottom w:val="single" w:sz="4" w:space="0" w:color="auto"/>
              <w:right w:val="single" w:sz="4" w:space="0" w:color="auto"/>
            </w:tcBorders>
            <w:hideMark/>
          </w:tcPr>
          <w:p w14:paraId="78D66127" w14:textId="77777777" w:rsidR="007D3B99" w:rsidRDefault="007D3B99" w:rsidP="00A9278B">
            <w:pPr>
              <w:jc w:val="center"/>
              <w:rPr>
                <w:b/>
                <w:lang w:eastAsia="en-CA"/>
              </w:rPr>
            </w:pPr>
            <w:r>
              <w:rPr>
                <w:b/>
                <w:lang w:eastAsia="en-CA"/>
              </w:rPr>
              <w:t>Statistical Analyses</w:t>
            </w:r>
          </w:p>
        </w:tc>
      </w:tr>
      <w:tr w:rsidR="007D3B99" w14:paraId="367996E7" w14:textId="77777777" w:rsidTr="00A9278B">
        <w:tc>
          <w:tcPr>
            <w:tcW w:w="1098" w:type="dxa"/>
            <w:tcBorders>
              <w:top w:val="single" w:sz="4" w:space="0" w:color="auto"/>
              <w:left w:val="single" w:sz="4" w:space="0" w:color="auto"/>
              <w:bottom w:val="single" w:sz="4" w:space="0" w:color="auto"/>
              <w:right w:val="single" w:sz="4" w:space="0" w:color="auto"/>
            </w:tcBorders>
            <w:hideMark/>
          </w:tcPr>
          <w:p w14:paraId="41F2AF42" w14:textId="77777777" w:rsidR="007D3B99" w:rsidRDefault="007D3B99" w:rsidP="00A9278B">
            <w:pPr>
              <w:rPr>
                <w:lang w:eastAsia="en-CA"/>
              </w:rPr>
            </w:pPr>
            <w:r>
              <w:rPr>
                <w:lang w:eastAsia="en-CA"/>
              </w:rPr>
              <w:t>Prompting items</w:t>
            </w:r>
          </w:p>
        </w:tc>
        <w:tc>
          <w:tcPr>
            <w:tcW w:w="1845" w:type="dxa"/>
            <w:tcBorders>
              <w:top w:val="single" w:sz="4" w:space="0" w:color="auto"/>
              <w:left w:val="single" w:sz="4" w:space="0" w:color="auto"/>
              <w:bottom w:val="single" w:sz="4" w:space="0" w:color="auto"/>
              <w:right w:val="single" w:sz="4" w:space="0" w:color="auto"/>
            </w:tcBorders>
          </w:tcPr>
          <w:p w14:paraId="163A5756" w14:textId="77777777" w:rsidR="007D3B99" w:rsidRDefault="007D3B99" w:rsidP="00A9278B">
            <w:pPr>
              <w:rPr>
                <w:lang w:eastAsia="en-CA"/>
              </w:rPr>
            </w:pPr>
            <w:r>
              <w:rPr>
                <w:lang w:eastAsia="en-CA"/>
              </w:rPr>
              <w:t>There was adequate participation in the study by eligible patients</w:t>
            </w:r>
          </w:p>
          <w:p w14:paraId="57354858" w14:textId="77777777" w:rsidR="007D3B99" w:rsidRDefault="007D3B99" w:rsidP="00A9278B">
            <w:pPr>
              <w:rPr>
                <w:lang w:eastAsia="en-CA"/>
              </w:rPr>
            </w:pPr>
          </w:p>
          <w:p w14:paraId="32254A76" w14:textId="77777777" w:rsidR="007D3B99" w:rsidRDefault="007D3B99" w:rsidP="00A9278B">
            <w:pPr>
              <w:rPr>
                <w:lang w:eastAsia="en-CA"/>
              </w:rPr>
            </w:pPr>
            <w:r>
              <w:rPr>
                <w:lang w:eastAsia="en-CA"/>
              </w:rPr>
              <w:t>The methods of identifying the sample and period and place of recruitment were described and appeared appropriate</w:t>
            </w:r>
          </w:p>
          <w:p w14:paraId="5BA65952" w14:textId="77777777" w:rsidR="007D3B99" w:rsidRDefault="007D3B99" w:rsidP="00A9278B">
            <w:pPr>
              <w:rPr>
                <w:lang w:eastAsia="en-CA"/>
              </w:rPr>
            </w:pPr>
          </w:p>
          <w:p w14:paraId="17BD916F" w14:textId="77777777" w:rsidR="007D3B99" w:rsidRDefault="007D3B99" w:rsidP="00A9278B">
            <w:pPr>
              <w:rPr>
                <w:lang w:eastAsia="en-CA"/>
              </w:rPr>
            </w:pPr>
            <w:r>
              <w:rPr>
                <w:lang w:eastAsia="en-CA"/>
              </w:rPr>
              <w:t>For studies evaluating the validity or reliability of indications, the sample predominantly or completely included patients who underwent definitive trauma surgery</w:t>
            </w:r>
          </w:p>
          <w:p w14:paraId="5E80FF5A" w14:textId="77777777" w:rsidR="007D3B99" w:rsidRDefault="007D3B99" w:rsidP="00A9278B">
            <w:pPr>
              <w:rPr>
                <w:lang w:eastAsia="en-CA"/>
              </w:rPr>
            </w:pPr>
          </w:p>
          <w:p w14:paraId="15D10A19" w14:textId="77777777" w:rsidR="007D3B99" w:rsidRDefault="007D3B99" w:rsidP="00A9278B">
            <w:pPr>
              <w:rPr>
                <w:lang w:eastAsia="en-CA"/>
              </w:rPr>
            </w:pPr>
            <w:r>
              <w:rPr>
                <w:lang w:eastAsia="en-CA"/>
              </w:rPr>
              <w:t>Inclusion and exclusion criteria were adequately explained</w:t>
            </w:r>
          </w:p>
          <w:p w14:paraId="0F7D11DD" w14:textId="77777777" w:rsidR="007D3B99" w:rsidRDefault="007D3B99" w:rsidP="00A9278B">
            <w:pPr>
              <w:rPr>
                <w:lang w:eastAsia="en-CA"/>
              </w:rPr>
            </w:pPr>
          </w:p>
          <w:p w14:paraId="4C230847" w14:textId="77777777" w:rsidR="007D3B99" w:rsidRDefault="007D3B99" w:rsidP="00A9278B">
            <w:pPr>
              <w:rPr>
                <w:lang w:eastAsia="en-CA"/>
              </w:rPr>
            </w:pPr>
            <w:r>
              <w:rPr>
                <w:lang w:eastAsia="en-CA"/>
              </w:rPr>
              <w:t xml:space="preserve">The baseline characteristics of </w:t>
            </w:r>
            <w:r>
              <w:rPr>
                <w:lang w:eastAsia="en-CA"/>
              </w:rPr>
              <w:lastRenderedPageBreak/>
              <w:t>the study sample was adequately described [e.g., types and locations of injuries, ISS scores, and presenting physiology (BD, lactate, pH, temperature, PT, PTT, INR)]</w:t>
            </w:r>
          </w:p>
        </w:tc>
        <w:tc>
          <w:tcPr>
            <w:tcW w:w="1843" w:type="dxa"/>
            <w:tcBorders>
              <w:top w:val="single" w:sz="4" w:space="0" w:color="auto"/>
              <w:left w:val="single" w:sz="4" w:space="0" w:color="auto"/>
              <w:bottom w:val="single" w:sz="4" w:space="0" w:color="auto"/>
              <w:right w:val="single" w:sz="4" w:space="0" w:color="auto"/>
            </w:tcBorders>
          </w:tcPr>
          <w:p w14:paraId="77016016" w14:textId="77777777" w:rsidR="007D3B99" w:rsidRDefault="007D3B99" w:rsidP="00A9278B">
            <w:pPr>
              <w:rPr>
                <w:lang w:eastAsia="en-CA"/>
              </w:rPr>
            </w:pPr>
            <w:r>
              <w:rPr>
                <w:lang w:eastAsia="en-CA"/>
              </w:rPr>
              <w:lastRenderedPageBreak/>
              <w:t>The response rate (i.e., proportion of study sample providing outcome data) was adequate</w:t>
            </w:r>
          </w:p>
          <w:p w14:paraId="0AD01319" w14:textId="77777777" w:rsidR="007D3B99" w:rsidRDefault="007D3B99" w:rsidP="00A9278B">
            <w:pPr>
              <w:rPr>
                <w:lang w:eastAsia="en-CA"/>
              </w:rPr>
            </w:pPr>
          </w:p>
          <w:p w14:paraId="6B795728" w14:textId="77777777" w:rsidR="007D3B99" w:rsidRDefault="007D3B99" w:rsidP="00A9278B">
            <w:pPr>
              <w:rPr>
                <w:lang w:eastAsia="en-CA"/>
              </w:rPr>
            </w:pPr>
            <w:r>
              <w:rPr>
                <w:lang w:eastAsia="en-CA"/>
              </w:rPr>
              <w:t>Reasons for loss to follow-up were provided</w:t>
            </w:r>
          </w:p>
          <w:p w14:paraId="291198C3" w14:textId="77777777" w:rsidR="007D3B99" w:rsidRDefault="007D3B99" w:rsidP="00A9278B">
            <w:pPr>
              <w:rPr>
                <w:lang w:eastAsia="en-CA"/>
              </w:rPr>
            </w:pPr>
          </w:p>
          <w:p w14:paraId="231E34CD" w14:textId="77777777" w:rsidR="007D3B99" w:rsidRDefault="007D3B99" w:rsidP="00A9278B">
            <w:pPr>
              <w:rPr>
                <w:lang w:eastAsia="en-CA"/>
              </w:rPr>
            </w:pPr>
            <w:r>
              <w:rPr>
                <w:lang w:eastAsia="en-CA"/>
              </w:rPr>
              <w:t>The characteristics of participants lost to follow-up were adequately described</w:t>
            </w:r>
          </w:p>
          <w:p w14:paraId="58DC6CA5" w14:textId="77777777" w:rsidR="007D3B99" w:rsidRDefault="007D3B99" w:rsidP="00A9278B">
            <w:pPr>
              <w:rPr>
                <w:lang w:eastAsia="en-CA"/>
              </w:rPr>
            </w:pPr>
          </w:p>
          <w:p w14:paraId="1B40DD6C" w14:textId="77777777" w:rsidR="007D3B99" w:rsidRDefault="007D3B99" w:rsidP="00A9278B">
            <w:pPr>
              <w:rPr>
                <w:lang w:eastAsia="en-CA"/>
              </w:rPr>
            </w:pPr>
            <w:r>
              <w:rPr>
                <w:lang w:eastAsia="en-CA"/>
              </w:rPr>
              <w:t>There were likely to be no important differences between key characteristics and outcomes in participants who completed the study versus those who did not</w:t>
            </w:r>
          </w:p>
        </w:tc>
        <w:tc>
          <w:tcPr>
            <w:tcW w:w="1985" w:type="dxa"/>
            <w:tcBorders>
              <w:top w:val="single" w:sz="4" w:space="0" w:color="auto"/>
              <w:left w:val="single" w:sz="4" w:space="0" w:color="auto"/>
              <w:bottom w:val="single" w:sz="4" w:space="0" w:color="auto"/>
              <w:right w:val="single" w:sz="4" w:space="0" w:color="auto"/>
            </w:tcBorders>
          </w:tcPr>
          <w:p w14:paraId="227B25CB" w14:textId="77777777" w:rsidR="007D3B99" w:rsidRDefault="007D3B99" w:rsidP="00A9278B">
            <w:pPr>
              <w:rPr>
                <w:lang w:eastAsia="en-CA"/>
              </w:rPr>
            </w:pPr>
            <w:r>
              <w:rPr>
                <w:lang w:eastAsia="en-CA"/>
              </w:rPr>
              <w:t>A clear and clinically useful definition/description of the indication was provided</w:t>
            </w:r>
          </w:p>
          <w:p w14:paraId="6965A101" w14:textId="77777777" w:rsidR="007D3B99" w:rsidRDefault="007D3B99" w:rsidP="00A9278B">
            <w:pPr>
              <w:rPr>
                <w:lang w:eastAsia="en-CA"/>
              </w:rPr>
            </w:pPr>
          </w:p>
          <w:p w14:paraId="7ADE8F68" w14:textId="77777777" w:rsidR="007D3B99" w:rsidRDefault="007D3B99" w:rsidP="00A9278B">
            <w:pPr>
              <w:rPr>
                <w:lang w:eastAsia="en-CA"/>
              </w:rPr>
            </w:pPr>
            <w:r>
              <w:rPr>
                <w:lang w:eastAsia="en-CA"/>
              </w:rPr>
              <w:t>Continuous variables were reported or appropriate (i.e., not data-dependent) cut-offs were used</w:t>
            </w:r>
          </w:p>
          <w:p w14:paraId="47308623" w14:textId="77777777" w:rsidR="007D3B99" w:rsidRDefault="007D3B99" w:rsidP="00A9278B">
            <w:pPr>
              <w:rPr>
                <w:lang w:eastAsia="en-CA"/>
              </w:rPr>
            </w:pPr>
          </w:p>
          <w:p w14:paraId="2B96C236" w14:textId="77777777" w:rsidR="007D3B99" w:rsidRDefault="007D3B99" w:rsidP="00A9278B">
            <w:pPr>
              <w:rPr>
                <w:b/>
                <w:lang w:eastAsia="en-CA"/>
              </w:rPr>
            </w:pPr>
            <w:r>
              <w:rPr>
                <w:lang w:eastAsia="en-CA"/>
              </w:rPr>
              <w:t>The indication was measured for all or a high proportion of the included patients</w:t>
            </w:r>
          </w:p>
        </w:tc>
        <w:tc>
          <w:tcPr>
            <w:tcW w:w="1701" w:type="dxa"/>
            <w:tcBorders>
              <w:top w:val="single" w:sz="4" w:space="0" w:color="auto"/>
              <w:left w:val="single" w:sz="4" w:space="0" w:color="auto"/>
              <w:bottom w:val="single" w:sz="4" w:space="0" w:color="auto"/>
              <w:right w:val="single" w:sz="4" w:space="0" w:color="auto"/>
            </w:tcBorders>
            <w:hideMark/>
          </w:tcPr>
          <w:p w14:paraId="51A54EC2" w14:textId="77777777" w:rsidR="007D3B99" w:rsidRDefault="007D3B99" w:rsidP="00A9278B">
            <w:pPr>
              <w:rPr>
                <w:b/>
                <w:lang w:eastAsia="en-CA"/>
              </w:rPr>
            </w:pPr>
            <w:r>
              <w:rPr>
                <w:lang w:eastAsia="en-CA"/>
              </w:rPr>
              <w:t>An unambiguous outcome variable was used (e.g., survival) or a clear definition of the outcome variable (e.g., DC surgery) was provided and was measured in a similar way for all patients</w:t>
            </w:r>
          </w:p>
        </w:tc>
        <w:tc>
          <w:tcPr>
            <w:tcW w:w="1701" w:type="dxa"/>
            <w:tcBorders>
              <w:top w:val="single" w:sz="4" w:space="0" w:color="auto"/>
              <w:left w:val="single" w:sz="4" w:space="0" w:color="auto"/>
              <w:bottom w:val="single" w:sz="4" w:space="0" w:color="auto"/>
              <w:right w:val="single" w:sz="4" w:space="0" w:color="auto"/>
            </w:tcBorders>
          </w:tcPr>
          <w:p w14:paraId="4DCB4AB5" w14:textId="77777777" w:rsidR="007D3B99" w:rsidRDefault="007D3B99" w:rsidP="00A9278B">
            <w:pPr>
              <w:rPr>
                <w:lang w:eastAsia="en-CA"/>
              </w:rPr>
            </w:pPr>
            <w:r>
              <w:rPr>
                <w:lang w:eastAsia="en-CA"/>
              </w:rPr>
              <w:t>Important potential confounding variables, including measurements of core body temperature, acid/base status, coagulopathy and injury severity (e.g., ISS), were clearly defined and accounted for in the study design (e.g., matching, stratification, or initial assembly of comparable groups) or in the analysis</w:t>
            </w:r>
          </w:p>
          <w:p w14:paraId="0AFDE09E" w14:textId="77777777" w:rsidR="007D3B99" w:rsidRDefault="007D3B99" w:rsidP="00A9278B">
            <w:pPr>
              <w:rPr>
                <w:lang w:eastAsia="en-CA"/>
              </w:rPr>
            </w:pPr>
          </w:p>
          <w:p w14:paraId="489EBF3A" w14:textId="77777777" w:rsidR="007D3B99" w:rsidRDefault="007D3B99" w:rsidP="00A9278B">
            <w:pPr>
              <w:rPr>
                <w:b/>
                <w:lang w:eastAsia="en-CA"/>
              </w:rPr>
            </w:pPr>
            <w:r>
              <w:rPr>
                <w:lang w:eastAsia="en-CA"/>
              </w:rPr>
              <w:t>Where potential confounding variables were not accounted for in the study design or analysis, these were summarized and appeared to be balanced between the groups</w:t>
            </w:r>
          </w:p>
        </w:tc>
        <w:tc>
          <w:tcPr>
            <w:tcW w:w="1559" w:type="dxa"/>
            <w:tcBorders>
              <w:top w:val="single" w:sz="4" w:space="0" w:color="auto"/>
              <w:left w:val="single" w:sz="4" w:space="0" w:color="auto"/>
              <w:bottom w:val="single" w:sz="4" w:space="0" w:color="auto"/>
              <w:right w:val="single" w:sz="4" w:space="0" w:color="auto"/>
            </w:tcBorders>
          </w:tcPr>
          <w:p w14:paraId="0D1AE5E5" w14:textId="77777777" w:rsidR="007D3B99" w:rsidRDefault="007D3B99" w:rsidP="00A9278B">
            <w:pPr>
              <w:rPr>
                <w:lang w:eastAsia="en-CA"/>
              </w:rPr>
            </w:pPr>
            <w:r>
              <w:rPr>
                <w:lang w:eastAsia="en-CA"/>
              </w:rPr>
              <w:t>Treatment (e.g., the operative profile chosen) of patients was fully described and standardized</w:t>
            </w:r>
          </w:p>
          <w:p w14:paraId="5BF24327" w14:textId="77777777" w:rsidR="007D3B99" w:rsidRDefault="007D3B99" w:rsidP="00A9278B">
            <w:pPr>
              <w:rPr>
                <w:lang w:eastAsia="en-CA"/>
              </w:rPr>
            </w:pPr>
          </w:p>
          <w:p w14:paraId="78071B83" w14:textId="77777777" w:rsidR="007D3B99" w:rsidRDefault="007D3B99" w:rsidP="00A9278B">
            <w:pPr>
              <w:rPr>
                <w:b/>
                <w:lang w:eastAsia="en-CA"/>
              </w:rPr>
            </w:pPr>
            <w:r>
              <w:rPr>
                <w:lang w:eastAsia="en-CA"/>
              </w:rPr>
              <w:t>Treatment did not depend on values of the indication variable (e.g., its presence or absence or whether its values are low or high)</w:t>
            </w:r>
          </w:p>
        </w:tc>
        <w:tc>
          <w:tcPr>
            <w:tcW w:w="1444" w:type="dxa"/>
            <w:tcBorders>
              <w:top w:val="single" w:sz="4" w:space="0" w:color="auto"/>
              <w:left w:val="single" w:sz="4" w:space="0" w:color="auto"/>
              <w:bottom w:val="single" w:sz="4" w:space="0" w:color="auto"/>
              <w:right w:val="single" w:sz="4" w:space="0" w:color="auto"/>
            </w:tcBorders>
          </w:tcPr>
          <w:p w14:paraId="43B76374" w14:textId="77777777" w:rsidR="007D3B99" w:rsidRDefault="007D3B99" w:rsidP="00A9278B">
            <w:pPr>
              <w:rPr>
                <w:lang w:eastAsia="en-CA"/>
              </w:rPr>
            </w:pPr>
            <w:r>
              <w:rPr>
                <w:lang w:eastAsia="en-CA"/>
              </w:rPr>
              <w:t xml:space="preserve">There was sufficient information to assess the adequacy of the analysis or </w:t>
            </w:r>
            <w:proofErr w:type="spellStart"/>
            <w:r>
              <w:rPr>
                <w:lang w:eastAsia="en-CA"/>
              </w:rPr>
              <w:t>recompute</w:t>
            </w:r>
            <w:proofErr w:type="spellEnd"/>
            <w:r>
              <w:rPr>
                <w:lang w:eastAsia="en-CA"/>
              </w:rPr>
              <w:t xml:space="preserve"> the main outcome measures</w:t>
            </w:r>
          </w:p>
          <w:p w14:paraId="6D6F4483" w14:textId="77777777" w:rsidR="007D3B99" w:rsidRDefault="007D3B99" w:rsidP="00A9278B">
            <w:pPr>
              <w:rPr>
                <w:lang w:eastAsia="en-CA"/>
              </w:rPr>
            </w:pPr>
          </w:p>
          <w:p w14:paraId="60A43A97" w14:textId="77777777" w:rsidR="007D3B99" w:rsidRDefault="007D3B99" w:rsidP="00A9278B">
            <w:pPr>
              <w:rPr>
                <w:lang w:eastAsia="en-CA"/>
              </w:rPr>
            </w:pPr>
            <w:r>
              <w:rPr>
                <w:lang w:eastAsia="en-CA"/>
              </w:rPr>
              <w:t>If regression was appropriate, the selected model was adequate for the design of the study</w:t>
            </w:r>
          </w:p>
          <w:p w14:paraId="1768AD5E" w14:textId="77777777" w:rsidR="007D3B99" w:rsidRDefault="007D3B99" w:rsidP="00A9278B">
            <w:pPr>
              <w:rPr>
                <w:lang w:eastAsia="en-CA"/>
              </w:rPr>
            </w:pPr>
          </w:p>
          <w:p w14:paraId="25CFA1F4" w14:textId="77777777" w:rsidR="007D3B99" w:rsidRDefault="007D3B99" w:rsidP="00A9278B">
            <w:pPr>
              <w:rPr>
                <w:lang w:eastAsia="en-CA"/>
              </w:rPr>
            </w:pPr>
            <w:r>
              <w:rPr>
                <w:lang w:eastAsia="en-CA"/>
              </w:rPr>
              <w:t>If regression was appropriate, the model building strategy (i.e., inclusion of variables) was based more on theory or previous study*</w:t>
            </w:r>
          </w:p>
          <w:p w14:paraId="2984C6F6" w14:textId="77777777" w:rsidR="007D3B99" w:rsidRDefault="007D3B99" w:rsidP="00A9278B">
            <w:pPr>
              <w:rPr>
                <w:lang w:eastAsia="en-CA"/>
              </w:rPr>
            </w:pPr>
          </w:p>
          <w:p w14:paraId="65D1A37B" w14:textId="77777777" w:rsidR="007D3B99" w:rsidRDefault="007D3B99" w:rsidP="00A9278B">
            <w:pPr>
              <w:rPr>
                <w:b/>
                <w:lang w:eastAsia="en-CA"/>
              </w:rPr>
            </w:pPr>
          </w:p>
        </w:tc>
      </w:tr>
      <w:tr w:rsidR="007D3B99" w14:paraId="3AA1288E" w14:textId="77777777" w:rsidTr="00A9278B">
        <w:tc>
          <w:tcPr>
            <w:tcW w:w="1098" w:type="dxa"/>
            <w:tcBorders>
              <w:top w:val="single" w:sz="4" w:space="0" w:color="auto"/>
              <w:left w:val="single" w:sz="4" w:space="0" w:color="auto"/>
              <w:bottom w:val="single" w:sz="4" w:space="0" w:color="auto"/>
              <w:right w:val="single" w:sz="4" w:space="0" w:color="auto"/>
            </w:tcBorders>
            <w:hideMark/>
          </w:tcPr>
          <w:p w14:paraId="719EE100" w14:textId="77777777" w:rsidR="007D3B99" w:rsidRDefault="007D3B99" w:rsidP="00A9278B">
            <w:pPr>
              <w:rPr>
                <w:b/>
                <w:lang w:eastAsia="en-CA"/>
              </w:rPr>
            </w:pPr>
            <w:r>
              <w:rPr>
                <w:b/>
                <w:lang w:eastAsia="en-CA"/>
              </w:rPr>
              <w:lastRenderedPageBreak/>
              <w:t>Ratings</w:t>
            </w:r>
          </w:p>
        </w:tc>
        <w:tc>
          <w:tcPr>
            <w:tcW w:w="12078" w:type="dxa"/>
            <w:gridSpan w:val="7"/>
            <w:tcBorders>
              <w:top w:val="single" w:sz="4" w:space="0" w:color="auto"/>
              <w:left w:val="single" w:sz="4" w:space="0" w:color="auto"/>
              <w:bottom w:val="single" w:sz="4" w:space="0" w:color="auto"/>
              <w:right w:val="single" w:sz="4" w:space="0" w:color="auto"/>
            </w:tcBorders>
            <w:hideMark/>
          </w:tcPr>
          <w:p w14:paraId="772AA8F8" w14:textId="77777777" w:rsidR="007D3B99" w:rsidRDefault="007D3B99" w:rsidP="00A9278B">
            <w:pPr>
              <w:jc w:val="center"/>
              <w:rPr>
                <w:b/>
                <w:lang w:eastAsia="en-CA"/>
              </w:rPr>
            </w:pPr>
            <w:r>
              <w:rPr>
                <w:b/>
                <w:lang w:eastAsia="en-CA"/>
              </w:rPr>
              <w:t>Rating Definitions</w:t>
            </w:r>
          </w:p>
        </w:tc>
      </w:tr>
      <w:tr w:rsidR="007D3B99" w14:paraId="35B413C8" w14:textId="77777777" w:rsidTr="00A9278B">
        <w:tc>
          <w:tcPr>
            <w:tcW w:w="1098" w:type="dxa"/>
            <w:tcBorders>
              <w:top w:val="single" w:sz="4" w:space="0" w:color="auto"/>
              <w:left w:val="single" w:sz="4" w:space="0" w:color="auto"/>
              <w:bottom w:val="single" w:sz="4" w:space="0" w:color="auto"/>
              <w:right w:val="single" w:sz="4" w:space="0" w:color="auto"/>
            </w:tcBorders>
            <w:hideMark/>
          </w:tcPr>
          <w:p w14:paraId="539DB02B" w14:textId="77777777" w:rsidR="007D3B99" w:rsidRDefault="007D3B99" w:rsidP="00A9278B">
            <w:pPr>
              <w:rPr>
                <w:lang w:eastAsia="en-CA"/>
              </w:rPr>
            </w:pPr>
            <w:r>
              <w:rPr>
                <w:lang w:eastAsia="en-CA"/>
              </w:rPr>
              <w:t>High risk of bias</w:t>
            </w:r>
          </w:p>
        </w:tc>
        <w:tc>
          <w:tcPr>
            <w:tcW w:w="1845" w:type="dxa"/>
            <w:tcBorders>
              <w:top w:val="single" w:sz="4" w:space="0" w:color="auto"/>
              <w:left w:val="single" w:sz="4" w:space="0" w:color="auto"/>
              <w:bottom w:val="single" w:sz="4" w:space="0" w:color="auto"/>
              <w:right w:val="single" w:sz="4" w:space="0" w:color="auto"/>
            </w:tcBorders>
            <w:hideMark/>
          </w:tcPr>
          <w:p w14:paraId="637C40A1" w14:textId="77777777" w:rsidR="007D3B99" w:rsidRDefault="007D3B99" w:rsidP="00A9278B">
            <w:pPr>
              <w:rPr>
                <w:lang w:eastAsia="en-CA"/>
              </w:rPr>
            </w:pPr>
            <w:r>
              <w:rPr>
                <w:lang w:eastAsia="en-CA"/>
              </w:rPr>
              <w:t>The relationship between the indication and outcome is very likely to be different for participants and eligible nonparticipants†</w:t>
            </w:r>
          </w:p>
        </w:tc>
        <w:tc>
          <w:tcPr>
            <w:tcW w:w="1843" w:type="dxa"/>
            <w:tcBorders>
              <w:top w:val="single" w:sz="4" w:space="0" w:color="auto"/>
              <w:left w:val="single" w:sz="4" w:space="0" w:color="auto"/>
              <w:bottom w:val="single" w:sz="4" w:space="0" w:color="auto"/>
              <w:right w:val="single" w:sz="4" w:space="0" w:color="auto"/>
            </w:tcBorders>
            <w:hideMark/>
          </w:tcPr>
          <w:p w14:paraId="30C8469E" w14:textId="77777777" w:rsidR="007D3B99" w:rsidRDefault="007D3B99" w:rsidP="00A9278B">
            <w:pPr>
              <w:rPr>
                <w:lang w:eastAsia="en-CA"/>
              </w:rPr>
            </w:pPr>
            <w:r>
              <w:rPr>
                <w:lang w:eastAsia="en-CA"/>
              </w:rPr>
              <w:t xml:space="preserve">The relationship between the indication and outcome is very likely to be different for completing and </w:t>
            </w:r>
            <w:proofErr w:type="spellStart"/>
            <w:r>
              <w:rPr>
                <w:lang w:eastAsia="en-CA"/>
              </w:rPr>
              <w:t>noncompleting</w:t>
            </w:r>
            <w:proofErr w:type="spellEnd"/>
            <w:r>
              <w:rPr>
                <w:lang w:eastAsia="en-CA"/>
              </w:rPr>
              <w:t xml:space="preserve"> participants</w:t>
            </w:r>
          </w:p>
        </w:tc>
        <w:tc>
          <w:tcPr>
            <w:tcW w:w="1985" w:type="dxa"/>
            <w:tcBorders>
              <w:top w:val="single" w:sz="4" w:space="0" w:color="auto"/>
              <w:left w:val="single" w:sz="4" w:space="0" w:color="auto"/>
              <w:bottom w:val="single" w:sz="4" w:space="0" w:color="auto"/>
              <w:right w:val="single" w:sz="4" w:space="0" w:color="auto"/>
            </w:tcBorders>
            <w:hideMark/>
          </w:tcPr>
          <w:p w14:paraId="0E49E4FB" w14:textId="77777777" w:rsidR="007D3B99" w:rsidRDefault="007D3B99" w:rsidP="00A9278B">
            <w:pPr>
              <w:rPr>
                <w:lang w:eastAsia="en-CA"/>
              </w:rPr>
            </w:pPr>
            <w:r>
              <w:rPr>
                <w:lang w:eastAsia="en-CA"/>
              </w:rPr>
              <w:t>The measurement of the indication is very likely to be different for different levels of the outcome of interest</w:t>
            </w:r>
          </w:p>
        </w:tc>
        <w:tc>
          <w:tcPr>
            <w:tcW w:w="1701" w:type="dxa"/>
            <w:tcBorders>
              <w:top w:val="single" w:sz="4" w:space="0" w:color="auto"/>
              <w:left w:val="single" w:sz="4" w:space="0" w:color="auto"/>
              <w:bottom w:val="single" w:sz="4" w:space="0" w:color="auto"/>
              <w:right w:val="single" w:sz="4" w:space="0" w:color="auto"/>
            </w:tcBorders>
            <w:hideMark/>
          </w:tcPr>
          <w:p w14:paraId="43E232E5" w14:textId="77777777" w:rsidR="007D3B99" w:rsidRDefault="007D3B99" w:rsidP="00A9278B">
            <w:pPr>
              <w:rPr>
                <w:lang w:eastAsia="en-CA"/>
              </w:rPr>
            </w:pPr>
            <w:r>
              <w:rPr>
                <w:lang w:eastAsia="en-CA"/>
              </w:rPr>
              <w:t>The measurement of the outcome had the potential for misclassification and was very likely to be different related to the baseline level of the indication</w:t>
            </w:r>
          </w:p>
        </w:tc>
        <w:tc>
          <w:tcPr>
            <w:tcW w:w="1701" w:type="dxa"/>
            <w:tcBorders>
              <w:top w:val="single" w:sz="4" w:space="0" w:color="auto"/>
              <w:left w:val="single" w:sz="4" w:space="0" w:color="auto"/>
              <w:bottom w:val="single" w:sz="4" w:space="0" w:color="auto"/>
              <w:right w:val="single" w:sz="4" w:space="0" w:color="auto"/>
            </w:tcBorders>
            <w:hideMark/>
          </w:tcPr>
          <w:p w14:paraId="57C7607E" w14:textId="77777777" w:rsidR="007D3B99" w:rsidRDefault="007D3B99" w:rsidP="00A9278B">
            <w:pPr>
              <w:rPr>
                <w:lang w:eastAsia="en-CA"/>
              </w:rPr>
            </w:pPr>
            <w:r>
              <w:rPr>
                <w:lang w:eastAsia="en-CA"/>
              </w:rPr>
              <w:t>The observed “effect” of the indication on outcome is very likely to be distorted by another factor related to the indication and outcome</w:t>
            </w:r>
          </w:p>
        </w:tc>
        <w:tc>
          <w:tcPr>
            <w:tcW w:w="1559" w:type="dxa"/>
            <w:tcBorders>
              <w:top w:val="single" w:sz="4" w:space="0" w:color="auto"/>
              <w:left w:val="single" w:sz="4" w:space="0" w:color="auto"/>
              <w:bottom w:val="single" w:sz="4" w:space="0" w:color="auto"/>
              <w:right w:val="single" w:sz="4" w:space="0" w:color="auto"/>
            </w:tcBorders>
            <w:hideMark/>
          </w:tcPr>
          <w:p w14:paraId="16CDB1CB" w14:textId="77777777" w:rsidR="007D3B99" w:rsidRDefault="007D3B99" w:rsidP="00A9278B">
            <w:pPr>
              <w:rPr>
                <w:lang w:eastAsia="en-CA"/>
              </w:rPr>
            </w:pPr>
            <w:r>
              <w:rPr>
                <w:lang w:eastAsia="en-CA"/>
              </w:rPr>
              <w:t>The treatment provided to patients is very likely to have been different for different values of the indication variable</w:t>
            </w:r>
          </w:p>
        </w:tc>
        <w:tc>
          <w:tcPr>
            <w:tcW w:w="1444" w:type="dxa"/>
            <w:tcBorders>
              <w:top w:val="single" w:sz="4" w:space="0" w:color="auto"/>
              <w:left w:val="single" w:sz="4" w:space="0" w:color="auto"/>
              <w:bottom w:val="single" w:sz="4" w:space="0" w:color="auto"/>
              <w:right w:val="single" w:sz="4" w:space="0" w:color="auto"/>
            </w:tcBorders>
            <w:hideMark/>
          </w:tcPr>
          <w:p w14:paraId="6C2A816D" w14:textId="77777777" w:rsidR="007D3B99" w:rsidRDefault="007D3B99" w:rsidP="00A9278B">
            <w:pPr>
              <w:rPr>
                <w:lang w:eastAsia="en-CA"/>
              </w:rPr>
            </w:pPr>
            <w:r>
              <w:rPr>
                <w:lang w:eastAsia="en-CA"/>
              </w:rPr>
              <w:t>The reported results are very likely to be spurious or biased related to analysis or reporting</w:t>
            </w:r>
          </w:p>
        </w:tc>
      </w:tr>
      <w:tr w:rsidR="007D3B99" w14:paraId="6DBC13C0" w14:textId="77777777" w:rsidTr="00A9278B">
        <w:tc>
          <w:tcPr>
            <w:tcW w:w="1098" w:type="dxa"/>
            <w:tcBorders>
              <w:top w:val="single" w:sz="4" w:space="0" w:color="auto"/>
              <w:left w:val="single" w:sz="4" w:space="0" w:color="auto"/>
              <w:bottom w:val="single" w:sz="4" w:space="0" w:color="auto"/>
              <w:right w:val="single" w:sz="4" w:space="0" w:color="auto"/>
            </w:tcBorders>
            <w:hideMark/>
          </w:tcPr>
          <w:p w14:paraId="5867A9C2" w14:textId="77777777" w:rsidR="007D3B99" w:rsidRDefault="007D3B99" w:rsidP="00A9278B">
            <w:pPr>
              <w:rPr>
                <w:lang w:eastAsia="en-CA"/>
              </w:rPr>
            </w:pPr>
            <w:r>
              <w:rPr>
                <w:lang w:eastAsia="en-CA"/>
              </w:rPr>
              <w:t>Moderate risk of bias</w:t>
            </w:r>
          </w:p>
        </w:tc>
        <w:tc>
          <w:tcPr>
            <w:tcW w:w="1845" w:type="dxa"/>
            <w:tcBorders>
              <w:top w:val="single" w:sz="4" w:space="0" w:color="auto"/>
              <w:left w:val="single" w:sz="4" w:space="0" w:color="auto"/>
              <w:bottom w:val="single" w:sz="4" w:space="0" w:color="auto"/>
              <w:right w:val="single" w:sz="4" w:space="0" w:color="auto"/>
            </w:tcBorders>
            <w:hideMark/>
          </w:tcPr>
          <w:p w14:paraId="1BE869F8" w14:textId="77777777" w:rsidR="007D3B99" w:rsidRDefault="007D3B99" w:rsidP="00A9278B">
            <w:pPr>
              <w:rPr>
                <w:lang w:eastAsia="en-CA"/>
              </w:rPr>
            </w:pPr>
            <w:r>
              <w:rPr>
                <w:lang w:eastAsia="en-CA"/>
              </w:rPr>
              <w:t>The relationship between the indication and outcome may be different for participants and eligible nonparticipants</w:t>
            </w:r>
          </w:p>
        </w:tc>
        <w:tc>
          <w:tcPr>
            <w:tcW w:w="1843" w:type="dxa"/>
            <w:tcBorders>
              <w:top w:val="single" w:sz="4" w:space="0" w:color="auto"/>
              <w:left w:val="single" w:sz="4" w:space="0" w:color="auto"/>
              <w:bottom w:val="single" w:sz="4" w:space="0" w:color="auto"/>
              <w:right w:val="single" w:sz="4" w:space="0" w:color="auto"/>
            </w:tcBorders>
            <w:hideMark/>
          </w:tcPr>
          <w:p w14:paraId="3E36178D" w14:textId="77777777" w:rsidR="007D3B99" w:rsidRDefault="007D3B99" w:rsidP="00A9278B">
            <w:pPr>
              <w:rPr>
                <w:lang w:eastAsia="en-CA"/>
              </w:rPr>
            </w:pPr>
            <w:r>
              <w:rPr>
                <w:lang w:eastAsia="en-CA"/>
              </w:rPr>
              <w:t xml:space="preserve">The relationship between the indication and outcome may be different for completing and </w:t>
            </w:r>
            <w:proofErr w:type="spellStart"/>
            <w:r>
              <w:rPr>
                <w:lang w:eastAsia="en-CA"/>
              </w:rPr>
              <w:t>noncompleting</w:t>
            </w:r>
            <w:proofErr w:type="spellEnd"/>
            <w:r>
              <w:rPr>
                <w:lang w:eastAsia="en-CA"/>
              </w:rPr>
              <w:t xml:space="preserve"> participants</w:t>
            </w:r>
          </w:p>
        </w:tc>
        <w:tc>
          <w:tcPr>
            <w:tcW w:w="1985" w:type="dxa"/>
            <w:tcBorders>
              <w:top w:val="single" w:sz="4" w:space="0" w:color="auto"/>
              <w:left w:val="single" w:sz="4" w:space="0" w:color="auto"/>
              <w:bottom w:val="single" w:sz="4" w:space="0" w:color="auto"/>
              <w:right w:val="single" w:sz="4" w:space="0" w:color="auto"/>
            </w:tcBorders>
            <w:hideMark/>
          </w:tcPr>
          <w:p w14:paraId="3C324880" w14:textId="77777777" w:rsidR="007D3B99" w:rsidRDefault="007D3B99" w:rsidP="00A9278B">
            <w:pPr>
              <w:rPr>
                <w:lang w:eastAsia="en-CA"/>
              </w:rPr>
            </w:pPr>
            <w:r>
              <w:rPr>
                <w:lang w:eastAsia="en-CA"/>
              </w:rPr>
              <w:t>The measurement of the indication may be different for different levels of the outcome of interest</w:t>
            </w:r>
          </w:p>
        </w:tc>
        <w:tc>
          <w:tcPr>
            <w:tcW w:w="1701" w:type="dxa"/>
            <w:tcBorders>
              <w:top w:val="single" w:sz="4" w:space="0" w:color="auto"/>
              <w:left w:val="single" w:sz="4" w:space="0" w:color="auto"/>
              <w:bottom w:val="single" w:sz="4" w:space="0" w:color="auto"/>
              <w:right w:val="single" w:sz="4" w:space="0" w:color="auto"/>
            </w:tcBorders>
            <w:hideMark/>
          </w:tcPr>
          <w:p w14:paraId="70142CE4" w14:textId="77777777" w:rsidR="007D3B99" w:rsidRDefault="007D3B99" w:rsidP="00A9278B">
            <w:pPr>
              <w:rPr>
                <w:lang w:eastAsia="en-CA"/>
              </w:rPr>
            </w:pPr>
            <w:r>
              <w:rPr>
                <w:lang w:eastAsia="en-CA"/>
              </w:rPr>
              <w:t>The measurement of the outcome had the potential for misclassification and may be different related to the baseline level of the indication</w:t>
            </w:r>
          </w:p>
        </w:tc>
        <w:tc>
          <w:tcPr>
            <w:tcW w:w="1701" w:type="dxa"/>
            <w:tcBorders>
              <w:top w:val="single" w:sz="4" w:space="0" w:color="auto"/>
              <w:left w:val="single" w:sz="4" w:space="0" w:color="auto"/>
              <w:bottom w:val="single" w:sz="4" w:space="0" w:color="auto"/>
              <w:right w:val="single" w:sz="4" w:space="0" w:color="auto"/>
            </w:tcBorders>
            <w:hideMark/>
          </w:tcPr>
          <w:p w14:paraId="510B113A" w14:textId="77777777" w:rsidR="007D3B99" w:rsidRDefault="007D3B99" w:rsidP="00A9278B">
            <w:pPr>
              <w:rPr>
                <w:lang w:eastAsia="en-CA"/>
              </w:rPr>
            </w:pPr>
            <w:r>
              <w:rPr>
                <w:lang w:eastAsia="en-CA"/>
              </w:rPr>
              <w:t>The observed “effect” of the indication on outcome may be distorted by another factor related to the indication and outcome</w:t>
            </w:r>
          </w:p>
        </w:tc>
        <w:tc>
          <w:tcPr>
            <w:tcW w:w="1559" w:type="dxa"/>
            <w:tcBorders>
              <w:top w:val="single" w:sz="4" w:space="0" w:color="auto"/>
              <w:left w:val="single" w:sz="4" w:space="0" w:color="auto"/>
              <w:bottom w:val="single" w:sz="4" w:space="0" w:color="auto"/>
              <w:right w:val="single" w:sz="4" w:space="0" w:color="auto"/>
            </w:tcBorders>
            <w:hideMark/>
          </w:tcPr>
          <w:p w14:paraId="30A0B537" w14:textId="77777777" w:rsidR="007D3B99" w:rsidRDefault="007D3B99" w:rsidP="00A9278B">
            <w:pPr>
              <w:rPr>
                <w:lang w:eastAsia="en-CA"/>
              </w:rPr>
            </w:pPr>
            <w:r>
              <w:rPr>
                <w:lang w:eastAsia="en-CA"/>
              </w:rPr>
              <w:t>The treatment provided to patients may be different for different values of the indication variable</w:t>
            </w:r>
          </w:p>
        </w:tc>
        <w:tc>
          <w:tcPr>
            <w:tcW w:w="1444" w:type="dxa"/>
            <w:tcBorders>
              <w:top w:val="single" w:sz="4" w:space="0" w:color="auto"/>
              <w:left w:val="single" w:sz="4" w:space="0" w:color="auto"/>
              <w:bottom w:val="single" w:sz="4" w:space="0" w:color="auto"/>
              <w:right w:val="single" w:sz="4" w:space="0" w:color="auto"/>
            </w:tcBorders>
            <w:hideMark/>
          </w:tcPr>
          <w:p w14:paraId="2054BBF9" w14:textId="77777777" w:rsidR="007D3B99" w:rsidRDefault="007D3B99" w:rsidP="00A9278B">
            <w:pPr>
              <w:rPr>
                <w:lang w:eastAsia="en-CA"/>
              </w:rPr>
            </w:pPr>
            <w:r>
              <w:rPr>
                <w:lang w:eastAsia="en-CA"/>
              </w:rPr>
              <w:t>The reported results may be spurious or biased related to analysis or reporting</w:t>
            </w:r>
          </w:p>
        </w:tc>
      </w:tr>
      <w:tr w:rsidR="007D3B99" w14:paraId="0FB6B39C" w14:textId="77777777" w:rsidTr="00A9278B">
        <w:tc>
          <w:tcPr>
            <w:tcW w:w="1098" w:type="dxa"/>
            <w:tcBorders>
              <w:top w:val="single" w:sz="4" w:space="0" w:color="auto"/>
              <w:left w:val="single" w:sz="4" w:space="0" w:color="auto"/>
              <w:bottom w:val="single" w:sz="4" w:space="0" w:color="auto"/>
              <w:right w:val="single" w:sz="4" w:space="0" w:color="auto"/>
            </w:tcBorders>
            <w:hideMark/>
          </w:tcPr>
          <w:p w14:paraId="634E93D9" w14:textId="77777777" w:rsidR="007D3B99" w:rsidRDefault="007D3B99" w:rsidP="00A9278B">
            <w:pPr>
              <w:rPr>
                <w:lang w:eastAsia="en-CA"/>
              </w:rPr>
            </w:pPr>
            <w:r>
              <w:rPr>
                <w:lang w:eastAsia="en-CA"/>
              </w:rPr>
              <w:t>Low risk of bias</w:t>
            </w:r>
          </w:p>
        </w:tc>
        <w:tc>
          <w:tcPr>
            <w:tcW w:w="1845" w:type="dxa"/>
            <w:tcBorders>
              <w:top w:val="single" w:sz="4" w:space="0" w:color="auto"/>
              <w:left w:val="single" w:sz="4" w:space="0" w:color="auto"/>
              <w:bottom w:val="single" w:sz="4" w:space="0" w:color="auto"/>
              <w:right w:val="single" w:sz="4" w:space="0" w:color="auto"/>
            </w:tcBorders>
            <w:hideMark/>
          </w:tcPr>
          <w:p w14:paraId="588AE9A3" w14:textId="77777777" w:rsidR="007D3B99" w:rsidRDefault="007D3B99" w:rsidP="00A9278B">
            <w:pPr>
              <w:rPr>
                <w:lang w:eastAsia="en-CA"/>
              </w:rPr>
            </w:pPr>
            <w:r>
              <w:rPr>
                <w:lang w:eastAsia="en-CA"/>
              </w:rPr>
              <w:t>The relationship between the indication and outcome is unlikely to be different for participants and eligible nonparticipants</w:t>
            </w:r>
          </w:p>
        </w:tc>
        <w:tc>
          <w:tcPr>
            <w:tcW w:w="1843" w:type="dxa"/>
            <w:tcBorders>
              <w:top w:val="single" w:sz="4" w:space="0" w:color="auto"/>
              <w:left w:val="single" w:sz="4" w:space="0" w:color="auto"/>
              <w:bottom w:val="single" w:sz="4" w:space="0" w:color="auto"/>
              <w:right w:val="single" w:sz="4" w:space="0" w:color="auto"/>
            </w:tcBorders>
            <w:hideMark/>
          </w:tcPr>
          <w:p w14:paraId="6431EB14" w14:textId="77777777" w:rsidR="007D3B99" w:rsidRDefault="007D3B99" w:rsidP="00A9278B">
            <w:pPr>
              <w:rPr>
                <w:lang w:eastAsia="en-CA"/>
              </w:rPr>
            </w:pPr>
            <w:r>
              <w:rPr>
                <w:lang w:eastAsia="en-CA"/>
              </w:rPr>
              <w:t xml:space="preserve">The relationship between the indication and outcome is unlikely to be different for completing and </w:t>
            </w:r>
            <w:proofErr w:type="spellStart"/>
            <w:r>
              <w:rPr>
                <w:lang w:eastAsia="en-CA"/>
              </w:rPr>
              <w:t>noncompleting</w:t>
            </w:r>
            <w:proofErr w:type="spellEnd"/>
            <w:r>
              <w:rPr>
                <w:lang w:eastAsia="en-CA"/>
              </w:rPr>
              <w:t xml:space="preserve"> participants</w:t>
            </w:r>
          </w:p>
        </w:tc>
        <w:tc>
          <w:tcPr>
            <w:tcW w:w="1985" w:type="dxa"/>
            <w:tcBorders>
              <w:top w:val="single" w:sz="4" w:space="0" w:color="auto"/>
              <w:left w:val="single" w:sz="4" w:space="0" w:color="auto"/>
              <w:bottom w:val="single" w:sz="4" w:space="0" w:color="auto"/>
              <w:right w:val="single" w:sz="4" w:space="0" w:color="auto"/>
            </w:tcBorders>
            <w:hideMark/>
          </w:tcPr>
          <w:p w14:paraId="6A144870" w14:textId="77777777" w:rsidR="007D3B99" w:rsidRDefault="007D3B99" w:rsidP="00A9278B">
            <w:pPr>
              <w:rPr>
                <w:lang w:eastAsia="en-CA"/>
              </w:rPr>
            </w:pPr>
            <w:r>
              <w:rPr>
                <w:lang w:eastAsia="en-CA"/>
              </w:rPr>
              <w:t>The measurement of the outcome of interest is unlikely to be different for different levels of the outcome of interest</w:t>
            </w:r>
          </w:p>
        </w:tc>
        <w:tc>
          <w:tcPr>
            <w:tcW w:w="1701" w:type="dxa"/>
            <w:tcBorders>
              <w:top w:val="single" w:sz="4" w:space="0" w:color="auto"/>
              <w:left w:val="single" w:sz="4" w:space="0" w:color="auto"/>
              <w:bottom w:val="single" w:sz="4" w:space="0" w:color="auto"/>
              <w:right w:val="single" w:sz="4" w:space="0" w:color="auto"/>
            </w:tcBorders>
            <w:hideMark/>
          </w:tcPr>
          <w:p w14:paraId="272BD94A" w14:textId="77777777" w:rsidR="007D3B99" w:rsidRDefault="007D3B99" w:rsidP="00A9278B">
            <w:pPr>
              <w:rPr>
                <w:lang w:eastAsia="en-CA"/>
              </w:rPr>
            </w:pPr>
            <w:r>
              <w:rPr>
                <w:lang w:eastAsia="en-CA"/>
              </w:rPr>
              <w:t>The measurement of the outcome had the potential for misclassification and is unlikely to be different related to the baseline level of the indication</w:t>
            </w:r>
          </w:p>
        </w:tc>
        <w:tc>
          <w:tcPr>
            <w:tcW w:w="1701" w:type="dxa"/>
            <w:tcBorders>
              <w:top w:val="single" w:sz="4" w:space="0" w:color="auto"/>
              <w:left w:val="single" w:sz="4" w:space="0" w:color="auto"/>
              <w:bottom w:val="single" w:sz="4" w:space="0" w:color="auto"/>
              <w:right w:val="single" w:sz="4" w:space="0" w:color="auto"/>
            </w:tcBorders>
            <w:hideMark/>
          </w:tcPr>
          <w:p w14:paraId="583BB53D" w14:textId="77777777" w:rsidR="007D3B99" w:rsidRDefault="007D3B99" w:rsidP="00A9278B">
            <w:pPr>
              <w:rPr>
                <w:lang w:eastAsia="en-CA"/>
              </w:rPr>
            </w:pPr>
            <w:r>
              <w:rPr>
                <w:lang w:eastAsia="en-CA"/>
              </w:rPr>
              <w:t>The observed “effect” of the indication on outcome is unlikely to be distorted by another factor related to the indication and outcome</w:t>
            </w:r>
          </w:p>
        </w:tc>
        <w:tc>
          <w:tcPr>
            <w:tcW w:w="1559" w:type="dxa"/>
            <w:tcBorders>
              <w:top w:val="single" w:sz="4" w:space="0" w:color="auto"/>
              <w:left w:val="single" w:sz="4" w:space="0" w:color="auto"/>
              <w:bottom w:val="single" w:sz="4" w:space="0" w:color="auto"/>
              <w:right w:val="single" w:sz="4" w:space="0" w:color="auto"/>
            </w:tcBorders>
            <w:hideMark/>
          </w:tcPr>
          <w:p w14:paraId="05A4B856" w14:textId="77777777" w:rsidR="007D3B99" w:rsidRDefault="007D3B99" w:rsidP="00A9278B">
            <w:pPr>
              <w:rPr>
                <w:lang w:eastAsia="en-CA"/>
              </w:rPr>
            </w:pPr>
            <w:r>
              <w:rPr>
                <w:lang w:eastAsia="en-CA"/>
              </w:rPr>
              <w:t>The treatment provided to patients is unlikely to be different for different values of the indication variable</w:t>
            </w:r>
          </w:p>
        </w:tc>
        <w:tc>
          <w:tcPr>
            <w:tcW w:w="1444" w:type="dxa"/>
            <w:tcBorders>
              <w:top w:val="single" w:sz="4" w:space="0" w:color="auto"/>
              <w:left w:val="single" w:sz="4" w:space="0" w:color="auto"/>
              <w:bottom w:val="single" w:sz="4" w:space="0" w:color="auto"/>
              <w:right w:val="single" w:sz="4" w:space="0" w:color="auto"/>
            </w:tcBorders>
            <w:hideMark/>
          </w:tcPr>
          <w:p w14:paraId="1B40602F" w14:textId="77777777" w:rsidR="007D3B99" w:rsidRDefault="007D3B99" w:rsidP="00A9278B">
            <w:pPr>
              <w:rPr>
                <w:lang w:eastAsia="en-CA"/>
              </w:rPr>
            </w:pPr>
            <w:r>
              <w:rPr>
                <w:lang w:eastAsia="en-CA"/>
              </w:rPr>
              <w:t>The reported results are unlikely to be spurious or biased related to analysis or reporting</w:t>
            </w:r>
          </w:p>
        </w:tc>
      </w:tr>
    </w:tbl>
    <w:p w14:paraId="6F15148D" w14:textId="77777777" w:rsidR="007D3B99" w:rsidRDefault="007D3B99" w:rsidP="007D3B99">
      <w:pPr>
        <w:jc w:val="both"/>
        <w:rPr>
          <w:sz w:val="20"/>
          <w:szCs w:val="20"/>
        </w:rPr>
      </w:pPr>
      <w:r>
        <w:rPr>
          <w:sz w:val="20"/>
          <w:szCs w:val="20"/>
        </w:rPr>
        <w:t xml:space="preserve">Where BD indicates base deficit; DC, damage control; INR, international normalized ratio; ISS, Injury Severity Scale score; PT, </w:t>
      </w:r>
      <w:proofErr w:type="spellStart"/>
      <w:r>
        <w:rPr>
          <w:sz w:val="20"/>
          <w:szCs w:val="20"/>
        </w:rPr>
        <w:t>prothrombin</w:t>
      </w:r>
      <w:proofErr w:type="spellEnd"/>
      <w:r>
        <w:rPr>
          <w:sz w:val="20"/>
          <w:szCs w:val="20"/>
        </w:rPr>
        <w:t xml:space="preserve"> time; PTT, partial </w:t>
      </w:r>
      <w:proofErr w:type="spellStart"/>
      <w:r>
        <w:rPr>
          <w:sz w:val="20"/>
          <w:szCs w:val="20"/>
        </w:rPr>
        <w:t>thromboplastin</w:t>
      </w:r>
      <w:proofErr w:type="spellEnd"/>
      <w:r>
        <w:rPr>
          <w:sz w:val="20"/>
          <w:szCs w:val="20"/>
        </w:rPr>
        <w:t xml:space="preserve"> time; and QUIPS, Quality in Prognosis Studies.</w:t>
      </w:r>
    </w:p>
    <w:p w14:paraId="16C25DDC" w14:textId="77777777" w:rsidR="007D3B99" w:rsidRDefault="007D3B99" w:rsidP="007D3B99">
      <w:pPr>
        <w:jc w:val="both"/>
        <w:rPr>
          <w:sz w:val="20"/>
          <w:szCs w:val="20"/>
        </w:rPr>
      </w:pPr>
      <w:r>
        <w:rPr>
          <w:sz w:val="20"/>
          <w:szCs w:val="20"/>
        </w:rPr>
        <w:t xml:space="preserve">*For logistic regression, the modeling strategy appeared appropriate (consider whether there were sufficient events per variable, continuous variables were reported to conform to a linear gradient, potentially important interactions were tested for, assessments were made for </w:t>
      </w:r>
      <w:proofErr w:type="spellStart"/>
      <w:r>
        <w:rPr>
          <w:sz w:val="20"/>
          <w:szCs w:val="20"/>
        </w:rPr>
        <w:t>collinearity</w:t>
      </w:r>
      <w:proofErr w:type="spellEnd"/>
      <w:r>
        <w:rPr>
          <w:sz w:val="20"/>
          <w:szCs w:val="20"/>
        </w:rPr>
        <w:t>, and if the model was validated or goodness of fit measures were conducted) and was reported in detail (consider the selection of predictor variables, the fitting procedure, and the reporting of measures of predictive criterion validity such as whether the 9</w:t>
      </w:r>
      <w:bookmarkStart w:id="0" w:name="_GoBack"/>
      <w:bookmarkEnd w:id="0"/>
      <w:r>
        <w:rPr>
          <w:sz w:val="20"/>
          <w:szCs w:val="20"/>
        </w:rPr>
        <w:t>5% confidence interval surrounding the point estimate of the odds ratio was provided)</w:t>
      </w:r>
      <w:r w:rsidR="00A61D8C">
        <w:rPr>
          <w:sz w:val="20"/>
          <w:szCs w:val="20"/>
        </w:rPr>
        <w:t xml:space="preserve"> [27,28].</w:t>
      </w:r>
      <w:r>
        <w:rPr>
          <w:sz w:val="20"/>
          <w:szCs w:val="20"/>
        </w:rPr>
        <w:t xml:space="preserve"> </w:t>
      </w:r>
    </w:p>
    <w:p w14:paraId="3997857B" w14:textId="77777777" w:rsidR="007D3B99" w:rsidRDefault="007D3B99" w:rsidP="007D3B99">
      <w:pPr>
        <w:jc w:val="both"/>
        <w:rPr>
          <w:sz w:val="20"/>
          <w:szCs w:val="20"/>
        </w:rPr>
      </w:pPr>
      <w:r>
        <w:rPr>
          <w:sz w:val="20"/>
        </w:rPr>
        <w:t>†</w:t>
      </w:r>
      <w:r>
        <w:rPr>
          <w:sz w:val="20"/>
          <w:szCs w:val="20"/>
        </w:rPr>
        <w:t>The risk of bias was also classified as high if outcomes reported reflected estimates of prognosis after damage control surgery instead of indication validity as all of the included patients underwent damage control.</w:t>
      </w:r>
    </w:p>
    <w:p w14:paraId="04E8A13F" w14:textId="77777777" w:rsidR="003344C9" w:rsidRDefault="003344C9"/>
    <w:sectPr w:rsidR="003344C9">
      <w:pgSz w:w="15840" w:h="12240" w:orient="landscape"/>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3BD"/>
    <w:multiLevelType w:val="hybridMultilevel"/>
    <w:tmpl w:val="75F823AC"/>
    <w:lvl w:ilvl="0" w:tplc="20B056D4">
      <w:start w:val="8"/>
      <w:numFmt w:val="bullet"/>
      <w:lvlText w:val="-"/>
      <w:lvlJc w:val="left"/>
      <w:pPr>
        <w:ind w:left="720" w:hanging="360"/>
      </w:pPr>
      <w:rPr>
        <w:rFonts w:ascii="Times New Roman" w:eastAsia="MS Minng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875DD"/>
    <w:multiLevelType w:val="hybridMultilevel"/>
    <w:tmpl w:val="7A8CF3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99"/>
    <w:rsid w:val="003344C9"/>
    <w:rsid w:val="007D3B99"/>
    <w:rsid w:val="00A61D8C"/>
    <w:rsid w:val="00FA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1B9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99"/>
    <w:rPr>
      <w:rFonts w:eastAsia="MS Minng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82"/>
    <w:rPr>
      <w:rFonts w:ascii="Lucida Grande" w:hAnsi="Lucida Grande" w:cs="Lucida Grande"/>
      <w:sz w:val="18"/>
      <w:szCs w:val="18"/>
      <w:lang w:eastAsia="en-US"/>
    </w:rPr>
  </w:style>
  <w:style w:type="character" w:styleId="Hyperlink">
    <w:name w:val="Hyperlink"/>
    <w:basedOn w:val="DefaultParagraphFont"/>
    <w:uiPriority w:val="99"/>
    <w:unhideWhenUsed/>
    <w:rsid w:val="007D3B99"/>
    <w:rPr>
      <w:color w:val="0000FF"/>
      <w:u w:val="single"/>
    </w:rPr>
  </w:style>
  <w:style w:type="character" w:styleId="FollowedHyperlink">
    <w:name w:val="FollowedHyperlink"/>
    <w:basedOn w:val="DefaultParagraphFont"/>
    <w:uiPriority w:val="99"/>
    <w:semiHidden/>
    <w:unhideWhenUsed/>
    <w:rsid w:val="007D3B99"/>
    <w:rPr>
      <w:color w:val="800080" w:themeColor="followedHyperlink"/>
      <w:u w:val="single"/>
    </w:rPr>
  </w:style>
  <w:style w:type="paragraph" w:styleId="CommentText">
    <w:name w:val="annotation text"/>
    <w:basedOn w:val="Normal"/>
    <w:link w:val="CommentTextChar"/>
    <w:uiPriority w:val="99"/>
    <w:semiHidden/>
    <w:unhideWhenUsed/>
    <w:rsid w:val="007D3B99"/>
  </w:style>
  <w:style w:type="character" w:customStyle="1" w:styleId="CommentTextChar">
    <w:name w:val="Comment Text Char"/>
    <w:basedOn w:val="DefaultParagraphFont"/>
    <w:link w:val="CommentText"/>
    <w:uiPriority w:val="99"/>
    <w:semiHidden/>
    <w:rsid w:val="007D3B99"/>
    <w:rPr>
      <w:rFonts w:eastAsia="MS Minngs"/>
      <w:lang w:eastAsia="en-US"/>
    </w:rPr>
  </w:style>
  <w:style w:type="paragraph" w:styleId="Footer">
    <w:name w:val="footer"/>
    <w:basedOn w:val="Normal"/>
    <w:link w:val="FooterChar"/>
    <w:uiPriority w:val="99"/>
    <w:unhideWhenUsed/>
    <w:rsid w:val="007D3B99"/>
    <w:pPr>
      <w:tabs>
        <w:tab w:val="center" w:pos="4320"/>
        <w:tab w:val="right" w:pos="8640"/>
      </w:tabs>
    </w:pPr>
  </w:style>
  <w:style w:type="character" w:customStyle="1" w:styleId="FooterChar">
    <w:name w:val="Footer Char"/>
    <w:basedOn w:val="DefaultParagraphFont"/>
    <w:link w:val="Footer"/>
    <w:uiPriority w:val="99"/>
    <w:rsid w:val="007D3B99"/>
    <w:rPr>
      <w:rFonts w:eastAsia="MS Minngs"/>
      <w:lang w:eastAsia="en-US"/>
    </w:rPr>
  </w:style>
  <w:style w:type="paragraph" w:styleId="CommentSubject">
    <w:name w:val="annotation subject"/>
    <w:basedOn w:val="CommentText"/>
    <w:next w:val="CommentText"/>
    <w:link w:val="CommentSubjectChar"/>
    <w:uiPriority w:val="99"/>
    <w:semiHidden/>
    <w:unhideWhenUsed/>
    <w:rsid w:val="007D3B99"/>
    <w:rPr>
      <w:b/>
      <w:bCs/>
      <w:sz w:val="20"/>
      <w:szCs w:val="20"/>
    </w:rPr>
  </w:style>
  <w:style w:type="character" w:customStyle="1" w:styleId="CommentSubjectChar">
    <w:name w:val="Comment Subject Char"/>
    <w:basedOn w:val="CommentTextChar"/>
    <w:link w:val="CommentSubject"/>
    <w:uiPriority w:val="99"/>
    <w:semiHidden/>
    <w:rsid w:val="007D3B99"/>
    <w:rPr>
      <w:rFonts w:eastAsia="MS Minngs"/>
      <w:b/>
      <w:bCs/>
      <w:sz w:val="20"/>
      <w:szCs w:val="20"/>
      <w:lang w:eastAsia="en-US"/>
    </w:rPr>
  </w:style>
  <w:style w:type="paragraph" w:styleId="ListParagraph">
    <w:name w:val="List Paragraph"/>
    <w:basedOn w:val="Normal"/>
    <w:uiPriority w:val="34"/>
    <w:qFormat/>
    <w:rsid w:val="007D3B99"/>
    <w:pPr>
      <w:ind w:left="720"/>
      <w:contextualSpacing/>
    </w:pPr>
  </w:style>
  <w:style w:type="character" w:styleId="CommentReference">
    <w:name w:val="annotation reference"/>
    <w:basedOn w:val="DefaultParagraphFont"/>
    <w:uiPriority w:val="99"/>
    <w:semiHidden/>
    <w:unhideWhenUsed/>
    <w:rsid w:val="007D3B99"/>
    <w:rPr>
      <w:sz w:val="18"/>
      <w:szCs w:val="18"/>
    </w:rPr>
  </w:style>
  <w:style w:type="table" w:styleId="TableGrid">
    <w:name w:val="Table Grid"/>
    <w:basedOn w:val="TableNormal"/>
    <w:uiPriority w:val="99"/>
    <w:rsid w:val="007D3B99"/>
    <w:rPr>
      <w:rFonts w:eastAsia="MS Minngs"/>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D3B99"/>
  </w:style>
  <w:style w:type="character" w:customStyle="1" w:styleId="ng-binding">
    <w:name w:val="ng-binding"/>
    <w:basedOn w:val="DefaultParagraphFont"/>
    <w:rsid w:val="007D3B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99"/>
    <w:rPr>
      <w:rFonts w:eastAsia="MS Minng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82"/>
    <w:rPr>
      <w:rFonts w:ascii="Lucida Grande" w:hAnsi="Lucida Grande" w:cs="Lucida Grande"/>
      <w:sz w:val="18"/>
      <w:szCs w:val="18"/>
      <w:lang w:eastAsia="en-US"/>
    </w:rPr>
  </w:style>
  <w:style w:type="character" w:styleId="Hyperlink">
    <w:name w:val="Hyperlink"/>
    <w:basedOn w:val="DefaultParagraphFont"/>
    <w:uiPriority w:val="99"/>
    <w:unhideWhenUsed/>
    <w:rsid w:val="007D3B99"/>
    <w:rPr>
      <w:color w:val="0000FF"/>
      <w:u w:val="single"/>
    </w:rPr>
  </w:style>
  <w:style w:type="character" w:styleId="FollowedHyperlink">
    <w:name w:val="FollowedHyperlink"/>
    <w:basedOn w:val="DefaultParagraphFont"/>
    <w:uiPriority w:val="99"/>
    <w:semiHidden/>
    <w:unhideWhenUsed/>
    <w:rsid w:val="007D3B99"/>
    <w:rPr>
      <w:color w:val="800080" w:themeColor="followedHyperlink"/>
      <w:u w:val="single"/>
    </w:rPr>
  </w:style>
  <w:style w:type="paragraph" w:styleId="CommentText">
    <w:name w:val="annotation text"/>
    <w:basedOn w:val="Normal"/>
    <w:link w:val="CommentTextChar"/>
    <w:uiPriority w:val="99"/>
    <w:semiHidden/>
    <w:unhideWhenUsed/>
    <w:rsid w:val="007D3B99"/>
  </w:style>
  <w:style w:type="character" w:customStyle="1" w:styleId="CommentTextChar">
    <w:name w:val="Comment Text Char"/>
    <w:basedOn w:val="DefaultParagraphFont"/>
    <w:link w:val="CommentText"/>
    <w:uiPriority w:val="99"/>
    <w:semiHidden/>
    <w:rsid w:val="007D3B99"/>
    <w:rPr>
      <w:rFonts w:eastAsia="MS Minngs"/>
      <w:lang w:eastAsia="en-US"/>
    </w:rPr>
  </w:style>
  <w:style w:type="paragraph" w:styleId="Footer">
    <w:name w:val="footer"/>
    <w:basedOn w:val="Normal"/>
    <w:link w:val="FooterChar"/>
    <w:uiPriority w:val="99"/>
    <w:unhideWhenUsed/>
    <w:rsid w:val="007D3B99"/>
    <w:pPr>
      <w:tabs>
        <w:tab w:val="center" w:pos="4320"/>
        <w:tab w:val="right" w:pos="8640"/>
      </w:tabs>
    </w:pPr>
  </w:style>
  <w:style w:type="character" w:customStyle="1" w:styleId="FooterChar">
    <w:name w:val="Footer Char"/>
    <w:basedOn w:val="DefaultParagraphFont"/>
    <w:link w:val="Footer"/>
    <w:uiPriority w:val="99"/>
    <w:rsid w:val="007D3B99"/>
    <w:rPr>
      <w:rFonts w:eastAsia="MS Minngs"/>
      <w:lang w:eastAsia="en-US"/>
    </w:rPr>
  </w:style>
  <w:style w:type="paragraph" w:styleId="CommentSubject">
    <w:name w:val="annotation subject"/>
    <w:basedOn w:val="CommentText"/>
    <w:next w:val="CommentText"/>
    <w:link w:val="CommentSubjectChar"/>
    <w:uiPriority w:val="99"/>
    <w:semiHidden/>
    <w:unhideWhenUsed/>
    <w:rsid w:val="007D3B99"/>
    <w:rPr>
      <w:b/>
      <w:bCs/>
      <w:sz w:val="20"/>
      <w:szCs w:val="20"/>
    </w:rPr>
  </w:style>
  <w:style w:type="character" w:customStyle="1" w:styleId="CommentSubjectChar">
    <w:name w:val="Comment Subject Char"/>
    <w:basedOn w:val="CommentTextChar"/>
    <w:link w:val="CommentSubject"/>
    <w:uiPriority w:val="99"/>
    <w:semiHidden/>
    <w:rsid w:val="007D3B99"/>
    <w:rPr>
      <w:rFonts w:eastAsia="MS Minngs"/>
      <w:b/>
      <w:bCs/>
      <w:sz w:val="20"/>
      <w:szCs w:val="20"/>
      <w:lang w:eastAsia="en-US"/>
    </w:rPr>
  </w:style>
  <w:style w:type="paragraph" w:styleId="ListParagraph">
    <w:name w:val="List Paragraph"/>
    <w:basedOn w:val="Normal"/>
    <w:uiPriority w:val="34"/>
    <w:qFormat/>
    <w:rsid w:val="007D3B99"/>
    <w:pPr>
      <w:ind w:left="720"/>
      <w:contextualSpacing/>
    </w:pPr>
  </w:style>
  <w:style w:type="character" w:styleId="CommentReference">
    <w:name w:val="annotation reference"/>
    <w:basedOn w:val="DefaultParagraphFont"/>
    <w:uiPriority w:val="99"/>
    <w:semiHidden/>
    <w:unhideWhenUsed/>
    <w:rsid w:val="007D3B99"/>
    <w:rPr>
      <w:sz w:val="18"/>
      <w:szCs w:val="18"/>
    </w:rPr>
  </w:style>
  <w:style w:type="table" w:styleId="TableGrid">
    <w:name w:val="Table Grid"/>
    <w:basedOn w:val="TableNormal"/>
    <w:uiPriority w:val="99"/>
    <w:rsid w:val="007D3B99"/>
    <w:rPr>
      <w:rFonts w:eastAsia="MS Minngs"/>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D3B99"/>
  </w:style>
  <w:style w:type="character" w:customStyle="1" w:styleId="ng-binding">
    <w:name w:val="ng-binding"/>
    <w:basedOn w:val="DefaultParagraphFont"/>
    <w:rsid w:val="007D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5570</Characters>
  <Application>Microsoft Macintosh Word</Application>
  <DocSecurity>0</DocSecurity>
  <Lines>46</Lines>
  <Paragraphs>13</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Roberts</dc:creator>
  <cp:keywords/>
  <dc:description/>
  <cp:lastModifiedBy>Derek Roberts</cp:lastModifiedBy>
  <cp:revision>2</cp:revision>
  <dcterms:created xsi:type="dcterms:W3CDTF">2017-12-02T02:03:00Z</dcterms:created>
  <dcterms:modified xsi:type="dcterms:W3CDTF">2019-04-13T20:51:00Z</dcterms:modified>
</cp:coreProperties>
</file>