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0"/>
        <w:spacing w:after="200" w:before="200" w:lineRule="auto"/>
        <w:ind w:left="-425.19685039370086" w:firstLine="0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bookmarkStart w:colFirst="0" w:colLast="0" w:name="_po8p8sngmf3f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Supporting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widowControl w:val="0"/>
        <w:spacing w:after="0" w:before="0" w:line="276" w:lineRule="auto"/>
        <w:ind w:left="-425.19685039370086" w:right="-561.2598425196836" w:firstLine="0"/>
        <w:jc w:val="center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bookmarkStart w:colFirst="0" w:colLast="0" w:name="_49v3zqt65dzn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Table S.1. Life cycle inventory for the LCA of the studied beams. Note that the inventory is documented for a reference flow of 1 for simplicity. In the comparison of product systems, a reference flow of 0.87 is applied for the grid 3DCP beams</w:t>
      </w:r>
    </w:p>
    <w:tbl>
      <w:tblPr>
        <w:tblStyle w:val="Table1"/>
        <w:tblW w:w="10320.0" w:type="dxa"/>
        <w:jc w:val="left"/>
        <w:tblInd w:w="-4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1710"/>
        <w:gridCol w:w="1320"/>
        <w:gridCol w:w="1425"/>
        <w:gridCol w:w="1365"/>
        <w:gridCol w:w="1380"/>
        <w:gridCol w:w="1050"/>
        <w:tblGridChange w:id="0">
          <w:tblGrid>
            <w:gridCol w:w="2070"/>
            <w:gridCol w:w="1710"/>
            <w:gridCol w:w="1320"/>
            <w:gridCol w:w="1425"/>
            <w:gridCol w:w="1365"/>
            <w:gridCol w:w="1380"/>
            <w:gridCol w:w="1050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left="-425.19685039370086" w:right="396.1417322834649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Solid 3DCP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on-site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Solid 3DCP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prefab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Grid 3DCP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on-site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Grid 3DCP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prefab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Cast beam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on-site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Cast beam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prefab</w:t>
            </w:r>
          </w:p>
        </w:tc>
      </w:tr>
      <w:tr>
        <w:trPr>
          <w:cantSplit w:val="0"/>
          <w:trHeight w:val="298.1591796875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Reference flow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Transportation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All scenarios: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Transport, freight, lorry &gt;32 metric ton, euro6 {RER}| market for transport, freight, lorry &gt;32 metric ton, EURO6 | Cut-off, 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Scenario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Scenario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Scenario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Scenario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Scenario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Scenario 2</w:t>
            </w:r>
          </w:p>
        </w:tc>
      </w:tr>
      <w:tr>
        <w:trPr>
          <w:cantSplit w:val="0"/>
          <w:trHeight w:val="785.795898437499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both"/>
              <w:rPr>
                <w:rFonts w:ascii="Georgia" w:cs="Georgia" w:eastAsia="Georgia" w:hAnsi="Georgia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250km, supply of raw materials from import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250 km, prefab beam to construction site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250km, supply of raw materials from import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both"/>
              <w:rPr>
                <w:rFonts w:ascii="Georgia" w:cs="Georgia" w:eastAsia="Georgia" w:hAnsi="Georgia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50 km, materials to construction site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50 km, materials to construction site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Georgia" w:cs="Georgia" w:eastAsia="Georgia" w:hAnsi="Georgia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100 km, robot and pump to construction site and back (5 beams printed per construction site).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50km, formwork to construction site (5 beams casted per construction site).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Values entered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52996 kg*km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10900 kg*km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75590kg*km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15100 kg*km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45110 kg*km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8080 kg*km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Import transport of raw materials automatically included by database processes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Raw materials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5.65 kg Reinforcing steel {GLO}| market for | Cut-off, U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302 kg 3DCP concrete mix 45 Mpa (see the modeled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3DCP mixture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unit process below)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5.65 kg Reinforcing steel {GLO}| market for | Cut-off, U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231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kg 3DCP concrete mix 45 Mpa (see the modeled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3DCP mixture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unit process below)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5.65kg Reinforcing steel {GLO}| market for | Cut-off, U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217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kg Concrete, 40MPa {RoW}| concrete production 40MPa | Cut-off, U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3DCP  mixture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97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247"/>
              <w:gridCol w:w="1023"/>
              <w:gridCol w:w="705"/>
              <w:tblGridChange w:id="0">
                <w:tblGrid>
                  <w:gridCol w:w="3247"/>
                  <w:gridCol w:w="1023"/>
                  <w:gridCol w:w="705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left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5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Material Content</w:t>
                  </w:r>
                </w:p>
              </w:tc>
              <w:tc>
                <w:tcPr>
                  <w:tcBorders>
                    <w:left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6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Amount</w:t>
                  </w:r>
                </w:p>
              </w:tc>
              <w:tc>
                <w:tcPr>
                  <w:tcBorders>
                    <w:left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7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Unit</w:t>
                  </w:r>
                </w:p>
              </w:tc>
            </w:tr>
            <w:tr>
              <w:trPr>
                <w:cantSplit w:val="0"/>
                <w:trHeight w:val="290" w:hRule="atLeast"/>
                <w:tblHeader w:val="0"/>
              </w:trPr>
              <w:tc>
                <w:tcPr>
                  <w:tcBorders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8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Acetic acid, without water, in 98% solution state {GLO}| market for | Cut-off, U</w:t>
                  </w:r>
                </w:p>
              </w:tc>
              <w:tc>
                <w:tcPr>
                  <w:tcBorders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9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0,000881</w:t>
                  </w:r>
                </w:p>
              </w:tc>
              <w:tc>
                <w:tcPr>
                  <w:tcBorders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A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kg</w:t>
                  </w:r>
                </w:p>
              </w:tc>
            </w:tr>
            <w:tr>
              <w:trPr>
                <w:cantSplit w:val="0"/>
                <w:trHeight w:val="29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B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Portland Cement 95% (modified process)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C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0,275238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D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Kg</w:t>
                  </w:r>
                </w:p>
              </w:tc>
            </w:tr>
            <w:tr>
              <w:trPr>
                <w:cantSplit w:val="0"/>
                <w:trHeight w:val="29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Concrete mixing factory {GLO}| market for | Cut-off, U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2,18E-10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0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Units</w:t>
                  </w:r>
                </w:p>
              </w:tc>
            </w:tr>
            <w:tr>
              <w:trPr>
                <w:cantSplit w:val="0"/>
                <w:trHeight w:val="29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Ethylene oxide {RER}| market for ethylene oxide | Cut-off, U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0,003519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3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Kg</w:t>
                  </w:r>
                </w:p>
              </w:tc>
            </w:tr>
            <w:tr>
              <w:trPr>
                <w:cantSplit w:val="0"/>
                <w:trHeight w:val="29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Gravel, round {CH}| market for gravel, round | Cut-off, U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0,298095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6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Kg</w:t>
                  </w:r>
                </w:p>
              </w:tc>
            </w:tr>
            <w:tr>
              <w:trPr>
                <w:cantSplit w:val="0"/>
                <w:trHeight w:val="29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Sand {BR}| market for sand | Cut-off, U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0,211905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9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Kg</w:t>
                  </w:r>
                </w:p>
              </w:tc>
            </w:tr>
            <w:tr>
              <w:trPr>
                <w:cantSplit w:val="0"/>
                <w:trHeight w:val="29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Tap water {Europe without Switzerland}| market for | Cut-off, U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0,019524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C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Kg</w:t>
                  </w:r>
                </w:p>
              </w:tc>
            </w:tr>
            <w:tr>
              <w:trPr>
                <w:cantSplit w:val="0"/>
                <w:trHeight w:val="29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Tap water {Europe without Switzerland}| market for | Cut-off, U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0,165238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F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Kg</w:t>
                  </w:r>
                </w:p>
              </w:tc>
            </w:tr>
            <w:tr>
              <w:trPr>
                <w:cantSplit w:val="0"/>
                <w:trHeight w:val="29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Silica fume, densified {GLO}| market for | Cut-off, U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0,045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2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Kg</w:t>
                  </w:r>
                </w:p>
              </w:tc>
            </w:tr>
            <w:tr>
              <w:trPr>
                <w:cantSplit w:val="0"/>
                <w:trHeight w:val="29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Fibre, polyester {GLO}| market for fibre, polyester | Cut-off, U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0,0001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5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kg</w:t>
                  </w:r>
                </w:p>
              </w:tc>
            </w:tr>
          </w:tbl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Material per kg of 3DCP concrete mix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45MPA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35.0" w:type="dxa"/>
        <w:jc w:val="left"/>
        <w:tblInd w:w="-420.0" w:type="dxa"/>
        <w:tblLayout w:type="fixed"/>
        <w:tblLook w:val="0600"/>
      </w:tblPr>
      <w:tblGrid>
        <w:gridCol w:w="2085"/>
        <w:gridCol w:w="2880"/>
        <w:gridCol w:w="2535"/>
        <w:gridCol w:w="1695"/>
        <w:gridCol w:w="1140"/>
        <w:tblGridChange w:id="0">
          <w:tblGrid>
            <w:gridCol w:w="2085"/>
            <w:gridCol w:w="2880"/>
            <w:gridCol w:w="2535"/>
            <w:gridCol w:w="1695"/>
            <w:gridCol w:w="1140"/>
          </w:tblGrid>
        </w:tblGridChange>
      </w:tblGrid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Manufacturing</w:t>
              <w:br w:type="textWrapping"/>
              <w:t xml:space="preserve">equipment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492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247"/>
              <w:gridCol w:w="992"/>
              <w:gridCol w:w="689"/>
              <w:tblGridChange w:id="0">
                <w:tblGrid>
                  <w:gridCol w:w="3247"/>
                  <w:gridCol w:w="992"/>
                  <w:gridCol w:w="689"/>
                </w:tblGrid>
              </w:tblGridChange>
            </w:tblGrid>
            <w:tr>
              <w:trPr>
                <w:cantSplit w:val="0"/>
                <w:trHeight w:val="240" w:hRule="atLeast"/>
                <w:tblHeader w:val="0"/>
              </w:trPr>
              <w:tc>
                <w:tcPr>
                  <w:gridSpan w:val="3"/>
                  <w:tcBorders>
                    <w:top w:color="000000" w:space="0" w:sz="0" w:val="nil"/>
                    <w:lef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F">
                  <w:pPr>
                    <w:widowControl w:val="0"/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Pump: PFT ZP3XXL (240 kg)</w:t>
                  </w:r>
                </w:p>
              </w:tc>
            </w:tr>
            <w:tr>
              <w:trPr>
                <w:cantSplit w:val="0"/>
                <w:trHeight w:val="165" w:hRule="atLeast"/>
                <w:tblHeader w:val="0"/>
              </w:trPr>
              <w:tc>
                <w:tcPr>
                  <w:tcBorders>
                    <w:left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2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Material content</w:t>
                  </w:r>
                </w:p>
              </w:tc>
              <w:tc>
                <w:tcPr>
                  <w:tcBorders>
                    <w:left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3">
                  <w:pPr>
                    <w:spacing w:line="240" w:lineRule="auto"/>
                    <w:jc w:val="right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Amount</w:t>
                  </w:r>
                </w:p>
              </w:tc>
              <w:tc>
                <w:tcPr>
                  <w:tcBorders>
                    <w:left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4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Unit</w:t>
                  </w:r>
                </w:p>
              </w:tc>
            </w:tr>
            <w:tr>
              <w:trPr>
                <w:cantSplit w:val="0"/>
                <w:trHeight w:val="411" w:hRule="atLeast"/>
                <w:tblHeader w:val="0"/>
              </w:trPr>
              <w:tc>
                <w:tcPr>
                  <w:tcBorders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5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Electric motor, vehicle {RER}| production | Cut-off, U</w:t>
                  </w:r>
                </w:p>
              </w:tc>
              <w:tc>
                <w:tcPr>
                  <w:tcBorders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6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55</w:t>
                  </w:r>
                </w:p>
              </w:tc>
              <w:tc>
                <w:tcPr>
                  <w:tcBorders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7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kg</w:t>
                  </w:r>
                </w:p>
              </w:tc>
            </w:tr>
            <w:tr>
              <w:trPr>
                <w:cantSplit w:val="0"/>
                <w:trHeight w:val="417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8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Inverter, 2.5kW {GLO}| market for | Cut-off, U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9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A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Units</w:t>
                  </w:r>
                </w:p>
              </w:tc>
            </w:tr>
            <w:tr>
              <w:trPr>
                <w:cantSplit w:val="0"/>
                <w:trHeight w:val="409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B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Steel, low-alloyed {GLO}| market for | Cut-off, U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C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114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D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kg</w:t>
                  </w:r>
                </w:p>
              </w:tc>
            </w:tr>
            <w:tr>
              <w:trPr>
                <w:cantSplit w:val="0"/>
                <w:trHeight w:val="41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E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Acrylonitrile-butadiene-styrene copolymer {RER}| production | Cut-off, U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F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0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kg</w:t>
                  </w:r>
                </w:p>
              </w:tc>
            </w:tr>
            <w:tr>
              <w:trPr>
                <w:cantSplit w:val="0"/>
                <w:trHeight w:val="548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1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Metal working, average for steel product manufacturing {RoW}| processing | Cut-off, U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2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114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3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kg</w:t>
                  </w:r>
                </w:p>
              </w:tc>
            </w:tr>
            <w:tr>
              <w:trPr>
                <w:cantSplit w:val="0"/>
                <w:trHeight w:val="428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4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Injection moulding {RoW}| processing | Cut-off, S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5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6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kg</w:t>
                  </w:r>
                </w:p>
              </w:tc>
            </w:tr>
          </w:tbl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49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247"/>
              <w:gridCol w:w="992"/>
              <w:gridCol w:w="716"/>
              <w:tblGridChange w:id="0">
                <w:tblGrid>
                  <w:gridCol w:w="3247"/>
                  <w:gridCol w:w="992"/>
                  <w:gridCol w:w="716"/>
                </w:tblGrid>
              </w:tblGridChange>
            </w:tblGrid>
            <w:tr>
              <w:trPr>
                <w:cantSplit w:val="0"/>
                <w:trHeight w:val="15" w:hRule="atLeast"/>
                <w:tblHeader w:val="0"/>
              </w:trPr>
              <w:tc>
                <w:tcPr>
                  <w:gridSpan w:val="3"/>
                  <w:tcBorders>
                    <w:top w:color="000000" w:space="0" w:sz="0" w:val="nil"/>
                    <w:lef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8">
                  <w:pPr>
                    <w:widowControl w:val="0"/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Robot: ABB IRB6650S (2250 kg)</w:t>
                  </w:r>
                </w:p>
              </w:tc>
            </w:tr>
            <w:tr>
              <w:trPr>
                <w:cantSplit w:val="0"/>
                <w:trHeight w:val="301" w:hRule="atLeast"/>
                <w:tblHeader w:val="0"/>
              </w:trPr>
              <w:tc>
                <w:tcPr>
                  <w:tcBorders>
                    <w:left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B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Material content</w:t>
                  </w:r>
                </w:p>
              </w:tc>
              <w:tc>
                <w:tcPr>
                  <w:tcBorders>
                    <w:left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C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Amount</w:t>
                  </w:r>
                </w:p>
              </w:tc>
              <w:tc>
                <w:tcPr>
                  <w:tcBorders>
                    <w:left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D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Unit</w:t>
                  </w:r>
                </w:p>
              </w:tc>
            </w:tr>
            <w:tr>
              <w:trPr>
                <w:cantSplit w:val="0"/>
                <w:trHeight w:val="301" w:hRule="atLeast"/>
                <w:tblHeader w:val="0"/>
              </w:trPr>
              <w:tc>
                <w:tcPr>
                  <w:tcBorders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E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Steel, low-alloyed {GLO}| market for | Cut-off, U</w:t>
                  </w:r>
                </w:p>
              </w:tc>
              <w:tc>
                <w:tcPr>
                  <w:tcBorders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F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2100</w:t>
                  </w:r>
                </w:p>
              </w:tc>
              <w:tc>
                <w:tcPr>
                  <w:tcBorders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0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kg</w:t>
                  </w:r>
                </w:p>
              </w:tc>
            </w:tr>
            <w:tr>
              <w:trPr>
                <w:cantSplit w:val="0"/>
                <w:trHeight w:val="301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1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Cable, unspecified {GLO}| market for | Cut-off, U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2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3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kg</w:t>
                  </w:r>
                </w:p>
              </w:tc>
            </w:tr>
            <w:tr>
              <w:trPr>
                <w:cantSplit w:val="0"/>
                <w:trHeight w:val="301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4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Powertrain, for electric scooter {GLO}| market for electric | Cut-off, U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5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50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6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kg</w:t>
                  </w:r>
                </w:p>
              </w:tc>
            </w:tr>
            <w:tr>
              <w:trPr>
                <w:cantSplit w:val="0"/>
                <w:trHeight w:val="301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7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Electronics, for control units {GLO}| market for | Cut-off, U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8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9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kg</w:t>
                  </w:r>
                </w:p>
              </w:tc>
            </w:tr>
            <w:tr>
              <w:trPr>
                <w:cantSplit w:val="0"/>
                <w:trHeight w:val="301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A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Casting, steel, lost-wax {GLO}| market for | Cut-off, U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B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1600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C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kg</w:t>
                  </w:r>
                </w:p>
              </w:tc>
            </w:tr>
            <w:tr>
              <w:trPr>
                <w:cantSplit w:val="0"/>
                <w:trHeight w:val="301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D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Steel removed by milling, large parts {RER}| steel milling, large parts | Cut-off, U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E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F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kg</w:t>
                  </w:r>
                </w:p>
              </w:tc>
            </w:tr>
            <w:tr>
              <w:trPr>
                <w:cantSplit w:val="0"/>
                <w:trHeight w:val="301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0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Deep drawing, steel, 38000 kN press, single stroke {GLO}| market for | Cut-off, U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1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500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2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kg</w:t>
                  </w:r>
                </w:p>
              </w:tc>
            </w:tr>
            <w:tr>
              <w:trPr>
                <w:cantSplit w:val="0"/>
                <w:trHeight w:val="301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3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Welding, arc, steel {GLO}| market for | Cut-off, U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4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5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kg</w:t>
                  </w:r>
                </w:p>
              </w:tc>
            </w:tr>
          </w:tbl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Wooden formwork: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0.0016m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Plywood, for outdoor use {RER}| market for | Cut-off, U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0.01hr Power sawing, with catalytic converter {RER}| processing | Cut-off, 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Steel formwork: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200kg Steel, chromium steel 18/8, hot rolled {GLO}| market for | Cut-off, U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200kg Metal working, average for chromium steel product manufacturing {GLO}| market for | Cut-off, U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Manufacturing equipment lifetime and 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Lifetime: 35 000 hours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Print time: 0.43 hours (26 minutes)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81 395 “reuses”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Lifetime: 35 000 hours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Print time: 0.23 hours (14 minutes)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156 174 “reuses”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 reuses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5000 reuses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Manufacturing energy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Robot: 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0.768 kW Electricity, medium voltage {DK}| market for | Cut-off, U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Pump: 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2.4 kW Electricity, medium voltage {DK}| market for | Cut-off, U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Use stage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Carbon sequestration from the atmosphere for 50 years in indoor exposure conditions.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Calculation method based on literature review 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parameters for carbon sequestration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listed below. 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No maintenance assumed (i.e., 50 year lifetime)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Parameters for carbon sequestration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Surface area: 2.86 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superscript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Clinker content: 549 kg/m3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Silica fume content 4.5%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13.1 kg 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sequestration from air (negative emission)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Surface area: 7.15 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superscript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Clinker content: 549 kg/m3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Silica fume content 4.5%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21.8 kg 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sequestration from air (negative emission)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Surface area: 2.07 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superscript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Clinker content: 227 kg/m3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Silica fume content 0%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4.90 kg 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sequestration from air (negative emission)</w:t>
            </w:r>
          </w:p>
        </w:tc>
      </w:tr>
    </w:tbl>
    <w:p w:rsidR="00000000" w:rsidDel="00000000" w:rsidP="00000000" w:rsidRDefault="00000000" w:rsidRPr="00000000" w14:paraId="000000F3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30.0" w:type="dxa"/>
        <w:jc w:val="left"/>
        <w:tblInd w:w="-3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5415"/>
        <w:gridCol w:w="1695"/>
        <w:gridCol w:w="1110"/>
        <w:tblGridChange w:id="0">
          <w:tblGrid>
            <w:gridCol w:w="2010"/>
            <w:gridCol w:w="5415"/>
            <w:gridCol w:w="1695"/>
            <w:gridCol w:w="111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Disposal of concrete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Year of disposal: 2071 (50 year lifetime of beam).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Calculations are relative to weight of cement, rebar or beam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Inputs: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100% Rock crushing {RER}| processing | Cut-off, U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100% Sorting facility, for construction waste {GLO}| market for | Cut-off, U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100% Sorting facility, for construction waste {GLO}| market for | Cut-off, U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50kg*km Transport, freight, lorry 16-32 metric ton, euro6 {RoW}| market for transport, freight, lorry 16-32 metric ton, EURO6 | Cut-off, U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Output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50% weigh -Gravel, crushed {RoW}| market for gravel, crushed | Cut-off, U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27% Gravel, round {CH}| market for gravel, round | Cut-off, U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19% Sand {BR}| market for sand | Cut-off, U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100% Pig iron {RoW}| pig iron production | Cut-off, U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Disposal of manufacturing equipment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Year of disposal: 2033 (35 000 hours lifetime = 12 years based on 8 production hours per day on average).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Robot and pump refurbished with 75% efficiency. Avoided production of 0.75 new robots and pumps.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100% weigh Manual treatment facility, waste electric and electronic equipment {GLO}| construction | Cut-off, U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250km Transport, freight, lorry 16-32 metric ton, euro6 {RoW}| market for transport, freight, lorry 16-32 metric ton, EURO6 | Cut-off, 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Year of disposal: 2021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Formwork incinerated after 5 uses.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Avoided heat and power production.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332MJ Heat, district or industrial, other than natural gas {DK}| heat and power co-generation, wood chips, 6667 kW, state-of-the-art 2014 | Cut-off, U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50 km Transport, freight, lorry 16-32 metric ton, euro6 {RoW}| market for transport, freight, lorry 16-32 metric ton, EURO6 | Cut-off, 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39.0" w:type="dxa"/>
              <w:left w:w="39.0" w:type="dxa"/>
              <w:bottom w:w="39.0" w:type="dxa"/>
              <w:right w:w="39.0" w:type="dxa"/>
            </w:tcMar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Year of disposal: 2046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Formwork recycled after 5 000 uses. Avoided production of pig iron.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50 km Transport, freight, lorry 16-32 metric ton, euro6 {RoW}| market for transport, freight, lorry 16-32 metric ton, EURO6 | Cut-off, 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Style w:val="Heading5"/>
        <w:widowControl w:val="0"/>
        <w:spacing w:after="0" w:before="200" w:line="240" w:lineRule="auto"/>
        <w:jc w:val="center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bookmarkStart w:colFirst="0" w:colLast="0" w:name="_cs4zvx33xntg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Table S.2: Compared beam systems in the LCA</w:t>
      </w:r>
    </w:p>
    <w:tbl>
      <w:tblPr>
        <w:tblStyle w:val="Table7"/>
        <w:tblW w:w="101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3390"/>
        <w:gridCol w:w="1565"/>
        <w:gridCol w:w="1565"/>
        <w:gridCol w:w="1565"/>
        <w:tblGridChange w:id="0">
          <w:tblGrid>
            <w:gridCol w:w="2025"/>
            <w:gridCol w:w="3390"/>
            <w:gridCol w:w="1565"/>
            <w:gridCol w:w="1565"/>
            <w:gridCol w:w="156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B1 3DCP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B2 Grid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B3 Cast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Metrics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Volume (m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0.144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0.11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0.096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Concrete (Kg)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217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Surface area (m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7.15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2.46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Exposed surface area (m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)*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6.57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2.07</w:t>
            </w:r>
          </w:p>
        </w:tc>
      </w:tr>
      <w:tr>
        <w:trPr>
          <w:cantSplit w:val="0"/>
          <w:trHeight w:val="482.929687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Concrete mix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Aggregates size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7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0-2 mm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0-2 mm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 mm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Strength (MPa)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Density (Kg/m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2270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Failure Load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43.7**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50.1**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43.7***</w:t>
            </w:r>
          </w:p>
        </w:tc>
      </w:tr>
      <w:tr>
        <w:trPr>
          <w:cantSplit w:val="0"/>
          <w:trHeight w:val="346.171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Lifetime (assumption)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Years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Reference Flow LCA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0.87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192.00000000000003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*Assume only two sides and underside of the beam will be exposed to air after construction, i.e. not covered by other construction materials such as slabs and pillars. ** Experimental test data. *** Calculated value due to cast beam being theoretical.</w:t>
            </w:r>
          </w:p>
        </w:tc>
      </w:tr>
    </w:tbl>
    <w:p w:rsidR="00000000" w:rsidDel="00000000" w:rsidP="00000000" w:rsidRDefault="00000000" w:rsidRPr="00000000" w14:paraId="00000158">
      <w:pPr>
        <w:ind w:lef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Style w:val="Heading5"/>
        <w:widowControl w:val="0"/>
        <w:spacing w:after="0" w:before="200" w:line="240" w:lineRule="auto"/>
        <w:jc w:val="center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bookmarkStart w:colFirst="0" w:colLast="0" w:name="_ipw1tmnkm8py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Table S.3: Impact categories reported in the LCA</w:t>
      </w:r>
    </w:p>
    <w:tbl>
      <w:tblPr>
        <w:tblStyle w:val="Table8"/>
        <w:tblW w:w="10140.0" w:type="dxa"/>
        <w:jc w:val="left"/>
        <w:tblInd w:w="-2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55"/>
        <w:gridCol w:w="4185"/>
        <w:tblGridChange w:id="0">
          <w:tblGrid>
            <w:gridCol w:w="5955"/>
            <w:gridCol w:w="4185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Impact category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Unit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Climate change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Kg 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subscript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eq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Ozone depletion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Kg CFC-11 eq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Ionizing radiation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kBq U-235 eq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Photochemical ozone formation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Kg NMVOC eq</w:t>
            </w:r>
          </w:p>
        </w:tc>
      </w:tr>
      <w:tr>
        <w:trPr>
          <w:cantSplit w:val="0"/>
          <w:trHeight w:val="238.4912109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Particulate matter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Disease inc.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Human toxicity, non-cancer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CTUh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Human toxicity, cancer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CTUh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Acidification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Mol H+ eq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Eutrophication, freshwater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Kg P eq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Eutrophication, marine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Kg N eq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Eutrophication, terrestrial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Mol N eq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Land 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Pt</w:t>
            </w:r>
          </w:p>
        </w:tc>
      </w:tr>
      <w:tr>
        <w:trPr>
          <w:cantSplit w:val="0"/>
          <w:trHeight w:val="148.4912109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Resource use, fossils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MJ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Resource use, minerals, and metals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Kg Sb eq</w:t>
            </w:r>
          </w:p>
        </w:tc>
      </w:tr>
    </w:tbl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Style w:val="Heading5"/>
        <w:spacing w:after="0" w:before="200" w:lineRule="auto"/>
        <w:jc w:val="center"/>
        <w:rPr>
          <w:rFonts w:ascii="Times New Roman" w:cs="Times New Roman" w:eastAsia="Times New Roman" w:hAnsi="Times New Roman"/>
          <w:color w:val="ff00ff"/>
          <w:sz w:val="18"/>
          <w:szCs w:val="18"/>
        </w:rPr>
      </w:pPr>
      <w:bookmarkStart w:colFirst="0" w:colLast="0" w:name="_o8lusgpqf19k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Table S.4. Assumed 3DCP mix for the case study, based on literature review and experimental data</w:t>
      </w:r>
      <w:r w:rsidDel="00000000" w:rsidR="00000000" w:rsidRPr="00000000">
        <w:rPr>
          <w:rtl w:val="0"/>
        </w:rPr>
      </w:r>
    </w:p>
    <w:tbl>
      <w:tblPr>
        <w:tblStyle w:val="Table9"/>
        <w:tblW w:w="10215.0" w:type="dxa"/>
        <w:jc w:val="left"/>
        <w:tblInd w:w="-3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5"/>
        <w:gridCol w:w="5520"/>
        <w:tblGridChange w:id="0">
          <w:tblGrid>
            <w:gridCol w:w="4695"/>
            <w:gridCol w:w="552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Type of material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Quantity (%)</w:t>
            </w:r>
          </w:p>
        </w:tc>
      </w:tr>
      <w:tr>
        <w:trPr>
          <w:cantSplit w:val="0"/>
          <w:trHeight w:val="298.4912109375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Cement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27.5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120" w:lineRule="auto"/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Fly Ash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Silica fume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4.5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Aggregates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51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Water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16.5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Admixtures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0.44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 microfibers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0.01</w:t>
            </w:r>
          </w:p>
        </w:tc>
      </w:tr>
      <w:tr>
        <w:trPr>
          <w:cantSplit w:val="0"/>
          <w:trHeight w:val="163.4912109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Density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2100 Kg/m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superscript"/>
                <w:rtl w:val="0"/>
              </w:rPr>
              <w:t xml:space="preserve">3</w:t>
            </w:r>
          </w:p>
        </w:tc>
      </w:tr>
      <w:tr>
        <w:trPr>
          <w:cantSplit w:val="0"/>
          <w:trHeight w:val="13.4912109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Compressive strength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45 MPa</w:t>
            </w:r>
          </w:p>
        </w:tc>
      </w:tr>
    </w:tbl>
    <w:p w:rsidR="00000000" w:rsidDel="00000000" w:rsidP="00000000" w:rsidRDefault="00000000" w:rsidRPr="00000000" w14:paraId="0000018E">
      <w:pPr>
        <w:widowControl w:val="0"/>
        <w:spacing w:after="200" w:before="200" w:lineRule="auto"/>
        <w:ind w:left="-420" w:right="-561.2598425196836" w:hanging="5.19685039370088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Supporting Content S.5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widowControl w:val="0"/>
        <w:ind w:left="-425.19685039370086" w:right="-561.2598425196836" w:firstLine="285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Carbonation sensitivity (1)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was performed by selecting lower and higher constant values (k) during the calculation, resulting in lower or higher carbonation depth as a result. Differing situations were selected where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Clinker Content (1)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 the cement was changed based on commonly observed clinker values in concrete (62-95%) while still containing the same cement amount.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Transportation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distance (3)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scenarios were modified based on the maximum transportation distance (500km) in the assumed scenario.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Reuse of manufacturing equipment (4)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scenarios were made for the manufacturing equipment. The plywood formwork ranged from 1-100 uses, the reusable steel formwork from 1000-10000 uses, and the 3DCP cell (robot and pump) ranged from 10.000-100.000 hours.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End-of-Life (5)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scenarios were modeled based on the findings on disposal of concrete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Section 3.2.5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and by modifying the recovery potential of the equipment.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Energy use (6)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was based on the assumption of 20% and 100% maximum power rating of equipment from the manufacturers' technical documentation  for the robot and pump.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pStyle w:val="Heading5"/>
        <w:spacing w:after="0" w:before="200" w:lineRule="auto"/>
        <w:jc w:val="center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bookmarkStart w:colFirst="0" w:colLast="0" w:name="_ckdb9f8x57d5" w:id="5"/>
      <w:bookmarkEnd w:id="5"/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Table S.6: LCIA results for impact categories of all beams at midpoint</w:t>
      </w:r>
    </w:p>
    <w:tbl>
      <w:tblPr>
        <w:tblStyle w:val="Table10"/>
        <w:tblW w:w="10230.0" w:type="dxa"/>
        <w:jc w:val="left"/>
        <w:tblInd w:w="-357.9921259842519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1215"/>
        <w:gridCol w:w="1050"/>
        <w:gridCol w:w="1050"/>
        <w:gridCol w:w="1050"/>
        <w:gridCol w:w="1050"/>
        <w:gridCol w:w="1050"/>
        <w:gridCol w:w="1155"/>
        <w:tblGridChange w:id="0">
          <w:tblGrid>
            <w:gridCol w:w="2610"/>
            <w:gridCol w:w="1215"/>
            <w:gridCol w:w="1050"/>
            <w:gridCol w:w="1050"/>
            <w:gridCol w:w="1050"/>
            <w:gridCol w:w="1050"/>
            <w:gridCol w:w="1050"/>
            <w:gridCol w:w="115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Impact category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Unit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B1 on-site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B1 prefab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B2 on-site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B2 prefab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B3 on-site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B3 prefab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Climate change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kg CO2eq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</w:tcPr>
          <w:p w:rsidR="00000000" w:rsidDel="00000000" w:rsidP="00000000" w:rsidRDefault="00000000" w:rsidRPr="00000000" w14:paraId="0000019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97.96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95.73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9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54.54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9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56.91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31.13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line="276" w:lineRule="auto"/>
              <w:ind w:right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38.81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Ozone  depletion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kg CFC11 eq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9.5E-06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8.6E-06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A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5.92E-06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A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6.74E-06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6.1E-06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5.2E-06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Ionizing radiation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kBq U-235 eq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4.339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A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A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2.38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Photoche. ozone formation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kg NMVOC eq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B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B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0.13</w:t>
            </w:r>
          </w:p>
        </w:tc>
      </w:tr>
      <w:tr>
        <w:trPr>
          <w:cantSplit w:val="0"/>
          <w:trHeight w:val="33.984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Particulate matter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disease inc.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4.1E-06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4.1E-06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B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2.83E-06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B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2.94E-06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4.2E-06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2.3E-06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Human toxicity, non-cancer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CTUh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1.3E-06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1.5E-06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C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1.17E-06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C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1.07E-06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9.2E-07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9.0E-07</w:t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Human toxicity, cancer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CTUh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4.5E-08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5.7E-08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C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4.72E-08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C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3.93E-08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6.1E-08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3.8E-08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Acidification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mol H+ eq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D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D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0.16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Eutrophication, freshwater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kg P eq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D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D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0.009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0.008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Eutrophication, marine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kg N eq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0.098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0.098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E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E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0.051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0.043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Eutrophication, terrestrial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mol N eq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E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E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0.752589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0.48</w:t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Ecotoxicity, freshwater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CTUe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1480.29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1571.03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F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1080.85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F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1032.069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753.80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694.85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Land 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Pt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645.07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674.68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F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457.30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F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454.18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1605.57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461.96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Water 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m3 depriv.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10.88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11.57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20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9.68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20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9.27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11.99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6.33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Resource use, fossils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MJ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903.94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866.89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20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592.74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20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631.83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537.68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449.63</w:t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Resource use, minerals and metals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kg Sb eq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7.007874015748033" w:type="dxa"/>
              <w:left w:w="17.007874015748033" w:type="dxa"/>
              <w:bottom w:w="17.007874015748033" w:type="dxa"/>
              <w:right w:w="17.007874015748033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21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21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0.002</w:t>
            </w:r>
          </w:p>
        </w:tc>
      </w:tr>
    </w:tbl>
    <w:p w:rsidR="00000000" w:rsidDel="00000000" w:rsidP="00000000" w:rsidRDefault="00000000" w:rsidRPr="00000000" w14:paraId="00000219">
      <w:pPr>
        <w:widowControl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