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7054" w14:textId="27B56FDA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b/>
          <w:sz w:val="22"/>
          <w:szCs w:val="22"/>
          <w:lang w:val="en-US"/>
        </w:rPr>
        <w:t>Addendum</w:t>
      </w:r>
      <w:r w:rsidR="009541E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9541ED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</w:p>
    <w:p w14:paraId="753214AA" w14:textId="77777777" w:rsidR="005C14EA" w:rsidRPr="00BB2660" w:rsidRDefault="005C14EA" w:rsidP="005C14EA">
      <w:pPr>
        <w:pStyle w:val="Tekstzonderopmaak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D4FA8E8" w14:textId="4896E633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>In this addendum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we analyzed whether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results differ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between two groups: patients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with a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SMI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diagnosis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and patients who use AP without a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SMI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diagnosis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>. We compared the patient characteristics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>between these two groups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able </w:t>
      </w:r>
      <w:r w:rsidR="00EE67A9"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1)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, assessed the completeness of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their 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>CVR screening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able </w:t>
      </w:r>
      <w:r w:rsidR="00EE67A9"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>2)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and explored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>factors associated with adequate screening (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able </w:t>
      </w:r>
      <w:r w:rsidR="00EE67A9"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B256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3) </w:t>
      </w:r>
      <w:r w:rsidR="009C0B5F" w:rsidRPr="00BB2660">
        <w:rPr>
          <w:rFonts w:asciiTheme="minorHAnsi" w:hAnsiTheme="minorHAnsi" w:cstheme="minorHAnsi"/>
          <w:sz w:val="22"/>
          <w:szCs w:val="22"/>
          <w:lang w:val="en-US"/>
        </w:rPr>
        <w:t>separately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for these two groups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40F9C88" w14:textId="77777777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</w:p>
    <w:p w14:paraId="35F4D57D" w14:textId="7B868F75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Table </w:t>
      </w:r>
      <w:r w:rsidR="00EE67A9"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1. Comparison of patient characteristics between the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patients with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SMI and the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patients using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AP without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recorded SMI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diagnosis.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303"/>
        <w:gridCol w:w="2303"/>
        <w:gridCol w:w="1082"/>
      </w:tblGrid>
      <w:tr w:rsidR="005C14EA" w:rsidRPr="00CA114B" w14:paraId="500E5D80" w14:textId="77777777" w:rsidTr="00B776DB"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EC36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9841" w14:textId="6EDF69A0" w:rsidR="005C14EA" w:rsidRPr="00CA114B" w:rsidRDefault="00CA114B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Patients with </w:t>
            </w:r>
            <w:r w:rsidR="005C14EA"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SMI (n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C14EA"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C14EA"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689)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B7C7" w14:textId="11862131" w:rsidR="005C14EA" w:rsidRPr="00CA114B" w:rsidRDefault="00CA114B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Patients using </w:t>
            </w:r>
            <w:r w:rsidR="005C14EA"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AP without recorded SMI (n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C14EA"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=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C14EA"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630)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C80FAF" w14:textId="4A5A6011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P</w:t>
            </w:r>
            <w:r w:rsidR="00CA11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-</w:t>
            </w:r>
            <w:r w:rsidRPr="00CA11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value</w:t>
            </w:r>
          </w:p>
        </w:tc>
      </w:tr>
      <w:tr w:rsidR="005C14EA" w:rsidRPr="00CA114B" w14:paraId="75F9B878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E8CB" w14:textId="743A6E84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Mean age</w:t>
            </w:r>
            <w:r w:rsid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years (SD)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96CE" w14:textId="3703E968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(14.5)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1541" w14:textId="79F497A6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(14.7)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A5632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</w:tr>
      <w:tr w:rsidR="005C14EA" w:rsidRPr="00CA114B" w14:paraId="339B694D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BA8D" w14:textId="00AEB744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</w:t>
            </w:r>
            <w:proofErr w:type="spellEnd"/>
            <w:r w:rsidR="00CA114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A114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5683" w14:textId="2C1E178B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323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(46.9)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CEA2" w14:textId="376ABDE8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359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(57.0)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1FE08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&lt;0.001*</w:t>
            </w:r>
          </w:p>
        </w:tc>
      </w:tr>
      <w:tr w:rsidR="005C14EA" w:rsidRPr="00CA114B" w14:paraId="6E875272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7421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Antidepressants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08EE" w14:textId="197A0464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(20.3)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5E84" w14:textId="49B6E585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381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(60.5)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0AF71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&lt;0.001*</w:t>
            </w:r>
          </w:p>
        </w:tc>
      </w:tr>
      <w:tr w:rsidR="005C14EA" w:rsidRPr="00CA114B" w14:paraId="4ECA88DF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DBCB" w14:textId="37066918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CVR</w:t>
            </w:r>
            <w:r w:rsidR="005525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spellStart"/>
            <w:r w:rsid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lowering</w:t>
            </w:r>
            <w:proofErr w:type="spellEnd"/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medication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E8AA" w14:textId="79074272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(18.3)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AD82" w14:textId="088FEDD8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(23.2)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50F58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0.028*</w:t>
            </w:r>
          </w:p>
        </w:tc>
      </w:tr>
      <w:tr w:rsidR="005C14EA" w:rsidRPr="00CA114B" w14:paraId="6E7B9893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AE0D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COPD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F6CD" w14:textId="268D129E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(3.3)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D44A" w14:textId="45990AC3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(5.6)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2EF1B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0.05*</w:t>
            </w:r>
          </w:p>
        </w:tc>
      </w:tr>
      <w:tr w:rsidR="005C14EA" w:rsidRPr="00CA114B" w14:paraId="169819A9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4155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Alcohol </w:t>
            </w:r>
            <w:proofErr w:type="spellStart"/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abuse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A65" w14:textId="0D0FECFA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(5.4)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573B" w14:textId="1B3EC7B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(4.6)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48314D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0.52</w:t>
            </w:r>
          </w:p>
        </w:tc>
      </w:tr>
      <w:tr w:rsidR="005C14EA" w:rsidRPr="00CA114B" w14:paraId="260B237B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D3532" w14:textId="746B55D2" w:rsidR="005C14EA" w:rsidRPr="00EE67A9" w:rsidRDefault="00816440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Smoker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9FF9" w14:textId="3702E16D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(14.8)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E102" w14:textId="52806808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(19.8)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3E37D" w14:textId="55F81CE4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  <w:r w:rsidR="00AF3F88" w:rsidRPr="00CA114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5C14EA" w:rsidRPr="00CA114B" w14:paraId="71EA5140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DCD5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Drug abuse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A53B" w14:textId="048EEBB1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(8.0)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97B5" w14:textId="2323EFB9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(7.1)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BDB56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0.56</w:t>
            </w:r>
          </w:p>
        </w:tc>
      </w:tr>
      <w:tr w:rsidR="005C14EA" w:rsidRPr="00CA114B" w14:paraId="75462931" w14:textId="77777777" w:rsidTr="00816440">
        <w:trPr>
          <w:trHeight w:val="475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EA61" w14:textId="49B9622D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Number of </w:t>
            </w:r>
            <w:r w:rsidR="00CA114B"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FP </w:t>
            </w:r>
            <w:r w:rsidRPr="00EE67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visits/year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54E5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9DE0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95532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&lt;0.001*</w:t>
            </w:r>
          </w:p>
        </w:tc>
      </w:tr>
      <w:tr w:rsidR="005C14EA" w:rsidRPr="00CA114B" w14:paraId="57ECA1E0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2853" w14:textId="77777777" w:rsidR="005C14EA" w:rsidRPr="00CA114B" w:rsidRDefault="005C14EA" w:rsidP="00EE67A9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C4CD" w14:textId="1E64443A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221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(32.1)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E5B5" w14:textId="34B04681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(24.8)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D268C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4EA" w:rsidRPr="00CA114B" w14:paraId="772F28BF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E020" w14:textId="67F83435" w:rsidR="005C14EA" w:rsidRPr="00CA114B" w:rsidRDefault="005C14EA" w:rsidP="00EE67A9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E59F" w14:textId="079A1674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(41.8)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CEDE" w14:textId="698D827A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245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(38.9)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1E6C6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4EA" w:rsidRPr="00CA114B" w14:paraId="71CDBC97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1A06" w14:textId="37F7D515" w:rsidR="005C14EA" w:rsidRPr="00CA114B" w:rsidRDefault="005C14EA" w:rsidP="00EE67A9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5515" w14:textId="3D5C082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(15.5)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FEF7" w14:textId="74D36453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118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(18.7)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018A1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4EA" w:rsidRPr="00CA114B" w14:paraId="01244533" w14:textId="77777777" w:rsidTr="00B776DB"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E077" w14:textId="77777777" w:rsidR="005C14EA" w:rsidRPr="00CA114B" w:rsidRDefault="005C14EA" w:rsidP="00EE67A9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&gt;10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3FEC" w14:textId="0EB199DC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(10.6)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22F6" w14:textId="6CBCB478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111</w:t>
            </w:r>
            <w:r w:rsidR="00CA1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(17.6)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F3C98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9984F3" w14:textId="77777777" w:rsidR="00EE4078" w:rsidRPr="00BB2660" w:rsidRDefault="00EE4078" w:rsidP="00EE4078">
      <w:pPr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>Values are shown as n (%) unless otherwise noted.</w:t>
      </w:r>
    </w:p>
    <w:p w14:paraId="0DDD747D" w14:textId="577A5C7F" w:rsidR="005C14EA" w:rsidRPr="00BB2660" w:rsidRDefault="00EE4078" w:rsidP="00EE4078">
      <w:pPr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>SMI: serious mental illness; AP: antipsychotics; CVR: cardiovascular risk; COPD: chronic obstructive pulmonary disease; FP: family practice</w:t>
      </w:r>
      <w:r w:rsidR="005C14EA" w:rsidRPr="00BB2660">
        <w:rPr>
          <w:rFonts w:cstheme="minorHAnsi"/>
          <w:lang w:val="en-US"/>
        </w:rPr>
        <w:t>.</w:t>
      </w:r>
    </w:p>
    <w:p w14:paraId="1A39F5BC" w14:textId="77777777" w:rsidR="00CA114B" w:rsidRPr="00BB2660" w:rsidRDefault="00CA114B" w:rsidP="005C14EA">
      <w:pPr>
        <w:rPr>
          <w:rFonts w:cstheme="minorHAnsi"/>
          <w:lang w:val="en-US"/>
        </w:rPr>
      </w:pPr>
    </w:p>
    <w:p w14:paraId="03CA9CDB" w14:textId="0CAE2C34" w:rsidR="005C14EA" w:rsidRPr="00BB2660" w:rsidRDefault="005C14EA" w:rsidP="005C14EA">
      <w:pPr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 xml:space="preserve">Table </w:t>
      </w:r>
      <w:r w:rsidR="00EE67A9" w:rsidRPr="00BB2660">
        <w:rPr>
          <w:rFonts w:cstheme="minorHAnsi"/>
          <w:lang w:val="en-US"/>
        </w:rPr>
        <w:t>A</w:t>
      </w:r>
      <w:r w:rsidRPr="00BB2660">
        <w:rPr>
          <w:rFonts w:cstheme="minorHAnsi"/>
          <w:lang w:val="en-US"/>
        </w:rPr>
        <w:t xml:space="preserve">1 shows that the two groups differ in </w:t>
      </w:r>
      <w:r w:rsidR="00CA114B" w:rsidRPr="00BB2660">
        <w:rPr>
          <w:rFonts w:cstheme="minorHAnsi"/>
          <w:lang w:val="en-US"/>
        </w:rPr>
        <w:t xml:space="preserve">several </w:t>
      </w:r>
      <w:r w:rsidRPr="00BB2660">
        <w:rPr>
          <w:rFonts w:cstheme="minorHAnsi"/>
          <w:lang w:val="en-US"/>
        </w:rPr>
        <w:t>aspects</w:t>
      </w:r>
      <w:r w:rsidR="00CA114B" w:rsidRPr="00BB2660">
        <w:rPr>
          <w:rFonts w:cstheme="minorHAnsi"/>
          <w:lang w:val="en-US"/>
        </w:rPr>
        <w:t>.</w:t>
      </w:r>
      <w:r w:rsidRPr="00BB2660">
        <w:rPr>
          <w:rFonts w:cstheme="minorHAnsi"/>
          <w:lang w:val="en-US"/>
        </w:rPr>
        <w:t xml:space="preserve"> </w:t>
      </w:r>
      <w:r w:rsidR="00CA114B" w:rsidRPr="00BB2660">
        <w:rPr>
          <w:rFonts w:cstheme="minorHAnsi"/>
          <w:lang w:val="en-US"/>
        </w:rPr>
        <w:t>T</w:t>
      </w:r>
      <w:r w:rsidRPr="00BB2660">
        <w:rPr>
          <w:rFonts w:cstheme="minorHAnsi"/>
          <w:lang w:val="en-US"/>
        </w:rPr>
        <w:t>he percentage</w:t>
      </w:r>
      <w:r w:rsidR="00CA114B" w:rsidRPr="00BB2660">
        <w:rPr>
          <w:rFonts w:cstheme="minorHAnsi"/>
          <w:lang w:val="en-US"/>
        </w:rPr>
        <w:t>s</w:t>
      </w:r>
      <w:r w:rsidRPr="00BB2660">
        <w:rPr>
          <w:rFonts w:cstheme="minorHAnsi"/>
          <w:lang w:val="en-US"/>
        </w:rPr>
        <w:t xml:space="preserve"> of women, patients </w:t>
      </w:r>
      <w:r w:rsidR="00CA114B" w:rsidRPr="00BB2660">
        <w:rPr>
          <w:rFonts w:cstheme="minorHAnsi"/>
          <w:lang w:val="en-US"/>
        </w:rPr>
        <w:t xml:space="preserve">taking </w:t>
      </w:r>
      <w:r w:rsidRPr="00BB2660">
        <w:rPr>
          <w:rFonts w:cstheme="minorHAnsi"/>
          <w:lang w:val="en-US"/>
        </w:rPr>
        <w:t>antidepressants or CVR</w:t>
      </w:r>
      <w:r w:rsidR="00CA114B" w:rsidRPr="00BB2660">
        <w:rPr>
          <w:rFonts w:cstheme="minorHAnsi"/>
          <w:lang w:val="en-US"/>
        </w:rPr>
        <w:t>-</w:t>
      </w:r>
      <w:r w:rsidR="00E636EE" w:rsidRPr="00BB2660">
        <w:rPr>
          <w:rFonts w:cstheme="minorHAnsi"/>
          <w:lang w:val="en-US"/>
        </w:rPr>
        <w:t>lowering</w:t>
      </w:r>
      <w:r w:rsidRPr="00BB2660">
        <w:rPr>
          <w:rFonts w:cstheme="minorHAnsi"/>
          <w:lang w:val="en-US"/>
        </w:rPr>
        <w:t xml:space="preserve"> medication, patients with a diagnosis of COPD,</w:t>
      </w:r>
      <w:r w:rsidR="003C484C" w:rsidRPr="00BB2660">
        <w:rPr>
          <w:rFonts w:cstheme="minorHAnsi"/>
          <w:lang w:val="en-US"/>
        </w:rPr>
        <w:t xml:space="preserve"> </w:t>
      </w:r>
      <w:r w:rsidR="00CA114B" w:rsidRPr="00BB2660">
        <w:rPr>
          <w:rFonts w:cstheme="minorHAnsi"/>
          <w:lang w:val="en-US"/>
        </w:rPr>
        <w:t xml:space="preserve">and </w:t>
      </w:r>
      <w:r w:rsidR="003C484C" w:rsidRPr="00BB2660">
        <w:rPr>
          <w:rFonts w:cstheme="minorHAnsi"/>
          <w:lang w:val="en-US"/>
        </w:rPr>
        <w:t xml:space="preserve">patients </w:t>
      </w:r>
      <w:r w:rsidR="00CA114B" w:rsidRPr="00BB2660">
        <w:rPr>
          <w:rFonts w:cstheme="minorHAnsi"/>
          <w:lang w:val="en-US"/>
        </w:rPr>
        <w:t xml:space="preserve">who use </w:t>
      </w:r>
      <w:r w:rsidR="00FC31C6" w:rsidRPr="00BB2660">
        <w:rPr>
          <w:rFonts w:cstheme="minorHAnsi"/>
          <w:lang w:val="en-US"/>
        </w:rPr>
        <w:t>tobacco</w:t>
      </w:r>
      <w:r w:rsidR="00CA114B" w:rsidRPr="00BB2660">
        <w:rPr>
          <w:rFonts w:cstheme="minorHAnsi"/>
          <w:lang w:val="en-US"/>
        </w:rPr>
        <w:t>,</w:t>
      </w:r>
      <w:r w:rsidR="00FC31C6" w:rsidRPr="00BB2660">
        <w:rPr>
          <w:rFonts w:cstheme="minorHAnsi"/>
          <w:lang w:val="en-US"/>
        </w:rPr>
        <w:t xml:space="preserve"> </w:t>
      </w:r>
      <w:r w:rsidR="00CA114B" w:rsidRPr="00BB2660">
        <w:rPr>
          <w:rFonts w:cstheme="minorHAnsi"/>
          <w:lang w:val="en-US"/>
        </w:rPr>
        <w:t xml:space="preserve">as well as </w:t>
      </w:r>
      <w:r w:rsidRPr="00BB2660">
        <w:rPr>
          <w:rFonts w:cstheme="minorHAnsi"/>
          <w:lang w:val="en-US"/>
        </w:rPr>
        <w:t xml:space="preserve">the number of </w:t>
      </w:r>
      <w:r w:rsidR="00CA114B" w:rsidRPr="00BB2660">
        <w:rPr>
          <w:rFonts w:cstheme="minorHAnsi"/>
          <w:lang w:val="en-US"/>
        </w:rPr>
        <w:t xml:space="preserve">FP </w:t>
      </w:r>
      <w:r w:rsidRPr="00BB2660">
        <w:rPr>
          <w:rFonts w:cstheme="minorHAnsi"/>
          <w:lang w:val="en-US"/>
        </w:rPr>
        <w:t>visits</w:t>
      </w:r>
      <w:r w:rsidR="00CA114B" w:rsidRPr="00BB2660">
        <w:rPr>
          <w:rFonts w:cstheme="minorHAnsi"/>
          <w:lang w:val="en-US"/>
        </w:rPr>
        <w:t xml:space="preserve">, are all </w:t>
      </w:r>
      <w:r w:rsidRPr="00BB2660">
        <w:rPr>
          <w:rFonts w:cstheme="minorHAnsi"/>
          <w:lang w:val="en-US"/>
        </w:rPr>
        <w:t xml:space="preserve">significantly lower in the </w:t>
      </w:r>
      <w:r w:rsidR="00CA114B" w:rsidRPr="00BB2660">
        <w:rPr>
          <w:rFonts w:cstheme="minorHAnsi"/>
          <w:lang w:val="en-US"/>
        </w:rPr>
        <w:t xml:space="preserve">group of patients with </w:t>
      </w:r>
      <w:r w:rsidRPr="00BB2660">
        <w:rPr>
          <w:rFonts w:cstheme="minorHAnsi"/>
          <w:lang w:val="en-US"/>
        </w:rPr>
        <w:t xml:space="preserve">SMI than in the </w:t>
      </w:r>
      <w:r w:rsidR="00CA114B" w:rsidRPr="00BB2660">
        <w:rPr>
          <w:rFonts w:cstheme="minorHAnsi"/>
          <w:lang w:val="en-US"/>
        </w:rPr>
        <w:t xml:space="preserve">group of patients using </w:t>
      </w:r>
      <w:r w:rsidRPr="00BB2660">
        <w:rPr>
          <w:rFonts w:cstheme="minorHAnsi"/>
          <w:lang w:val="en-US"/>
        </w:rPr>
        <w:t xml:space="preserve">AP without </w:t>
      </w:r>
      <w:r w:rsidR="00CA114B" w:rsidRPr="00BB2660">
        <w:rPr>
          <w:rFonts w:cstheme="minorHAnsi"/>
          <w:lang w:val="en-US"/>
        </w:rPr>
        <w:t xml:space="preserve">a </w:t>
      </w:r>
      <w:r w:rsidRPr="00BB2660">
        <w:rPr>
          <w:rFonts w:cstheme="minorHAnsi"/>
          <w:lang w:val="en-US"/>
        </w:rPr>
        <w:t>recorded SMI</w:t>
      </w:r>
      <w:r w:rsidR="00CA114B" w:rsidRPr="00BB2660">
        <w:rPr>
          <w:rFonts w:cstheme="minorHAnsi"/>
          <w:lang w:val="en-US"/>
        </w:rPr>
        <w:t xml:space="preserve"> diagnosis</w:t>
      </w:r>
      <w:r w:rsidRPr="00BB2660">
        <w:rPr>
          <w:rFonts w:cstheme="minorHAnsi"/>
          <w:lang w:val="en-US"/>
        </w:rPr>
        <w:t>.</w:t>
      </w:r>
    </w:p>
    <w:p w14:paraId="3AC9EC33" w14:textId="77777777" w:rsidR="00CA114B" w:rsidRPr="00BB2660" w:rsidRDefault="00CA114B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</w:p>
    <w:p w14:paraId="0EF02EF1" w14:textId="10E2731A" w:rsidR="005C14EA" w:rsidRPr="00CA114B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Table </w:t>
      </w:r>
      <w:r w:rsidR="00EE67A9"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2. </w:t>
      </w:r>
      <w:r w:rsidR="000D57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Completeness of </w:t>
      </w:r>
      <w:r w:rsidR="00FC00D2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CVR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screening </w:t>
      </w:r>
      <w:r w:rsidR="00D52AC7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for patients with SMI and for patients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using </w:t>
      </w:r>
      <w:r w:rsidR="00D52AC7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AP without </w:t>
      </w:r>
      <w:r w:rsidR="00CA114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B62A70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recorded </w:t>
      </w:r>
      <w:r w:rsidR="00D52AC7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SMI, </w:t>
      </w:r>
      <w:r w:rsidR="007B0445" w:rsidRPr="00BB2660">
        <w:rPr>
          <w:rFonts w:asciiTheme="minorHAnsi" w:hAnsiTheme="minorHAnsi" w:cstheme="minorHAnsi"/>
          <w:sz w:val="22"/>
          <w:szCs w:val="22"/>
          <w:lang w:val="en-US"/>
        </w:rPr>
        <w:t>and for subgroups with comorbid</w:t>
      </w:r>
      <w:r w:rsidR="009A4E6D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DM</w:t>
      </w:r>
      <w:r w:rsidR="007B044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or </w:t>
      </w:r>
      <w:r w:rsidR="002E491C" w:rsidRPr="00BB2660">
        <w:rPr>
          <w:rFonts w:asciiTheme="minorHAnsi" w:hAnsiTheme="minorHAnsi" w:cstheme="minorHAnsi"/>
          <w:sz w:val="22"/>
          <w:szCs w:val="22"/>
          <w:lang w:val="en-US"/>
        </w:rPr>
        <w:t>CVD.</w:t>
      </w:r>
      <w:r w:rsidR="002E491C" w:rsidRPr="00BB2660" w:rsidDel="002E49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657"/>
        <w:gridCol w:w="2497"/>
        <w:gridCol w:w="2433"/>
      </w:tblGrid>
      <w:tr w:rsidR="005C14EA" w:rsidRPr="00CA114B" w14:paraId="47AAA4F5" w14:textId="77777777" w:rsidTr="00B776DB"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7B90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121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Indication for CVR assessment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1D01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Insufficient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7319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Moderate</w:t>
            </w: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^</w:t>
            </w: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/Adequate</w:t>
            </w: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#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67B7" w14:textId="2268CE1A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</w:pP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Odds ratio</w:t>
            </w:r>
            <w:r w:rsidR="00343FC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(95%CI)</w:t>
            </w:r>
            <w:r w:rsidRPr="004121CB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5C14EA" w:rsidRPr="00CA114B" w14:paraId="3E70164D" w14:textId="77777777" w:rsidTr="00B776DB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1DCC" w14:textId="3F0FA881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SMI (n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689)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104B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92.7 (639)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10BE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 7.3 (50)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40D6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Reference group</w:t>
            </w:r>
          </w:p>
        </w:tc>
      </w:tr>
      <w:tr w:rsidR="005C14EA" w:rsidRPr="00CA114B" w14:paraId="1C4FEA69" w14:textId="77777777" w:rsidTr="00B776DB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6987" w14:textId="5A66665D" w:rsidR="005C14EA" w:rsidRPr="00CA114B" w:rsidRDefault="005C14EA" w:rsidP="004121CB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SMI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DM (n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97)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4CEA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39.2 (38)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83FF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60.8 (59)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C96C" w14:textId="2571E749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 19.8 (12.1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32.7)</w:t>
            </w:r>
          </w:p>
        </w:tc>
      </w:tr>
      <w:tr w:rsidR="005C14EA" w:rsidRPr="00CA114B" w14:paraId="23948921" w14:textId="77777777" w:rsidTr="00B776DB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7E22" w14:textId="1DC2ABC5" w:rsidR="005C14EA" w:rsidRPr="00CA114B" w:rsidRDefault="005C14EA" w:rsidP="004121CB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SMI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CVD (n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48)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BCD5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72.9 (35)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3974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27.1 (13)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FD92" w14:textId="50446CA6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 4.7 (2.4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9.5)</w:t>
            </w:r>
          </w:p>
        </w:tc>
      </w:tr>
      <w:tr w:rsidR="005C14EA" w:rsidRPr="00CA114B" w14:paraId="03A39AB6" w14:textId="77777777" w:rsidTr="00B776DB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8E95" w14:textId="1E8AB10B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 use without SMI (n</w:t>
            </w:r>
            <w:r w:rsidR="00343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=</w:t>
            </w:r>
            <w:r w:rsidR="00343F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630)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AA91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88.1 (555)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5E9C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9.7 (61)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49A8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Reference group</w:t>
            </w:r>
          </w:p>
        </w:tc>
      </w:tr>
      <w:tr w:rsidR="005C14EA" w:rsidRPr="00CA114B" w14:paraId="062BB5C0" w14:textId="77777777" w:rsidTr="00B776DB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E214" w14:textId="6C08EC1A" w:rsidR="005C14EA" w:rsidRPr="00CA114B" w:rsidRDefault="005C14EA" w:rsidP="004121CB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DM (n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95)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E850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22.1 (21)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371A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77.9 (74)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CBF7" w14:textId="2D568C72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 26.1 (15.2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44.8)</w:t>
            </w:r>
          </w:p>
        </w:tc>
      </w:tr>
      <w:tr w:rsidR="005C14EA" w:rsidRPr="00CA114B" w14:paraId="1E2AF0BC" w14:textId="77777777" w:rsidTr="00B776DB"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3342" w14:textId="6C56B393" w:rsidR="005C14EA" w:rsidRPr="00CA114B" w:rsidRDefault="005C14EA" w:rsidP="004121CB">
            <w:pPr>
              <w:pStyle w:val="Tekstzonderopmaak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CVD (n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60)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40C5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65.0 (39)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9E95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35.0 (21)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8BDF" w14:textId="5533F72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 4.0 (2.2</w:t>
            </w:r>
            <w:r w:rsidR="00343FC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sz w:val="22"/>
                <w:szCs w:val="22"/>
              </w:rPr>
              <w:t>7.1)</w:t>
            </w:r>
          </w:p>
        </w:tc>
      </w:tr>
    </w:tbl>
    <w:p w14:paraId="04BCF832" w14:textId="77777777" w:rsidR="00EE4078" w:rsidRDefault="00EE4078" w:rsidP="005C14EA">
      <w:pPr>
        <w:pStyle w:val="Tekstzonderopmaak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7062268C" w14:textId="14CC82A7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>Values are shown in %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(n)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unless otherwise noted.</w:t>
      </w:r>
    </w:p>
    <w:p w14:paraId="006DC94A" w14:textId="324BF24C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>^ BMI, smoking status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and blood pressure </w:t>
      </w:r>
      <w:r w:rsidR="004B44C5" w:rsidRPr="00BB2660">
        <w:rPr>
          <w:rFonts w:asciiTheme="minorHAnsi" w:hAnsiTheme="minorHAnsi" w:cstheme="minorHAnsi"/>
          <w:sz w:val="22"/>
          <w:szCs w:val="22"/>
          <w:lang w:val="en-US"/>
        </w:rPr>
        <w:t>were all recorded</w:t>
      </w:r>
      <w:r w:rsidR="004F61A2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(CVR screening without the need of a blood sample).</w:t>
      </w:r>
    </w:p>
    <w:p w14:paraId="0ECFDC40" w14:textId="77777777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># BMI, smoking status, blood pressure, glucose and cholesterol/HDL ratio were all recorded.</w:t>
      </w:r>
    </w:p>
    <w:p w14:paraId="574137DA" w14:textId="430FBB89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>* O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dds ratio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for an adequate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moderate screening rate.</w:t>
      </w:r>
    </w:p>
    <w:p w14:paraId="7C0878CD" w14:textId="5B26C787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>CVR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: c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ardiovascular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isk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CI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: c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onfidence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nterval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SMI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: s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erious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ental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llness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AP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: a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ntipsychotics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DM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: d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iabetes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ellitus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;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CVD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: c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ardiovascular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isease.</w:t>
      </w:r>
    </w:p>
    <w:p w14:paraId="6C0F4775" w14:textId="499F0ACC" w:rsidR="005C14EA" w:rsidRPr="00BB2660" w:rsidRDefault="005C14EA" w:rsidP="005C14EA">
      <w:pPr>
        <w:pStyle w:val="Tekstzonderopmaak"/>
        <w:ind w:left="142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56E1DAE" w14:textId="77777777" w:rsidR="00343FC8" w:rsidRPr="00BB2660" w:rsidRDefault="00343FC8" w:rsidP="005C14EA">
      <w:pPr>
        <w:pStyle w:val="Tekstzonderopmaak"/>
        <w:ind w:left="142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1353E6E" w14:textId="424F38F1" w:rsidR="005C14EA" w:rsidRPr="00BB2660" w:rsidRDefault="008D7E94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Table 2 reveals that </w:t>
      </w:r>
      <w:r w:rsidR="00F372CF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rate of </w:t>
      </w:r>
      <w:r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dequate</w:t>
      </w:r>
      <w:r w:rsidR="00F372CF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CVR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screening by FPs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very low in both groups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7.3% for the group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of patients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with SMI, 9.7% </w:t>
      </w:r>
      <w:r w:rsidR="00CC342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group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of patients using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AP without SMI, </w:t>
      </w:r>
      <w:r w:rsidR="00CC3425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8.5%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for both groups combined)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. In patients with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comorbidity that require</w:t>
      </w:r>
      <w:r w:rsidR="003F7342" w:rsidRPr="00BB266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CVR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screening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rate of adequate screening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was considerably higher, especially in patients with type 2 diabetes (60.8%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7</w:t>
      </w:r>
      <w:r w:rsidR="00B2385D" w:rsidRPr="00BB2660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2385D" w:rsidRPr="00BB2660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%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68.4%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for the SMI group, the AP group, and both groups combined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, respectively).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omparison between 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able 2 of the main article (OR=21.8 and 4.3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resp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ectively,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for SMI</w:t>
      </w:r>
      <w:r w:rsidR="00C06C8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/AP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+DM and SMI</w:t>
      </w:r>
      <w:r w:rsidR="00C06C8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/AP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+CVD) and 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able </w:t>
      </w:r>
      <w:r w:rsidR="004121CB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="005C14EA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in this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ddendum (OR=19.8 and 4.7 for SMI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+DM and SMI+CVD, respectively,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and 26.1 and 4.0 for AP without SMI</w:t>
      </w:r>
      <w:r w:rsidR="00F372CF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but with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DM or</w:t>
      </w:r>
      <w:r w:rsidR="00F372CF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CVD, respectively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C06C8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shows that the OR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rate of screening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was only slightly affected </w:t>
      </w:r>
      <w:r w:rsidR="00C06C8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division of </w:t>
      </w:r>
      <w:r w:rsidR="00C06C8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SMI/AP </w:t>
      </w:r>
      <w:r w:rsidR="00FE6CBD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group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of patients </w:t>
      </w:r>
      <w:r w:rsidR="00C06C88" w:rsidRPr="00BB2660">
        <w:rPr>
          <w:rFonts w:asciiTheme="minorHAnsi" w:hAnsiTheme="minorHAnsi" w:cstheme="minorHAnsi"/>
          <w:sz w:val="22"/>
          <w:szCs w:val="22"/>
          <w:lang w:val="en-US"/>
        </w:rPr>
        <w:t>into separate groups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806FD9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hese results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therefore support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conclusion of the </w:t>
      </w:r>
      <w:r w:rsidR="00806FD9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main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article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, which states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that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the rate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adequate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CVR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screening by FPs in patients with SMI</w:t>
      </w:r>
      <w:r w:rsidR="009C3A5B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or those using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AP is very low, whereas patients with additional comorbidit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>ies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 that require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CVR </w:t>
      </w:r>
      <w:r w:rsidR="005C14EA" w:rsidRPr="00BB2660">
        <w:rPr>
          <w:rFonts w:asciiTheme="minorHAnsi" w:hAnsiTheme="minorHAnsi" w:cstheme="minorHAnsi"/>
          <w:sz w:val="22"/>
          <w:szCs w:val="22"/>
          <w:lang w:val="en-US"/>
        </w:rPr>
        <w:t>screening have a considerably higher screening rate.</w:t>
      </w:r>
    </w:p>
    <w:p w14:paraId="12A8BD3B" w14:textId="77777777" w:rsidR="005C14EA" w:rsidRPr="00BB2660" w:rsidRDefault="005C14EA" w:rsidP="005C14EA">
      <w:pPr>
        <w:pStyle w:val="Tekstzonderopmaak"/>
        <w:rPr>
          <w:rFonts w:asciiTheme="minorHAnsi" w:hAnsiTheme="minorHAnsi" w:cstheme="minorHAnsi"/>
          <w:sz w:val="22"/>
          <w:szCs w:val="22"/>
          <w:lang w:val="en-US"/>
        </w:rPr>
      </w:pPr>
    </w:p>
    <w:p w14:paraId="6569B670" w14:textId="1C7599CB" w:rsidR="005C14EA" w:rsidRPr="00BB2660" w:rsidRDefault="005C14EA" w:rsidP="005C14EA">
      <w:pPr>
        <w:pStyle w:val="Tekstzonderopmaak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6699C4B4" w14:textId="77777777" w:rsidR="00343FC8" w:rsidRPr="00BB2660" w:rsidRDefault="00343FC8" w:rsidP="005C14EA">
      <w:pPr>
        <w:pStyle w:val="Tekstzonderopmaak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2388DBF4" w14:textId="65E27147" w:rsidR="005C14EA" w:rsidRPr="00CA114B" w:rsidRDefault="005C14EA" w:rsidP="005C14EA">
      <w:pPr>
        <w:pStyle w:val="Tekstzonderopmaak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Table </w:t>
      </w:r>
      <w:r w:rsidR="00EE67A9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3. Factors </w:t>
      </w:r>
      <w:r w:rsidR="00420F05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most 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associated with </w:t>
      </w:r>
      <w:r w:rsidR="00370A43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CVR 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screening </w:t>
      </w:r>
      <w:r w:rsidR="00370A43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for 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patients </w:t>
      </w:r>
      <w:r w:rsidR="00370A43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with SMI </w:t>
      </w:r>
      <w:r w:rsidR="00370A43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and patients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using </w:t>
      </w:r>
      <w:r w:rsidR="00370A43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AP without </w:t>
      </w:r>
      <w:r w:rsidR="00343FC8" w:rsidRPr="00BB2660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370A43" w:rsidRPr="00BB2660">
        <w:rPr>
          <w:rFonts w:asciiTheme="minorHAnsi" w:hAnsiTheme="minorHAnsi" w:cstheme="minorHAnsi"/>
          <w:sz w:val="22"/>
          <w:szCs w:val="22"/>
          <w:lang w:val="en-US"/>
        </w:rPr>
        <w:t>recorded SMI</w:t>
      </w:r>
      <w:r w:rsidR="00370A43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diagnosis </w:t>
      </w:r>
      <w:r w:rsidR="00370A43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who </w:t>
      </w:r>
      <w:r w:rsidR="00040E09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have no comorbid diagnosis 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of diabetes or </w:t>
      </w:r>
      <w:r w:rsidR="00040E09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CVD.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6"/>
        <w:gridCol w:w="20"/>
        <w:gridCol w:w="2519"/>
        <w:gridCol w:w="35"/>
        <w:gridCol w:w="2182"/>
        <w:gridCol w:w="17"/>
        <w:gridCol w:w="2243"/>
      </w:tblGrid>
      <w:tr w:rsidR="005C14EA" w:rsidRPr="00CA114B" w14:paraId="554EFDBE" w14:textId="77777777" w:rsidTr="00B776DB">
        <w:tc>
          <w:tcPr>
            <w:tcW w:w="2066" w:type="dxa"/>
            <w:gridSpan w:val="2"/>
          </w:tcPr>
          <w:p w14:paraId="546ADD61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121C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Group</w:t>
            </w:r>
          </w:p>
        </w:tc>
        <w:tc>
          <w:tcPr>
            <w:tcW w:w="2519" w:type="dxa"/>
          </w:tcPr>
          <w:p w14:paraId="22BBC5DB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21C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Factor</w:t>
            </w:r>
          </w:p>
        </w:tc>
        <w:tc>
          <w:tcPr>
            <w:tcW w:w="2217" w:type="dxa"/>
            <w:gridSpan w:val="2"/>
          </w:tcPr>
          <w:p w14:paraId="18A22074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21C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2260" w:type="dxa"/>
            <w:gridSpan w:val="2"/>
          </w:tcPr>
          <w:p w14:paraId="1EC3B6F8" w14:textId="77777777" w:rsidR="005C14EA" w:rsidRPr="004121CB" w:rsidRDefault="005C14EA" w:rsidP="00B776DB">
            <w:pPr>
              <w:pStyle w:val="Tekstzonderopmaa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4121C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95% CI</w:t>
            </w:r>
          </w:p>
        </w:tc>
      </w:tr>
      <w:tr w:rsidR="005C14EA" w:rsidRPr="00CA114B" w14:paraId="1B0BA775" w14:textId="77777777" w:rsidTr="00B776DB">
        <w:tc>
          <w:tcPr>
            <w:tcW w:w="2066" w:type="dxa"/>
            <w:gridSpan w:val="2"/>
          </w:tcPr>
          <w:p w14:paraId="52693DF6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SMI</w:t>
            </w:r>
          </w:p>
        </w:tc>
        <w:tc>
          <w:tcPr>
            <w:tcW w:w="2519" w:type="dxa"/>
          </w:tcPr>
          <w:p w14:paraId="2A7ADB56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2217" w:type="dxa"/>
            <w:gridSpan w:val="2"/>
          </w:tcPr>
          <w:p w14:paraId="463D4B55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2260" w:type="dxa"/>
            <w:gridSpan w:val="2"/>
          </w:tcPr>
          <w:p w14:paraId="387FD498" w14:textId="64DE001A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1.02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1.06</w:t>
            </w:r>
          </w:p>
        </w:tc>
      </w:tr>
      <w:tr w:rsidR="005C14EA" w:rsidRPr="00CA114B" w14:paraId="005524E7" w14:textId="77777777" w:rsidTr="00B776DB">
        <w:tc>
          <w:tcPr>
            <w:tcW w:w="2066" w:type="dxa"/>
            <w:gridSpan w:val="2"/>
          </w:tcPr>
          <w:p w14:paraId="2923FDFC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SMI</w:t>
            </w:r>
          </w:p>
        </w:tc>
        <w:tc>
          <w:tcPr>
            <w:tcW w:w="2519" w:type="dxa"/>
          </w:tcPr>
          <w:p w14:paraId="64D37527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COPD present</w:t>
            </w:r>
          </w:p>
        </w:tc>
        <w:tc>
          <w:tcPr>
            <w:tcW w:w="2217" w:type="dxa"/>
            <w:gridSpan w:val="2"/>
          </w:tcPr>
          <w:p w14:paraId="1F423362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5.62</w:t>
            </w:r>
          </w:p>
        </w:tc>
        <w:tc>
          <w:tcPr>
            <w:tcW w:w="2260" w:type="dxa"/>
            <w:gridSpan w:val="2"/>
          </w:tcPr>
          <w:p w14:paraId="49BA04C0" w14:textId="33B6DDDB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2.12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14.94</w:t>
            </w:r>
          </w:p>
        </w:tc>
      </w:tr>
      <w:tr w:rsidR="005C14EA" w:rsidRPr="00BB2660" w14:paraId="573CA611" w14:textId="77777777" w:rsidTr="00B776DB">
        <w:tc>
          <w:tcPr>
            <w:tcW w:w="2066" w:type="dxa"/>
            <w:gridSpan w:val="2"/>
            <w:vMerge w:val="restart"/>
          </w:tcPr>
          <w:p w14:paraId="5D755BA7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SMI</w:t>
            </w:r>
          </w:p>
        </w:tc>
        <w:tc>
          <w:tcPr>
            <w:tcW w:w="2519" w:type="dxa"/>
          </w:tcPr>
          <w:p w14:paraId="7A49F62D" w14:textId="7B479F6F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Number of 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FP 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visits/year*</w:t>
            </w:r>
          </w:p>
        </w:tc>
        <w:tc>
          <w:tcPr>
            <w:tcW w:w="2217" w:type="dxa"/>
            <w:gridSpan w:val="2"/>
          </w:tcPr>
          <w:p w14:paraId="027602C7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2"/>
          </w:tcPr>
          <w:p w14:paraId="04554B76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C14EA" w:rsidRPr="00CA114B" w14:paraId="1AC5F7DE" w14:textId="77777777" w:rsidTr="00B776DB">
        <w:tc>
          <w:tcPr>
            <w:tcW w:w="2066" w:type="dxa"/>
            <w:gridSpan w:val="2"/>
            <w:vMerge/>
          </w:tcPr>
          <w:p w14:paraId="4CBBAD7C" w14:textId="77777777" w:rsidR="005C14EA" w:rsidRPr="00EE67A9" w:rsidRDefault="005C14EA" w:rsidP="00B776DB">
            <w:pPr>
              <w:pStyle w:val="Tekstzonderopmaak"/>
              <w:ind w:left="7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19" w:type="dxa"/>
          </w:tcPr>
          <w:p w14:paraId="56FB5E5D" w14:textId="77777777" w:rsidR="005C14EA" w:rsidRPr="00CA114B" w:rsidRDefault="005C14EA" w:rsidP="00B776DB">
            <w:pPr>
              <w:pStyle w:val="Tekstzonderopmaak"/>
              <w:ind w:left="7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&gt;10</w:t>
            </w:r>
          </w:p>
        </w:tc>
        <w:tc>
          <w:tcPr>
            <w:tcW w:w="2217" w:type="dxa"/>
            <w:gridSpan w:val="2"/>
          </w:tcPr>
          <w:p w14:paraId="045FFA58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3.65</w:t>
            </w:r>
          </w:p>
        </w:tc>
        <w:tc>
          <w:tcPr>
            <w:tcW w:w="2260" w:type="dxa"/>
            <w:gridSpan w:val="2"/>
          </w:tcPr>
          <w:p w14:paraId="7113AC4D" w14:textId="0969F06E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1.83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7.28</w:t>
            </w:r>
          </w:p>
        </w:tc>
      </w:tr>
      <w:tr w:rsidR="005C14EA" w:rsidRPr="00CA114B" w14:paraId="2E82CD89" w14:textId="77777777" w:rsidTr="00B776DB">
        <w:tc>
          <w:tcPr>
            <w:tcW w:w="2046" w:type="dxa"/>
          </w:tcPr>
          <w:p w14:paraId="37C2B6B9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 without SMI</w:t>
            </w:r>
          </w:p>
        </w:tc>
        <w:tc>
          <w:tcPr>
            <w:tcW w:w="2574" w:type="dxa"/>
            <w:gridSpan w:val="3"/>
          </w:tcPr>
          <w:p w14:paraId="43E89E17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2199" w:type="dxa"/>
            <w:gridSpan w:val="2"/>
          </w:tcPr>
          <w:p w14:paraId="4E05ABC0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2243" w:type="dxa"/>
          </w:tcPr>
          <w:p w14:paraId="4A9AC4F5" w14:textId="40396595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1.02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1.06</w:t>
            </w:r>
          </w:p>
        </w:tc>
      </w:tr>
      <w:tr w:rsidR="005C14EA" w:rsidRPr="00CA114B" w14:paraId="546A6BE2" w14:textId="77777777" w:rsidTr="00B776DB">
        <w:tc>
          <w:tcPr>
            <w:tcW w:w="2046" w:type="dxa"/>
          </w:tcPr>
          <w:p w14:paraId="6B13D523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 without SMI</w:t>
            </w:r>
          </w:p>
        </w:tc>
        <w:tc>
          <w:tcPr>
            <w:tcW w:w="2574" w:type="dxa"/>
            <w:gridSpan w:val="3"/>
          </w:tcPr>
          <w:p w14:paraId="72E48DC8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COPD present</w:t>
            </w:r>
          </w:p>
        </w:tc>
        <w:tc>
          <w:tcPr>
            <w:tcW w:w="2199" w:type="dxa"/>
            <w:gridSpan w:val="2"/>
          </w:tcPr>
          <w:p w14:paraId="45202B6A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2.36</w:t>
            </w:r>
          </w:p>
        </w:tc>
        <w:tc>
          <w:tcPr>
            <w:tcW w:w="2243" w:type="dxa"/>
          </w:tcPr>
          <w:p w14:paraId="7E2E61CA" w14:textId="74FAD2C0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1.05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5.29</w:t>
            </w:r>
          </w:p>
        </w:tc>
      </w:tr>
      <w:tr w:rsidR="005C14EA" w:rsidRPr="00BB2660" w14:paraId="62C7D138" w14:textId="77777777" w:rsidTr="00B776DB">
        <w:tc>
          <w:tcPr>
            <w:tcW w:w="2046" w:type="dxa"/>
            <w:vMerge w:val="restart"/>
          </w:tcPr>
          <w:p w14:paraId="11B98D5A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 without SMI</w:t>
            </w:r>
          </w:p>
        </w:tc>
        <w:tc>
          <w:tcPr>
            <w:tcW w:w="2574" w:type="dxa"/>
            <w:gridSpan w:val="3"/>
          </w:tcPr>
          <w:p w14:paraId="16707DC7" w14:textId="67E1F0E9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Number of 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FP 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visits/year*</w:t>
            </w:r>
          </w:p>
        </w:tc>
        <w:tc>
          <w:tcPr>
            <w:tcW w:w="2199" w:type="dxa"/>
            <w:gridSpan w:val="2"/>
          </w:tcPr>
          <w:p w14:paraId="74960B17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43" w:type="dxa"/>
          </w:tcPr>
          <w:p w14:paraId="3B345C5B" w14:textId="77777777" w:rsidR="005C14EA" w:rsidRPr="00EE67A9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C14EA" w:rsidRPr="00CA114B" w14:paraId="7390E37F" w14:textId="77777777" w:rsidTr="00B776DB">
        <w:tc>
          <w:tcPr>
            <w:tcW w:w="2046" w:type="dxa"/>
            <w:vMerge/>
          </w:tcPr>
          <w:p w14:paraId="26B23A18" w14:textId="77777777" w:rsidR="005C14EA" w:rsidRPr="00EE67A9" w:rsidRDefault="005C14EA" w:rsidP="00B776DB">
            <w:pPr>
              <w:pStyle w:val="Tekstzonderopmaak"/>
              <w:ind w:left="7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74" w:type="dxa"/>
            <w:gridSpan w:val="3"/>
          </w:tcPr>
          <w:p w14:paraId="1E6B8203" w14:textId="77777777" w:rsidR="005C14EA" w:rsidRPr="00CA114B" w:rsidRDefault="005C14EA" w:rsidP="00B776DB">
            <w:pPr>
              <w:pStyle w:val="Tekstzonderopmaak"/>
              <w:ind w:left="70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&gt;10</w:t>
            </w:r>
          </w:p>
        </w:tc>
        <w:tc>
          <w:tcPr>
            <w:tcW w:w="2199" w:type="dxa"/>
            <w:gridSpan w:val="2"/>
          </w:tcPr>
          <w:p w14:paraId="1D677805" w14:textId="77777777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1.89</w:t>
            </w:r>
          </w:p>
        </w:tc>
        <w:tc>
          <w:tcPr>
            <w:tcW w:w="2243" w:type="dxa"/>
          </w:tcPr>
          <w:p w14:paraId="257423DF" w14:textId="557416D8" w:rsidR="005C14EA" w:rsidRPr="00CA114B" w:rsidRDefault="005C14EA" w:rsidP="00B776DB">
            <w:pPr>
              <w:pStyle w:val="Tekstzonderopmaa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1.07</w:t>
            </w:r>
            <w:r w:rsidR="00343F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CA1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3.37</w:t>
            </w:r>
          </w:p>
        </w:tc>
      </w:tr>
    </w:tbl>
    <w:p w14:paraId="187475E7" w14:textId="6E00305B" w:rsidR="005C14EA" w:rsidRPr="00BB2660" w:rsidRDefault="005C14EA" w:rsidP="005C14EA">
      <w:pPr>
        <w:pStyle w:val="Geenafstand"/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 xml:space="preserve">Cardiovascular risk screening was considered to be </w:t>
      </w:r>
      <w:r w:rsidR="00343FC8" w:rsidRPr="00BB2660">
        <w:rPr>
          <w:rFonts w:cstheme="minorHAnsi"/>
          <w:lang w:val="en-US"/>
        </w:rPr>
        <w:t xml:space="preserve">adequately </w:t>
      </w:r>
      <w:r w:rsidRPr="00BB2660">
        <w:rPr>
          <w:rFonts w:cstheme="minorHAnsi"/>
          <w:lang w:val="en-US"/>
        </w:rPr>
        <w:t>performed if the assessment included at least BMI, smoking status</w:t>
      </w:r>
      <w:r w:rsidR="00343FC8" w:rsidRPr="00BB2660">
        <w:rPr>
          <w:rFonts w:cstheme="minorHAnsi"/>
          <w:lang w:val="en-US"/>
        </w:rPr>
        <w:t>,</w:t>
      </w:r>
      <w:r w:rsidRPr="00BB2660">
        <w:rPr>
          <w:rFonts w:cstheme="minorHAnsi"/>
          <w:lang w:val="en-US"/>
        </w:rPr>
        <w:t xml:space="preserve"> and blood pressure</w:t>
      </w:r>
      <w:r w:rsidR="00343FC8" w:rsidRPr="00BB2660">
        <w:rPr>
          <w:rFonts w:cstheme="minorHAnsi"/>
          <w:lang w:val="en-US"/>
        </w:rPr>
        <w:t>.</w:t>
      </w:r>
    </w:p>
    <w:p w14:paraId="46DBCEA6" w14:textId="619D497D" w:rsidR="005C14EA" w:rsidRPr="00BB2660" w:rsidRDefault="005C14EA" w:rsidP="005C14EA">
      <w:pPr>
        <w:pStyle w:val="Geenafstand"/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 xml:space="preserve">All significant variables identified </w:t>
      </w:r>
      <w:r w:rsidR="00F372CF" w:rsidRPr="00BB2660">
        <w:rPr>
          <w:rFonts w:cstheme="minorHAnsi"/>
          <w:lang w:val="en-US"/>
        </w:rPr>
        <w:t>using the</w:t>
      </w:r>
      <w:r w:rsidRPr="00BB2660">
        <w:rPr>
          <w:rFonts w:cstheme="minorHAnsi"/>
          <w:lang w:val="en-US"/>
        </w:rPr>
        <w:t xml:space="preserve"> logistic regression analysis (p</w:t>
      </w:r>
      <w:r w:rsidR="00343FC8" w:rsidRPr="00BB2660">
        <w:rPr>
          <w:rFonts w:cstheme="minorHAnsi"/>
          <w:lang w:val="en-US"/>
        </w:rPr>
        <w:t xml:space="preserve"> </w:t>
      </w:r>
      <w:r w:rsidRPr="00BB2660">
        <w:rPr>
          <w:rFonts w:cstheme="minorHAnsi"/>
          <w:lang w:val="en-US"/>
        </w:rPr>
        <w:t>&lt;</w:t>
      </w:r>
      <w:r w:rsidR="00343FC8" w:rsidRPr="00BB2660">
        <w:rPr>
          <w:rFonts w:cstheme="minorHAnsi"/>
          <w:lang w:val="en-US"/>
        </w:rPr>
        <w:t xml:space="preserve"> </w:t>
      </w:r>
      <w:r w:rsidRPr="00BB2660">
        <w:rPr>
          <w:rFonts w:cstheme="minorHAnsi"/>
          <w:lang w:val="en-US"/>
        </w:rPr>
        <w:t xml:space="preserve">0.05) were included in this backwards stepwise regression procedure. </w:t>
      </w:r>
    </w:p>
    <w:p w14:paraId="799384D4" w14:textId="6A192543" w:rsidR="005C14EA" w:rsidRPr="00BB2660" w:rsidRDefault="005C14EA" w:rsidP="005C14EA">
      <w:pPr>
        <w:pStyle w:val="Geenafstand"/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 xml:space="preserve">*Reference is 0 </w:t>
      </w:r>
      <w:r w:rsidR="00343FC8" w:rsidRPr="00BB2660">
        <w:rPr>
          <w:rFonts w:cstheme="minorHAnsi"/>
          <w:lang w:val="en-US"/>
        </w:rPr>
        <w:t xml:space="preserve">FP </w:t>
      </w:r>
      <w:r w:rsidRPr="00BB2660">
        <w:rPr>
          <w:rFonts w:cstheme="minorHAnsi"/>
          <w:lang w:val="en-US"/>
        </w:rPr>
        <w:t xml:space="preserve">visits/year </w:t>
      </w:r>
    </w:p>
    <w:p w14:paraId="2B5BA0A5" w14:textId="03559652" w:rsidR="005C14EA" w:rsidRPr="00BB2660" w:rsidRDefault="005C14EA" w:rsidP="005C14EA">
      <w:pPr>
        <w:pStyle w:val="Geenafstand"/>
        <w:rPr>
          <w:rFonts w:cstheme="minorHAnsi"/>
          <w:lang w:val="en-US"/>
        </w:rPr>
      </w:pPr>
      <w:r w:rsidRPr="00BB2660">
        <w:rPr>
          <w:rFonts w:cstheme="minorHAnsi"/>
          <w:lang w:val="en-US"/>
        </w:rPr>
        <w:t>OR</w:t>
      </w:r>
      <w:r w:rsidR="00343FC8" w:rsidRPr="00BB2660">
        <w:rPr>
          <w:rFonts w:cstheme="minorHAnsi"/>
          <w:lang w:val="en-US"/>
        </w:rPr>
        <w:t>: o</w:t>
      </w:r>
      <w:r w:rsidRPr="00BB2660">
        <w:rPr>
          <w:rFonts w:cstheme="minorHAnsi"/>
          <w:lang w:val="en-US"/>
        </w:rPr>
        <w:t xml:space="preserve">dds </w:t>
      </w:r>
      <w:r w:rsidR="00343FC8" w:rsidRPr="00BB2660">
        <w:rPr>
          <w:rFonts w:cstheme="minorHAnsi"/>
          <w:lang w:val="en-US"/>
        </w:rPr>
        <w:t>r</w:t>
      </w:r>
      <w:r w:rsidRPr="00BB2660">
        <w:rPr>
          <w:rFonts w:cstheme="minorHAnsi"/>
          <w:lang w:val="en-US"/>
        </w:rPr>
        <w:t>atio</w:t>
      </w:r>
      <w:r w:rsidR="00343FC8" w:rsidRPr="00BB2660">
        <w:rPr>
          <w:rFonts w:cstheme="minorHAnsi"/>
          <w:lang w:val="en-US"/>
        </w:rPr>
        <w:t>;</w:t>
      </w:r>
      <w:r w:rsidRPr="00BB2660">
        <w:rPr>
          <w:rFonts w:cstheme="minorHAnsi"/>
          <w:lang w:val="en-US"/>
        </w:rPr>
        <w:t xml:space="preserve"> CI</w:t>
      </w:r>
      <w:r w:rsidR="00343FC8" w:rsidRPr="00BB2660">
        <w:rPr>
          <w:rFonts w:cstheme="minorHAnsi"/>
          <w:lang w:val="en-US"/>
        </w:rPr>
        <w:t>: c</w:t>
      </w:r>
      <w:r w:rsidRPr="00BB2660">
        <w:rPr>
          <w:rFonts w:cstheme="minorHAnsi"/>
          <w:lang w:val="en-US"/>
        </w:rPr>
        <w:t xml:space="preserve">onfidence </w:t>
      </w:r>
      <w:r w:rsidR="00343FC8" w:rsidRPr="00BB2660">
        <w:rPr>
          <w:rFonts w:cstheme="minorHAnsi"/>
          <w:lang w:val="en-US"/>
        </w:rPr>
        <w:t>i</w:t>
      </w:r>
      <w:r w:rsidRPr="00BB2660">
        <w:rPr>
          <w:rFonts w:cstheme="minorHAnsi"/>
          <w:lang w:val="en-US"/>
        </w:rPr>
        <w:t>nterval</w:t>
      </w:r>
      <w:r w:rsidR="00343FC8" w:rsidRPr="00BB2660">
        <w:rPr>
          <w:rFonts w:cstheme="minorHAnsi"/>
          <w:lang w:val="en-US"/>
        </w:rPr>
        <w:t>;</w:t>
      </w:r>
      <w:r w:rsidRPr="00BB2660">
        <w:rPr>
          <w:rFonts w:cstheme="minorHAnsi"/>
          <w:lang w:val="en-US"/>
        </w:rPr>
        <w:t xml:space="preserve"> AP</w:t>
      </w:r>
      <w:r w:rsidR="00343FC8" w:rsidRPr="00BB2660">
        <w:rPr>
          <w:rFonts w:cstheme="minorHAnsi"/>
          <w:lang w:val="en-US"/>
        </w:rPr>
        <w:t xml:space="preserve">: </w:t>
      </w:r>
      <w:r w:rsidRPr="00BB2660">
        <w:rPr>
          <w:rFonts w:cstheme="minorHAnsi"/>
          <w:lang w:val="en-US"/>
        </w:rPr>
        <w:t>antipsychotics</w:t>
      </w:r>
      <w:r w:rsidR="00343FC8" w:rsidRPr="00BB2660">
        <w:rPr>
          <w:rFonts w:cstheme="minorHAnsi"/>
          <w:lang w:val="en-US"/>
        </w:rPr>
        <w:t>;</w:t>
      </w:r>
      <w:r w:rsidRPr="00BB2660">
        <w:rPr>
          <w:rFonts w:cstheme="minorHAnsi"/>
          <w:lang w:val="en-US"/>
        </w:rPr>
        <w:t xml:space="preserve"> COPD</w:t>
      </w:r>
      <w:r w:rsidR="00343FC8" w:rsidRPr="00BB2660">
        <w:rPr>
          <w:rFonts w:cstheme="minorHAnsi"/>
          <w:lang w:val="en-US"/>
        </w:rPr>
        <w:t>: c</w:t>
      </w:r>
      <w:r w:rsidRPr="00BB2660">
        <w:rPr>
          <w:rFonts w:cstheme="minorHAnsi"/>
          <w:lang w:val="en-US"/>
        </w:rPr>
        <w:t xml:space="preserve">hronic </w:t>
      </w:r>
      <w:r w:rsidR="00343FC8" w:rsidRPr="00BB2660">
        <w:rPr>
          <w:rFonts w:cstheme="minorHAnsi"/>
          <w:lang w:val="en-US"/>
        </w:rPr>
        <w:t>o</w:t>
      </w:r>
      <w:r w:rsidRPr="00BB2660">
        <w:rPr>
          <w:rFonts w:cstheme="minorHAnsi"/>
          <w:lang w:val="en-US"/>
        </w:rPr>
        <w:t xml:space="preserve">bstructive </w:t>
      </w:r>
      <w:r w:rsidR="00343FC8" w:rsidRPr="00BB2660">
        <w:rPr>
          <w:rFonts w:cstheme="minorHAnsi"/>
          <w:lang w:val="en-US"/>
        </w:rPr>
        <w:t>p</w:t>
      </w:r>
      <w:r w:rsidRPr="00BB2660">
        <w:rPr>
          <w:rFonts w:cstheme="minorHAnsi"/>
          <w:lang w:val="en-US"/>
        </w:rPr>
        <w:t xml:space="preserve">ulmonary </w:t>
      </w:r>
      <w:r w:rsidR="00343FC8" w:rsidRPr="00BB2660">
        <w:rPr>
          <w:rFonts w:cstheme="minorHAnsi"/>
          <w:lang w:val="en-US"/>
        </w:rPr>
        <w:t>d</w:t>
      </w:r>
      <w:r w:rsidRPr="00BB2660">
        <w:rPr>
          <w:rFonts w:cstheme="minorHAnsi"/>
          <w:lang w:val="en-US"/>
        </w:rPr>
        <w:t>isease.</w:t>
      </w:r>
    </w:p>
    <w:p w14:paraId="752E9582" w14:textId="77777777" w:rsidR="005C14EA" w:rsidRPr="00BB2660" w:rsidRDefault="005C14EA" w:rsidP="005C14EA">
      <w:pPr>
        <w:pStyle w:val="Tekstzonderopmaak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C95F5A3" w14:textId="1226D9BF" w:rsidR="00343FC8" w:rsidRPr="00BB2660" w:rsidRDefault="00343FC8" w:rsidP="005C14EA">
      <w:pPr>
        <w:pStyle w:val="Tekstzonderopmaak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777C1FC4" w14:textId="77777777" w:rsidR="00343FC8" w:rsidRPr="00BB2660" w:rsidRDefault="00343FC8" w:rsidP="005C14EA">
      <w:pPr>
        <w:pStyle w:val="Tekstzonderopmaak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172A8594" w14:textId="302F6D9F" w:rsidR="00FE2896" w:rsidRPr="00CA114B" w:rsidRDefault="005C14EA" w:rsidP="005C14EA">
      <w:pPr>
        <w:pStyle w:val="Tekstzonderopmaak"/>
        <w:pBdr>
          <w:bottom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n-US"/>
        </w:rPr>
      </w:pP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ORs of the factors age, COPD, and 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&gt;10 FP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visits/year </w:t>
      </w:r>
      <w:r w:rsidR="00F372CF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shown in Table 3 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are comparable with </w:t>
      </w:r>
      <w:r w:rsidR="00837AF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those in 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</w:t>
      </w:r>
      <w:r w:rsidR="00837AF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able 3 of 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main article (respectively</w:t>
      </w:r>
      <w:r w:rsidR="00343FC8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1.05; 2.8; 2.24).</w:t>
      </w:r>
      <w:r w:rsidR="00F372CF" w:rsidRPr="00BB266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This suggests that it is valid to combine the patients with SMI group with the patients using AP without SMI. </w:t>
      </w:r>
    </w:p>
    <w:sectPr w:rsidR="00FE2896" w:rsidRPr="00CA114B" w:rsidSect="00B238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2467" w14:textId="77777777" w:rsidR="00543F97" w:rsidRDefault="00543F97">
      <w:pPr>
        <w:spacing w:after="0" w:line="240" w:lineRule="auto"/>
      </w:pPr>
      <w:r>
        <w:separator/>
      </w:r>
    </w:p>
  </w:endnote>
  <w:endnote w:type="continuationSeparator" w:id="0">
    <w:p w14:paraId="4F98AF72" w14:textId="77777777" w:rsidR="00543F97" w:rsidRDefault="0054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110690"/>
      <w:docPartObj>
        <w:docPartGallery w:val="Page Numbers (Bottom of Page)"/>
        <w:docPartUnique/>
      </w:docPartObj>
    </w:sdtPr>
    <w:sdtEndPr/>
    <w:sdtContent>
      <w:p w14:paraId="2C2DB389" w14:textId="77777777" w:rsidR="008F75AB" w:rsidRDefault="000D574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4D4790" w14:textId="77777777" w:rsidR="008F75AB" w:rsidRDefault="009541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EDE8" w14:textId="77777777" w:rsidR="00543F97" w:rsidRDefault="00543F97">
      <w:pPr>
        <w:spacing w:after="0" w:line="240" w:lineRule="auto"/>
      </w:pPr>
      <w:r>
        <w:separator/>
      </w:r>
    </w:p>
  </w:footnote>
  <w:footnote w:type="continuationSeparator" w:id="0">
    <w:p w14:paraId="0094DF51" w14:textId="77777777" w:rsidR="00543F97" w:rsidRDefault="0054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EA"/>
    <w:rsid w:val="00010D1C"/>
    <w:rsid w:val="000117C4"/>
    <w:rsid w:val="00040E09"/>
    <w:rsid w:val="000D574B"/>
    <w:rsid w:val="001879E5"/>
    <w:rsid w:val="001A31B2"/>
    <w:rsid w:val="001E1959"/>
    <w:rsid w:val="00221896"/>
    <w:rsid w:val="002E491C"/>
    <w:rsid w:val="00304E88"/>
    <w:rsid w:val="00332312"/>
    <w:rsid w:val="00343FC8"/>
    <w:rsid w:val="00365C39"/>
    <w:rsid w:val="00370A43"/>
    <w:rsid w:val="003C484C"/>
    <w:rsid w:val="003F7342"/>
    <w:rsid w:val="004121CB"/>
    <w:rsid w:val="00420F05"/>
    <w:rsid w:val="004916BC"/>
    <w:rsid w:val="004B44C5"/>
    <w:rsid w:val="004E67F6"/>
    <w:rsid w:val="004F61A2"/>
    <w:rsid w:val="00543F97"/>
    <w:rsid w:val="005525AE"/>
    <w:rsid w:val="00583D0D"/>
    <w:rsid w:val="005C14EA"/>
    <w:rsid w:val="00675F4E"/>
    <w:rsid w:val="006B2565"/>
    <w:rsid w:val="007B0445"/>
    <w:rsid w:val="00806FD9"/>
    <w:rsid w:val="00816440"/>
    <w:rsid w:val="00822958"/>
    <w:rsid w:val="00837934"/>
    <w:rsid w:val="00837AF8"/>
    <w:rsid w:val="008A5E5D"/>
    <w:rsid w:val="008C4551"/>
    <w:rsid w:val="008D7E94"/>
    <w:rsid w:val="009159A9"/>
    <w:rsid w:val="00946B98"/>
    <w:rsid w:val="009541ED"/>
    <w:rsid w:val="009A4E6D"/>
    <w:rsid w:val="009C0B5F"/>
    <w:rsid w:val="009C33CC"/>
    <w:rsid w:val="009C3A5B"/>
    <w:rsid w:val="00AF3F88"/>
    <w:rsid w:val="00B2385D"/>
    <w:rsid w:val="00B62A70"/>
    <w:rsid w:val="00BB2660"/>
    <w:rsid w:val="00C06C88"/>
    <w:rsid w:val="00CA114B"/>
    <w:rsid w:val="00CC3425"/>
    <w:rsid w:val="00CE1711"/>
    <w:rsid w:val="00D52AC7"/>
    <w:rsid w:val="00DA5A50"/>
    <w:rsid w:val="00DE73F2"/>
    <w:rsid w:val="00DF11BD"/>
    <w:rsid w:val="00E1121A"/>
    <w:rsid w:val="00E37630"/>
    <w:rsid w:val="00E636EE"/>
    <w:rsid w:val="00EA76D5"/>
    <w:rsid w:val="00EE4078"/>
    <w:rsid w:val="00EE67A9"/>
    <w:rsid w:val="00F20CAB"/>
    <w:rsid w:val="00F372CF"/>
    <w:rsid w:val="00F75644"/>
    <w:rsid w:val="00F91D99"/>
    <w:rsid w:val="00FC00D2"/>
    <w:rsid w:val="00FC31C6"/>
    <w:rsid w:val="00FE2896"/>
    <w:rsid w:val="00FE2B57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E238"/>
  <w15:chartTrackingRefBased/>
  <w15:docId w15:val="{D3E320A7-8FD0-43A8-B62C-DC6714A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14E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C455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55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5C14E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C14EA"/>
    <w:rPr>
      <w:rFonts w:ascii="Courier New" w:eastAsia="Times New Roman" w:hAnsi="Courier New" w:cs="Courier New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5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5C14EA"/>
  </w:style>
  <w:style w:type="paragraph" w:styleId="Voettekst">
    <w:name w:val="footer"/>
    <w:basedOn w:val="Standaard"/>
    <w:link w:val="VoettekstChar"/>
    <w:uiPriority w:val="99"/>
    <w:unhideWhenUsed/>
    <w:rsid w:val="005C14E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14EA"/>
    <w:rPr>
      <w:rFonts w:eastAsiaTheme="minorEastAsia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5C14EA"/>
  </w:style>
  <w:style w:type="character" w:styleId="Verwijzingopmerking">
    <w:name w:val="annotation reference"/>
    <w:basedOn w:val="Standaardalinea-lettertype"/>
    <w:uiPriority w:val="99"/>
    <w:semiHidden/>
    <w:unhideWhenUsed/>
    <w:rsid w:val="00304E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4E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4E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4E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4E8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04E8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0" ma:contentTypeDescription="Een nieuw document maken." ma:contentTypeScope="" ma:versionID="99c9da60e1ee365d45837da1010467a9">
  <xsd:schema xmlns:xsd="http://www.w3.org/2001/XMLSchema" xmlns:xs="http://www.w3.org/2001/XMLSchema" xmlns:p="http://schemas.microsoft.com/office/2006/metadata/properties" xmlns:ns2="f48fc39d-ed12-49fb-b4c5-5344d6d20132" xmlns:ns3="9ac4379d-c372-4dcf-b319-71c37ab0c441" targetNamespace="http://schemas.microsoft.com/office/2006/metadata/properties" ma:root="true" ma:fieldsID="f940c89c06d9beb44028924db257e535" ns2:_="" ns3:_="">
    <xsd:import namespace="f48fc39d-ed12-49fb-b4c5-5344d6d20132"/>
    <xsd:import namespace="9ac4379d-c372-4dcf-b319-71c37ab0c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FC6B-E6CC-490C-9C5D-D192DFD6D20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8fc39d-ed12-49fb-b4c5-5344d6d20132"/>
    <ds:schemaRef ds:uri="http://schemas.microsoft.com/office/infopath/2007/PartnerControls"/>
    <ds:schemaRef ds:uri="http://purl.org/dc/elements/1.1/"/>
    <ds:schemaRef ds:uri="9ac4379d-c372-4dcf-b319-71c37ab0c44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550F8D-D60D-4787-8BE3-1E433546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4D57E-D096-4B0B-85CD-50B98A233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39d-ed12-49fb-b4c5-5344d6d20132"/>
    <ds:schemaRef ds:uri="9ac4379d-c372-4dcf-b319-71c37ab0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Biermans, Marion</dc:creator>
  <cp:keywords/>
  <dc:description/>
  <cp:lastModifiedBy>Jakobs, Kirsti</cp:lastModifiedBy>
  <cp:revision>4</cp:revision>
  <dcterms:created xsi:type="dcterms:W3CDTF">2019-12-03T16:36:00Z</dcterms:created>
  <dcterms:modified xsi:type="dcterms:W3CDTF">2019-12-03T16:37:00Z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</Properties>
</file>