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6D2AB" w14:textId="62E4D6EF" w:rsidR="00F636FC" w:rsidRDefault="00F636FC" w:rsidP="00F636FC">
      <w:pPr>
        <w:rPr>
          <w:b/>
          <w:sz w:val="28"/>
          <w:szCs w:val="28"/>
          <w:lang w:val="en-US"/>
        </w:rPr>
      </w:pPr>
      <w:bookmarkStart w:id="0" w:name="_GoBack"/>
      <w:bookmarkEnd w:id="0"/>
      <w:r>
        <w:rPr>
          <w:b/>
          <w:sz w:val="28"/>
          <w:szCs w:val="28"/>
          <w:lang w:val="en-US"/>
        </w:rPr>
        <w:t>Supplement</w:t>
      </w:r>
    </w:p>
    <w:p w14:paraId="26F7889C" w14:textId="77777777" w:rsidR="00CD6BC6" w:rsidRPr="00CD6BC6" w:rsidRDefault="00CD6BC6" w:rsidP="00CD6BC6">
      <w:pPr>
        <w:spacing w:line="256" w:lineRule="auto"/>
        <w:rPr>
          <w:rFonts w:ascii="Calibri" w:eastAsia="Calibri" w:hAnsi="Calibri" w:cs="Times New Roman"/>
          <w:b/>
          <w:sz w:val="28"/>
          <w:szCs w:val="28"/>
          <w:lang w:val="en-US"/>
        </w:rPr>
      </w:pPr>
      <w:r w:rsidRPr="00CD6BC6">
        <w:rPr>
          <w:rFonts w:ascii="Calibri" w:eastAsia="Calibri" w:hAnsi="Calibri" w:cs="Times New Roman"/>
          <w:b/>
          <w:sz w:val="28"/>
          <w:szCs w:val="28"/>
          <w:lang w:val="en-US"/>
        </w:rPr>
        <w:t xml:space="preserve">mTOR inhibitor treats autistic-like behaviors in </w:t>
      </w:r>
      <w:r w:rsidRPr="00CD6BC6">
        <w:rPr>
          <w:rFonts w:ascii="Calibri" w:eastAsia="Calibri" w:hAnsi="Calibri" w:cs="Times New Roman"/>
          <w:b/>
          <w:i/>
          <w:sz w:val="28"/>
          <w:szCs w:val="28"/>
          <w:lang w:val="en-US"/>
        </w:rPr>
        <w:t>Tsc2</w:t>
      </w:r>
      <w:r w:rsidRPr="00CD6BC6">
        <w:rPr>
          <w:rFonts w:ascii="Calibri" w:eastAsia="Calibri" w:hAnsi="Calibri" w:cs="Times New Roman"/>
          <w:b/>
          <w:sz w:val="28"/>
          <w:szCs w:val="28"/>
          <w:lang w:val="en-US"/>
        </w:rPr>
        <w:t xml:space="preserve">+/- rats but not following developmental status epilepticus </w:t>
      </w:r>
    </w:p>
    <w:p w14:paraId="01409A6C" w14:textId="77777777" w:rsidR="00CD6BC6" w:rsidRPr="00CD6BC6" w:rsidRDefault="00CD6BC6" w:rsidP="00CD6BC6">
      <w:pPr>
        <w:spacing w:line="256" w:lineRule="auto"/>
        <w:rPr>
          <w:rFonts w:ascii="Calibri" w:eastAsia="Calibri" w:hAnsi="Calibri" w:cs="Times New Roman"/>
          <w:lang w:val="en-US"/>
        </w:rPr>
      </w:pPr>
    </w:p>
    <w:p w14:paraId="7E5E897E" w14:textId="77777777" w:rsidR="00C73A16" w:rsidRPr="00C73A16" w:rsidRDefault="00C73A16" w:rsidP="00C73A16">
      <w:pPr>
        <w:rPr>
          <w:rFonts w:ascii="Calibri" w:eastAsia="Calibri" w:hAnsi="Calibri" w:cs="Times New Roman"/>
          <w:lang w:val="en-US"/>
        </w:rPr>
      </w:pPr>
      <w:r w:rsidRPr="00C73A16">
        <w:rPr>
          <w:rFonts w:ascii="Calibri" w:eastAsia="Calibri" w:hAnsi="Calibri" w:cs="Times New Roman"/>
          <w:lang w:val="en-US"/>
        </w:rPr>
        <w:t>Tomas Petrasek</w:t>
      </w:r>
      <w:r w:rsidRPr="00C73A16">
        <w:rPr>
          <w:rFonts w:ascii="Calibri" w:eastAsia="Calibri" w:hAnsi="Calibri" w:cs="Times New Roman"/>
          <w:vertAlign w:val="superscript"/>
          <w:lang w:val="en-US"/>
        </w:rPr>
        <w:t>1</w:t>
      </w:r>
      <w:r w:rsidRPr="00C73A16">
        <w:rPr>
          <w:rFonts w:ascii="Calibri" w:eastAsia="Calibri" w:hAnsi="Calibri" w:cs="Times New Roman"/>
          <w:lang w:val="en-US"/>
        </w:rPr>
        <w:t>, Iveta Vojtechova</w:t>
      </w:r>
      <w:r w:rsidRPr="00C73A16">
        <w:rPr>
          <w:rFonts w:ascii="Calibri" w:eastAsia="Calibri" w:hAnsi="Calibri" w:cs="Times New Roman"/>
          <w:vertAlign w:val="superscript"/>
          <w:lang w:val="en-US"/>
        </w:rPr>
        <w:t>1,2</w:t>
      </w:r>
      <w:r w:rsidRPr="00C73A16">
        <w:rPr>
          <w:rFonts w:ascii="Calibri" w:eastAsia="Calibri" w:hAnsi="Calibri" w:cs="Times New Roman"/>
          <w:lang w:val="en-US"/>
        </w:rPr>
        <w:t>, Ondrej Klovrza</w:t>
      </w:r>
      <w:r w:rsidRPr="00C73A16">
        <w:rPr>
          <w:rFonts w:ascii="Calibri" w:eastAsia="Calibri" w:hAnsi="Calibri" w:cs="Times New Roman"/>
          <w:vertAlign w:val="superscript"/>
          <w:lang w:val="en-US"/>
        </w:rPr>
        <w:t>1,3</w:t>
      </w:r>
      <w:r w:rsidRPr="00C73A16">
        <w:rPr>
          <w:rFonts w:ascii="Calibri" w:eastAsia="Calibri" w:hAnsi="Calibri" w:cs="Times New Roman"/>
          <w:lang w:val="en-US"/>
        </w:rPr>
        <w:t>, Klara Tuckova</w:t>
      </w:r>
      <w:r w:rsidRPr="00C73A16">
        <w:rPr>
          <w:rFonts w:ascii="Calibri" w:eastAsia="Calibri" w:hAnsi="Calibri" w:cs="Times New Roman"/>
          <w:vertAlign w:val="superscript"/>
          <w:lang w:val="en-US"/>
        </w:rPr>
        <w:t>1,4</w:t>
      </w:r>
      <w:r w:rsidRPr="00C73A16">
        <w:rPr>
          <w:rFonts w:ascii="Calibri" w:eastAsia="Calibri" w:hAnsi="Calibri" w:cs="Times New Roman"/>
          <w:lang w:val="en-US"/>
        </w:rPr>
        <w:t>, Cestmir Vejmola</w:t>
      </w:r>
      <w:r w:rsidRPr="00C73A16">
        <w:rPr>
          <w:rFonts w:ascii="Calibri" w:eastAsia="Calibri" w:hAnsi="Calibri" w:cs="Times New Roman"/>
          <w:vertAlign w:val="superscript"/>
          <w:lang w:val="en-US"/>
        </w:rPr>
        <w:t>1</w:t>
      </w:r>
      <w:r w:rsidRPr="00C73A16">
        <w:rPr>
          <w:rFonts w:ascii="Calibri" w:eastAsia="Calibri" w:hAnsi="Calibri" w:cs="Times New Roman"/>
          <w:lang w:val="en-US"/>
        </w:rPr>
        <w:t>, Jakub Rak</w:t>
      </w:r>
      <w:r w:rsidRPr="00C73A16">
        <w:rPr>
          <w:rFonts w:ascii="Calibri" w:eastAsia="Calibri" w:hAnsi="Calibri" w:cs="Times New Roman"/>
          <w:vertAlign w:val="superscript"/>
          <w:lang w:val="en-US"/>
        </w:rPr>
        <w:t>1</w:t>
      </w:r>
      <w:r w:rsidRPr="00C73A16">
        <w:rPr>
          <w:rFonts w:ascii="Calibri" w:eastAsia="Calibri" w:hAnsi="Calibri" w:cs="Times New Roman"/>
          <w:lang w:val="en-US"/>
        </w:rPr>
        <w:t>, Anna Sulakova</w:t>
      </w:r>
      <w:r w:rsidRPr="00C73A16">
        <w:rPr>
          <w:rFonts w:ascii="Calibri" w:eastAsia="Calibri" w:hAnsi="Calibri" w:cs="Times New Roman"/>
          <w:vertAlign w:val="superscript"/>
          <w:lang w:val="en-US"/>
        </w:rPr>
        <w:t>1</w:t>
      </w:r>
      <w:r w:rsidRPr="00C73A16">
        <w:rPr>
          <w:rFonts w:ascii="Calibri" w:eastAsia="Calibri" w:hAnsi="Calibri" w:cs="Times New Roman"/>
          <w:lang w:val="en-US"/>
        </w:rPr>
        <w:t>, Daniel Kaping</w:t>
      </w:r>
      <w:r w:rsidRPr="00C73A16">
        <w:rPr>
          <w:rFonts w:ascii="Calibri" w:eastAsia="Calibri" w:hAnsi="Calibri" w:cs="Times New Roman"/>
          <w:vertAlign w:val="superscript"/>
          <w:lang w:val="en-US"/>
        </w:rPr>
        <w:t>1</w:t>
      </w:r>
      <w:r w:rsidRPr="00C73A16">
        <w:rPr>
          <w:rFonts w:ascii="Calibri" w:eastAsia="Calibri" w:hAnsi="Calibri" w:cs="Times New Roman"/>
          <w:lang w:val="en-US"/>
        </w:rPr>
        <w:t>, Nadine Bernhardt</w:t>
      </w:r>
      <w:r w:rsidRPr="00C73A16">
        <w:rPr>
          <w:rFonts w:ascii="Calibri" w:eastAsia="Calibri" w:hAnsi="Calibri" w:cs="Times New Roman"/>
          <w:vertAlign w:val="superscript"/>
          <w:lang w:val="en-US"/>
        </w:rPr>
        <w:t>5</w:t>
      </w:r>
      <w:r w:rsidRPr="00C73A16">
        <w:rPr>
          <w:rFonts w:ascii="Calibri" w:eastAsia="Calibri" w:hAnsi="Calibri" w:cs="Times New Roman"/>
          <w:lang w:val="en-US"/>
        </w:rPr>
        <w:t>, Petrus J de Vries</w:t>
      </w:r>
      <w:r w:rsidRPr="00C73A16">
        <w:rPr>
          <w:rFonts w:ascii="Calibri" w:eastAsia="Calibri" w:hAnsi="Calibri" w:cs="Times New Roman"/>
          <w:vertAlign w:val="superscript"/>
          <w:lang w:val="en-US"/>
        </w:rPr>
        <w:t>6</w:t>
      </w:r>
      <w:r w:rsidRPr="00C73A16">
        <w:rPr>
          <w:rFonts w:ascii="Calibri" w:eastAsia="Calibri" w:hAnsi="Calibri" w:cs="Times New Roman"/>
          <w:lang w:val="en-US"/>
        </w:rPr>
        <w:t>, Jakub Otahal</w:t>
      </w:r>
      <w:r w:rsidRPr="00C73A16">
        <w:rPr>
          <w:rFonts w:ascii="Calibri" w:eastAsia="Calibri" w:hAnsi="Calibri" w:cs="Times New Roman"/>
          <w:vertAlign w:val="superscript"/>
          <w:lang w:val="en-US"/>
        </w:rPr>
        <w:t>7</w:t>
      </w:r>
      <w:r w:rsidRPr="00C73A16">
        <w:rPr>
          <w:rFonts w:ascii="Calibri" w:eastAsia="Calibri" w:hAnsi="Calibri" w:cs="Times New Roman"/>
          <w:lang w:val="en-US"/>
        </w:rPr>
        <w:t>, Robert Waltereit</w:t>
      </w:r>
      <w:r w:rsidRPr="00C73A16">
        <w:rPr>
          <w:rFonts w:ascii="Calibri" w:eastAsia="Calibri" w:hAnsi="Calibri" w:cs="Times New Roman"/>
          <w:vertAlign w:val="superscript"/>
          <w:lang w:val="en-US"/>
        </w:rPr>
        <w:t>8,9</w:t>
      </w:r>
    </w:p>
    <w:p w14:paraId="0BCD92AC" w14:textId="77777777" w:rsidR="00C73A16" w:rsidRPr="00C73A16" w:rsidRDefault="00C73A16" w:rsidP="00C73A16">
      <w:pPr>
        <w:spacing w:after="0" w:line="240" w:lineRule="auto"/>
        <w:rPr>
          <w:rFonts w:ascii="Calibri" w:eastAsia="Calibri" w:hAnsi="Calibri" w:cs="Times New Roman"/>
          <w:i/>
          <w:lang w:val="en-US"/>
        </w:rPr>
      </w:pPr>
      <w:r w:rsidRPr="00C73A16">
        <w:rPr>
          <w:rFonts w:ascii="Calibri" w:eastAsia="Calibri" w:hAnsi="Calibri" w:cs="Times New Roman"/>
          <w:i/>
          <w:vertAlign w:val="superscript"/>
          <w:lang w:val="en-US"/>
        </w:rPr>
        <w:t>1</w:t>
      </w:r>
      <w:r w:rsidRPr="00C73A16">
        <w:rPr>
          <w:rFonts w:ascii="Calibri" w:eastAsia="Calibri" w:hAnsi="Calibri" w:cs="Times New Roman"/>
          <w:i/>
          <w:lang w:val="en-US"/>
        </w:rPr>
        <w:t>National Institute of Mental Health, Klecany, Czech Republic</w:t>
      </w:r>
    </w:p>
    <w:p w14:paraId="6880998A" w14:textId="77777777" w:rsidR="00C73A16" w:rsidRPr="00C73A16" w:rsidRDefault="00C73A16" w:rsidP="00C73A16">
      <w:pPr>
        <w:spacing w:after="0" w:line="240" w:lineRule="auto"/>
        <w:rPr>
          <w:rFonts w:ascii="Calibri" w:eastAsia="Calibri" w:hAnsi="Calibri" w:cs="Times New Roman"/>
          <w:i/>
          <w:lang w:val="en-US"/>
        </w:rPr>
      </w:pPr>
      <w:r w:rsidRPr="00C73A16">
        <w:rPr>
          <w:rFonts w:ascii="Calibri" w:eastAsia="Calibri" w:hAnsi="Calibri" w:cs="Times New Roman"/>
          <w:i/>
          <w:vertAlign w:val="superscript"/>
          <w:lang w:val="en-US"/>
        </w:rPr>
        <w:t>2</w:t>
      </w:r>
      <w:r w:rsidRPr="00C73A16">
        <w:rPr>
          <w:rFonts w:ascii="Calibri" w:eastAsia="Calibri" w:hAnsi="Calibri" w:cs="Times New Roman"/>
          <w:i/>
          <w:lang w:val="en-US"/>
        </w:rPr>
        <w:t>First Faculty of Medicine, Charles University, Prague, Czech Republic</w:t>
      </w:r>
    </w:p>
    <w:p w14:paraId="288F20CC" w14:textId="77777777" w:rsidR="00C73A16" w:rsidRPr="00C73A16" w:rsidRDefault="00C73A16" w:rsidP="00C73A16">
      <w:pPr>
        <w:spacing w:after="0" w:line="240" w:lineRule="auto"/>
        <w:rPr>
          <w:rFonts w:ascii="Calibri" w:eastAsia="Calibri" w:hAnsi="Calibri" w:cs="Times New Roman"/>
          <w:i/>
          <w:lang w:val="en-US"/>
        </w:rPr>
      </w:pPr>
      <w:r w:rsidRPr="00C73A16">
        <w:rPr>
          <w:rFonts w:ascii="Calibri" w:eastAsia="Calibri" w:hAnsi="Calibri" w:cs="Times New Roman"/>
          <w:i/>
          <w:vertAlign w:val="superscript"/>
          <w:lang w:val="en-US"/>
        </w:rPr>
        <w:t>3</w:t>
      </w:r>
      <w:r w:rsidRPr="00C73A16">
        <w:rPr>
          <w:rFonts w:ascii="Calibri" w:eastAsia="Calibri" w:hAnsi="Calibri" w:cs="Times New Roman"/>
          <w:i/>
          <w:lang w:val="en-US"/>
        </w:rPr>
        <w:t>Second Faculty of Medicine, Charles University, Prague, Czech Republic</w:t>
      </w:r>
    </w:p>
    <w:p w14:paraId="15E9E789" w14:textId="77777777" w:rsidR="00C73A16" w:rsidRPr="00C73A16" w:rsidRDefault="00C73A16" w:rsidP="00C73A16">
      <w:pPr>
        <w:spacing w:after="0" w:line="240" w:lineRule="auto"/>
        <w:rPr>
          <w:rFonts w:ascii="Calibri" w:eastAsia="Calibri" w:hAnsi="Calibri" w:cs="Times New Roman"/>
          <w:i/>
          <w:lang w:val="en-US"/>
        </w:rPr>
      </w:pPr>
      <w:r w:rsidRPr="00C73A16">
        <w:rPr>
          <w:rFonts w:ascii="Calibri" w:eastAsia="Calibri" w:hAnsi="Calibri" w:cs="Times New Roman"/>
          <w:i/>
          <w:vertAlign w:val="superscript"/>
          <w:lang w:val="en-US"/>
        </w:rPr>
        <w:t>4</w:t>
      </w:r>
      <w:r w:rsidRPr="00C73A16">
        <w:rPr>
          <w:rFonts w:ascii="Calibri" w:eastAsia="Calibri" w:hAnsi="Calibri" w:cs="Times New Roman"/>
          <w:i/>
          <w:lang w:val="en-US"/>
        </w:rPr>
        <w:t xml:space="preserve">Faculty of Science, Charles University, Prague, Czech Republic </w:t>
      </w:r>
    </w:p>
    <w:p w14:paraId="496439CD" w14:textId="77777777" w:rsidR="00C73A16" w:rsidRPr="00C73A16" w:rsidRDefault="00C73A16" w:rsidP="00C73A16">
      <w:pPr>
        <w:spacing w:after="0" w:line="240" w:lineRule="auto"/>
        <w:rPr>
          <w:rFonts w:ascii="Calibri" w:eastAsia="Calibri" w:hAnsi="Calibri" w:cs="Times New Roman"/>
          <w:i/>
          <w:lang w:val="en-US"/>
        </w:rPr>
      </w:pPr>
      <w:r w:rsidRPr="00C73A16">
        <w:rPr>
          <w:rFonts w:ascii="Calibri" w:eastAsia="Calibri" w:hAnsi="Calibri" w:cs="Times New Roman"/>
          <w:i/>
          <w:vertAlign w:val="superscript"/>
          <w:lang w:val="en-US"/>
        </w:rPr>
        <w:t>5</w:t>
      </w:r>
      <w:r w:rsidRPr="00C73A16">
        <w:rPr>
          <w:rFonts w:ascii="Calibri" w:eastAsia="Calibri" w:hAnsi="Calibri" w:cs="Times New Roman"/>
          <w:i/>
          <w:lang w:val="en-US"/>
        </w:rPr>
        <w:t>Department of Psychiatry, University Hospital and Medical Faculty Carl Gustav Carus, Technical University of Dresden, Germany</w:t>
      </w:r>
    </w:p>
    <w:p w14:paraId="250A4ECE" w14:textId="77777777" w:rsidR="00C73A16" w:rsidRPr="00C73A16" w:rsidRDefault="00C73A16" w:rsidP="00C73A16">
      <w:pPr>
        <w:spacing w:after="0" w:line="240" w:lineRule="auto"/>
        <w:rPr>
          <w:rFonts w:ascii="Calibri" w:eastAsia="Calibri" w:hAnsi="Calibri" w:cs="Times New Roman"/>
          <w:i/>
          <w:lang w:val="en-US"/>
        </w:rPr>
      </w:pPr>
      <w:r w:rsidRPr="00C73A16">
        <w:rPr>
          <w:rFonts w:ascii="Calibri" w:eastAsia="Calibri" w:hAnsi="Calibri" w:cs="Times New Roman"/>
          <w:i/>
          <w:vertAlign w:val="superscript"/>
          <w:lang w:val="en-US"/>
        </w:rPr>
        <w:t>6</w:t>
      </w:r>
      <w:r w:rsidRPr="00C73A16">
        <w:rPr>
          <w:rFonts w:ascii="Calibri" w:eastAsia="Calibri" w:hAnsi="Calibri" w:cs="Times New Roman"/>
          <w:i/>
          <w:lang w:val="en-US"/>
        </w:rPr>
        <w:t>Division of Child &amp; Adolescent Psychiatry, University of Cape Town, Cape Town, South Africa</w:t>
      </w:r>
    </w:p>
    <w:p w14:paraId="76DB20FA" w14:textId="77777777" w:rsidR="00C63CC6" w:rsidRDefault="00C73A16" w:rsidP="00C73A16">
      <w:pPr>
        <w:spacing w:after="0" w:line="240" w:lineRule="auto"/>
        <w:rPr>
          <w:rFonts w:ascii="Calibri" w:eastAsia="Calibri" w:hAnsi="Calibri" w:cs="Times New Roman"/>
          <w:i/>
          <w:lang w:val="en-US"/>
        </w:rPr>
      </w:pPr>
      <w:r w:rsidRPr="00C73A16">
        <w:rPr>
          <w:rFonts w:ascii="Calibri" w:eastAsia="Calibri" w:hAnsi="Calibri" w:cs="Times New Roman"/>
          <w:i/>
          <w:vertAlign w:val="superscript"/>
          <w:lang w:val="en-US"/>
        </w:rPr>
        <w:t>7</w:t>
      </w:r>
      <w:r w:rsidRPr="00C73A16">
        <w:rPr>
          <w:rFonts w:ascii="Calibri" w:eastAsia="Calibri" w:hAnsi="Calibri" w:cs="Times New Roman"/>
          <w:i/>
          <w:lang w:val="en-US"/>
        </w:rPr>
        <w:t>Department of Developmental Epileptology, Institute of Physiology CAS, Prague, Czech Republic</w:t>
      </w:r>
    </w:p>
    <w:p w14:paraId="177E0CCE" w14:textId="0D970D05" w:rsidR="00C73A16" w:rsidRPr="00C73A16" w:rsidRDefault="00C73A16" w:rsidP="00C73A16">
      <w:pPr>
        <w:spacing w:after="0" w:line="240" w:lineRule="auto"/>
        <w:rPr>
          <w:rFonts w:ascii="Calibri" w:eastAsia="Calibri" w:hAnsi="Calibri" w:cs="Times New Roman"/>
          <w:i/>
          <w:lang w:val="en-US"/>
        </w:rPr>
      </w:pPr>
      <w:r w:rsidRPr="00C73A16">
        <w:rPr>
          <w:rFonts w:ascii="Calibri" w:eastAsia="Calibri" w:hAnsi="Calibri" w:cs="Times New Roman"/>
          <w:i/>
          <w:vertAlign w:val="superscript"/>
          <w:lang w:val="en-US"/>
        </w:rPr>
        <w:t>8</w:t>
      </w:r>
      <w:r w:rsidRPr="00C73A16">
        <w:rPr>
          <w:rFonts w:ascii="Calibri" w:eastAsia="Calibri" w:hAnsi="Calibri" w:cs="Times New Roman"/>
          <w:i/>
          <w:lang w:val="en-US"/>
        </w:rPr>
        <w:t>Department of Child and Adolescent Psychiatry, University Hospital and Medical Faculty Carl Gustav Carus, Technical University of Dresden, Germany</w:t>
      </w:r>
    </w:p>
    <w:p w14:paraId="59BDF7C0" w14:textId="77777777" w:rsidR="00C73A16" w:rsidRPr="00C73A16" w:rsidRDefault="00C73A16" w:rsidP="00C73A16">
      <w:pPr>
        <w:spacing w:after="0" w:line="240" w:lineRule="auto"/>
        <w:rPr>
          <w:rFonts w:ascii="Calibri" w:eastAsia="Calibri" w:hAnsi="Calibri" w:cs="Times New Roman"/>
          <w:i/>
          <w:lang w:val="en-US"/>
        </w:rPr>
      </w:pPr>
      <w:r w:rsidRPr="00C73A16">
        <w:rPr>
          <w:rFonts w:ascii="Calibri" w:eastAsia="Calibri" w:hAnsi="Calibri" w:cs="Times New Roman"/>
          <w:i/>
          <w:vertAlign w:val="superscript"/>
          <w:lang w:val="en-US"/>
        </w:rPr>
        <w:t>9</w:t>
      </w:r>
      <w:r w:rsidRPr="00C73A16">
        <w:rPr>
          <w:rFonts w:ascii="Calibri" w:eastAsia="Calibri" w:hAnsi="Calibri" w:cs="Times New Roman"/>
          <w:i/>
          <w:lang w:val="en-US"/>
        </w:rPr>
        <w:t>Department of Child and Adolescent Psychiatry, University Medical Center Göttingen, Germany</w:t>
      </w:r>
    </w:p>
    <w:p w14:paraId="57E28E86" w14:textId="77777777" w:rsidR="00CD6BC6" w:rsidRPr="00CD6BC6" w:rsidRDefault="00CD6BC6" w:rsidP="00CD6BC6">
      <w:pPr>
        <w:spacing w:line="256" w:lineRule="auto"/>
        <w:rPr>
          <w:rFonts w:ascii="Calibri" w:eastAsia="Calibri" w:hAnsi="Calibri" w:cs="Times New Roman"/>
          <w:lang w:val="en-US"/>
        </w:rPr>
      </w:pPr>
    </w:p>
    <w:p w14:paraId="29827E87" w14:textId="77777777" w:rsidR="00CD6BC6" w:rsidRPr="00CD6BC6" w:rsidRDefault="00CD6BC6" w:rsidP="00CD6BC6">
      <w:pPr>
        <w:spacing w:after="200" w:line="276" w:lineRule="auto"/>
        <w:rPr>
          <w:rFonts w:ascii="Calibri" w:eastAsia="Calibri" w:hAnsi="Calibri" w:cs="Times New Roman"/>
          <w:lang w:val="en-US"/>
        </w:rPr>
      </w:pPr>
    </w:p>
    <w:p w14:paraId="0E3CBE56" w14:textId="77777777" w:rsidR="00CD6BC6" w:rsidRPr="00CD6BC6" w:rsidRDefault="00CD6BC6" w:rsidP="00CD6BC6">
      <w:pPr>
        <w:spacing w:after="200" w:line="276" w:lineRule="auto"/>
        <w:contextualSpacing/>
        <w:rPr>
          <w:rFonts w:ascii="Calibri" w:eastAsia="Calibri" w:hAnsi="Calibri" w:cs="Times New Roman"/>
          <w:u w:val="single"/>
          <w:lang w:val="en-US"/>
        </w:rPr>
      </w:pPr>
      <w:r w:rsidRPr="00CD6BC6">
        <w:rPr>
          <w:rFonts w:ascii="Calibri" w:eastAsia="Calibri" w:hAnsi="Calibri" w:cs="Times New Roman"/>
          <w:u w:val="single"/>
          <w:lang w:val="en-US"/>
        </w:rPr>
        <w:t>Corresponding Authors:</w:t>
      </w:r>
    </w:p>
    <w:p w14:paraId="4B5EB30C" w14:textId="77777777" w:rsidR="00CD6BC6" w:rsidRPr="00CD6BC6" w:rsidRDefault="00CD6BC6" w:rsidP="00CD6BC6">
      <w:pPr>
        <w:spacing w:after="200" w:line="276" w:lineRule="auto"/>
        <w:contextualSpacing/>
        <w:rPr>
          <w:rFonts w:ascii="Calibri" w:eastAsia="Calibri" w:hAnsi="Calibri" w:cs="Times New Roman"/>
          <w:lang w:val="en-US"/>
        </w:rPr>
      </w:pPr>
      <w:r w:rsidRPr="00CD6BC6">
        <w:rPr>
          <w:rFonts w:ascii="Calibri" w:eastAsia="Calibri" w:hAnsi="Calibri" w:cs="Times New Roman"/>
          <w:lang w:val="en-US"/>
        </w:rPr>
        <w:t>PD Dr. med. Robert Waltereit</w:t>
      </w:r>
    </w:p>
    <w:p w14:paraId="0B07A9FB" w14:textId="77777777" w:rsidR="00CD6BC6" w:rsidRPr="00CD6BC6" w:rsidRDefault="00CD6BC6" w:rsidP="00CD6BC6">
      <w:pPr>
        <w:tabs>
          <w:tab w:val="left" w:pos="5692"/>
        </w:tabs>
        <w:spacing w:after="200" w:line="276" w:lineRule="auto"/>
        <w:contextualSpacing/>
        <w:rPr>
          <w:rFonts w:ascii="Calibri" w:eastAsia="Calibri" w:hAnsi="Calibri" w:cs="Times New Roman"/>
          <w:lang w:val="en-US"/>
        </w:rPr>
      </w:pPr>
      <w:r w:rsidRPr="00CD6BC6">
        <w:rPr>
          <w:rFonts w:ascii="Calibri" w:eastAsia="Calibri" w:hAnsi="Calibri" w:cs="Times New Roman"/>
          <w:lang w:val="en-US"/>
        </w:rPr>
        <w:t xml:space="preserve">Department of Child and Adolescent Psychiatry </w:t>
      </w:r>
    </w:p>
    <w:p w14:paraId="4010B4C3" w14:textId="77777777" w:rsidR="00CD6BC6" w:rsidRPr="00CD6BC6" w:rsidRDefault="00CD6BC6" w:rsidP="00CD6BC6">
      <w:pPr>
        <w:tabs>
          <w:tab w:val="left" w:pos="5692"/>
        </w:tabs>
        <w:spacing w:after="200" w:line="276" w:lineRule="auto"/>
        <w:contextualSpacing/>
        <w:rPr>
          <w:rFonts w:ascii="Calibri" w:eastAsia="Calibri" w:hAnsi="Calibri" w:cs="Times New Roman"/>
          <w:lang w:val="de-DE"/>
        </w:rPr>
      </w:pPr>
      <w:r w:rsidRPr="00CD6BC6">
        <w:rPr>
          <w:rFonts w:ascii="Calibri" w:eastAsia="Calibri" w:hAnsi="Calibri" w:cs="Times New Roman"/>
          <w:lang w:val="de-DE"/>
        </w:rPr>
        <w:t>University Medical Center Göttingen</w:t>
      </w:r>
    </w:p>
    <w:p w14:paraId="5BF3679E" w14:textId="77777777" w:rsidR="00CD6BC6" w:rsidRPr="00CD6BC6" w:rsidRDefault="00CD6BC6" w:rsidP="00CD6BC6">
      <w:pPr>
        <w:tabs>
          <w:tab w:val="left" w:pos="5692"/>
        </w:tabs>
        <w:spacing w:after="200" w:line="276" w:lineRule="auto"/>
        <w:contextualSpacing/>
        <w:rPr>
          <w:rFonts w:ascii="Calibri" w:eastAsia="Calibri" w:hAnsi="Calibri" w:cs="Times New Roman"/>
          <w:lang w:val="de-DE"/>
        </w:rPr>
      </w:pPr>
      <w:r w:rsidRPr="00CD6BC6">
        <w:rPr>
          <w:rFonts w:ascii="Calibri" w:eastAsia="Calibri" w:hAnsi="Calibri" w:cs="Times New Roman"/>
          <w:lang w:val="de-DE"/>
        </w:rPr>
        <w:t>Von-Siebold-Str. 5, 37075 Göttingen</w:t>
      </w:r>
    </w:p>
    <w:p w14:paraId="23DAFCE1" w14:textId="77777777" w:rsidR="00CD6BC6" w:rsidRPr="00CD6BC6" w:rsidRDefault="00CD6BC6" w:rsidP="00CD6BC6">
      <w:pPr>
        <w:tabs>
          <w:tab w:val="left" w:pos="5692"/>
        </w:tabs>
        <w:spacing w:after="200" w:line="276" w:lineRule="auto"/>
        <w:contextualSpacing/>
        <w:rPr>
          <w:rFonts w:ascii="Calibri" w:eastAsia="Calibri" w:hAnsi="Calibri" w:cs="Times New Roman"/>
          <w:lang w:val="en-US"/>
        </w:rPr>
      </w:pPr>
      <w:r w:rsidRPr="00CD6BC6">
        <w:rPr>
          <w:rFonts w:ascii="Calibri" w:eastAsia="Calibri" w:hAnsi="Calibri" w:cs="Times New Roman"/>
          <w:lang w:val="en-US"/>
        </w:rPr>
        <w:t>Germany</w:t>
      </w:r>
    </w:p>
    <w:p w14:paraId="23240D78" w14:textId="77777777" w:rsidR="00CD6BC6" w:rsidRPr="00CD6BC6" w:rsidRDefault="00CD6BC6" w:rsidP="00CD6BC6">
      <w:pPr>
        <w:spacing w:after="200" w:line="276" w:lineRule="auto"/>
        <w:contextualSpacing/>
        <w:rPr>
          <w:rFonts w:ascii="Calibri" w:eastAsia="Calibri" w:hAnsi="Calibri" w:cs="Times New Roman"/>
          <w:lang w:val="en-US"/>
        </w:rPr>
      </w:pPr>
      <w:r w:rsidRPr="00CD6BC6">
        <w:rPr>
          <w:rFonts w:ascii="Calibri" w:eastAsia="Calibri" w:hAnsi="Calibri" w:cs="Times New Roman"/>
          <w:lang w:val="en-US"/>
        </w:rPr>
        <w:t>Telephone: +49 551 39 8958</w:t>
      </w:r>
    </w:p>
    <w:p w14:paraId="3925843E" w14:textId="77777777" w:rsidR="00CD6BC6" w:rsidRPr="00CD6BC6" w:rsidRDefault="00CD6BC6" w:rsidP="00CD6BC6">
      <w:pPr>
        <w:spacing w:after="200" w:line="276" w:lineRule="auto"/>
        <w:contextualSpacing/>
        <w:rPr>
          <w:rFonts w:ascii="Calibri" w:eastAsia="Calibri" w:hAnsi="Calibri" w:cs="Times New Roman"/>
          <w:lang w:val="en-US"/>
        </w:rPr>
      </w:pPr>
      <w:r w:rsidRPr="00CD6BC6">
        <w:rPr>
          <w:rFonts w:ascii="Calibri" w:eastAsia="Calibri" w:hAnsi="Calibri" w:cs="Times New Roman"/>
          <w:lang w:val="en-US"/>
        </w:rPr>
        <w:t xml:space="preserve">Email: </w:t>
      </w:r>
      <w:hyperlink r:id="rId8" w:history="1">
        <w:r w:rsidRPr="00CD6BC6">
          <w:rPr>
            <w:rFonts w:ascii="Calibri" w:eastAsia="Calibri" w:hAnsi="Calibri" w:cs="Times New Roman"/>
            <w:color w:val="0563C1"/>
            <w:u w:val="single"/>
            <w:lang w:val="en-US"/>
          </w:rPr>
          <w:t>robert.waltereit@med.uni-goettingen.de</w:t>
        </w:r>
      </w:hyperlink>
    </w:p>
    <w:p w14:paraId="6F4F1B95" w14:textId="77777777" w:rsidR="00CD6BC6" w:rsidRPr="00CD6BC6" w:rsidRDefault="00CD6BC6" w:rsidP="00CD6BC6">
      <w:pPr>
        <w:spacing w:after="200" w:line="276" w:lineRule="auto"/>
        <w:contextualSpacing/>
        <w:rPr>
          <w:rFonts w:ascii="Calibri" w:eastAsia="Calibri" w:hAnsi="Calibri" w:cs="Times New Roman"/>
          <w:lang w:val="en-US"/>
        </w:rPr>
      </w:pPr>
    </w:p>
    <w:p w14:paraId="48E213E5" w14:textId="77777777" w:rsidR="00CD6BC6" w:rsidRPr="00CD6BC6" w:rsidRDefault="00CD6BC6" w:rsidP="00CD6BC6">
      <w:pPr>
        <w:spacing w:after="200" w:line="276" w:lineRule="auto"/>
        <w:contextualSpacing/>
        <w:rPr>
          <w:rFonts w:ascii="Calibri" w:eastAsia="Calibri" w:hAnsi="Calibri" w:cs="Times New Roman"/>
          <w:lang w:val="en-US"/>
        </w:rPr>
      </w:pPr>
      <w:r w:rsidRPr="00CD6BC6">
        <w:rPr>
          <w:rFonts w:ascii="Calibri" w:eastAsia="Calibri" w:hAnsi="Calibri" w:cs="Times New Roman"/>
          <w:lang w:val="en-US"/>
        </w:rPr>
        <w:t>Tomas Petrasek, PhD</w:t>
      </w:r>
    </w:p>
    <w:p w14:paraId="24222045" w14:textId="77777777" w:rsidR="00CD6BC6" w:rsidRPr="00CD6BC6" w:rsidRDefault="00CD6BC6" w:rsidP="00CD6BC6">
      <w:pPr>
        <w:spacing w:after="200" w:line="276" w:lineRule="auto"/>
        <w:contextualSpacing/>
        <w:rPr>
          <w:rFonts w:ascii="Calibri" w:eastAsia="Calibri" w:hAnsi="Calibri" w:cs="Times New Roman"/>
          <w:lang w:val="en-US"/>
        </w:rPr>
      </w:pPr>
      <w:r w:rsidRPr="00CD6BC6">
        <w:rPr>
          <w:rFonts w:ascii="Calibri" w:eastAsia="Calibri" w:hAnsi="Calibri" w:cs="Times New Roman"/>
          <w:lang w:val="en-US"/>
        </w:rPr>
        <w:t xml:space="preserve">National Institute of Mental Health </w:t>
      </w:r>
    </w:p>
    <w:p w14:paraId="4C3CB601" w14:textId="77777777" w:rsidR="00CD6BC6" w:rsidRPr="00CD6BC6" w:rsidRDefault="00CD6BC6" w:rsidP="00CD6BC6">
      <w:pPr>
        <w:spacing w:after="200" w:line="276" w:lineRule="auto"/>
        <w:contextualSpacing/>
        <w:rPr>
          <w:rFonts w:ascii="Calibri" w:eastAsia="Calibri" w:hAnsi="Calibri" w:cs="Times New Roman"/>
          <w:lang w:val="en-US"/>
        </w:rPr>
      </w:pPr>
      <w:r w:rsidRPr="00CD6BC6">
        <w:rPr>
          <w:rFonts w:ascii="Calibri" w:eastAsia="Calibri" w:hAnsi="Calibri" w:cs="Times New Roman"/>
          <w:lang w:val="en-US"/>
        </w:rPr>
        <w:t>Topolova 748, 250 67 Klecany</w:t>
      </w:r>
    </w:p>
    <w:p w14:paraId="501F3461" w14:textId="77777777" w:rsidR="00CD6BC6" w:rsidRPr="00CD6BC6" w:rsidRDefault="00CD6BC6" w:rsidP="00CD6BC6">
      <w:pPr>
        <w:spacing w:after="200" w:line="276" w:lineRule="auto"/>
        <w:contextualSpacing/>
        <w:rPr>
          <w:rFonts w:ascii="Calibri" w:eastAsia="Calibri" w:hAnsi="Calibri" w:cs="Times New Roman"/>
          <w:lang w:val="en-US"/>
        </w:rPr>
      </w:pPr>
      <w:r w:rsidRPr="00CD6BC6">
        <w:rPr>
          <w:rFonts w:ascii="Calibri" w:eastAsia="Calibri" w:hAnsi="Calibri" w:cs="Times New Roman"/>
          <w:lang w:val="en-US"/>
        </w:rPr>
        <w:t>Czech Republic</w:t>
      </w:r>
    </w:p>
    <w:p w14:paraId="58295C48" w14:textId="77777777" w:rsidR="00CD6BC6" w:rsidRPr="00CD6BC6" w:rsidRDefault="00CD6BC6" w:rsidP="00CD6BC6">
      <w:pPr>
        <w:spacing w:after="200" w:line="276" w:lineRule="auto"/>
        <w:contextualSpacing/>
        <w:rPr>
          <w:rFonts w:ascii="Calibri" w:eastAsia="Calibri" w:hAnsi="Calibri" w:cs="Times New Roman"/>
          <w:lang w:val="en-US"/>
        </w:rPr>
      </w:pPr>
      <w:r w:rsidRPr="00CD6BC6">
        <w:rPr>
          <w:rFonts w:ascii="Calibri" w:eastAsia="Calibri" w:hAnsi="Calibri" w:cs="Times New Roman"/>
          <w:lang w:val="en-US"/>
        </w:rPr>
        <w:t>Telephone: +420 283 088 246</w:t>
      </w:r>
    </w:p>
    <w:p w14:paraId="45C61757" w14:textId="7378FD20" w:rsidR="00CD6BC6" w:rsidRPr="00CD6BC6" w:rsidRDefault="00D8634E" w:rsidP="00CD6BC6">
      <w:pPr>
        <w:spacing w:after="200" w:line="276" w:lineRule="auto"/>
        <w:contextualSpacing/>
        <w:rPr>
          <w:rFonts w:ascii="Calibri" w:eastAsia="Calibri" w:hAnsi="Calibri" w:cs="Times New Roman"/>
          <w:lang w:val="de-DE"/>
        </w:rPr>
      </w:pPr>
      <w:r>
        <w:rPr>
          <w:rFonts w:ascii="Calibri" w:eastAsia="Calibri" w:hAnsi="Calibri" w:cs="Times New Roman"/>
          <w:lang w:val="de-DE"/>
        </w:rPr>
        <w:t>E</w:t>
      </w:r>
      <w:r w:rsidR="00CD6BC6" w:rsidRPr="00CD6BC6">
        <w:rPr>
          <w:rFonts w:ascii="Calibri" w:eastAsia="Calibri" w:hAnsi="Calibri" w:cs="Times New Roman"/>
          <w:lang w:val="de-DE"/>
        </w:rPr>
        <w:t xml:space="preserve">mail: </w:t>
      </w:r>
      <w:hyperlink r:id="rId9" w:history="1">
        <w:r w:rsidR="00CD6BC6" w:rsidRPr="00CD6BC6">
          <w:rPr>
            <w:rFonts w:ascii="Calibri" w:eastAsia="Calibri" w:hAnsi="Calibri" w:cs="Times New Roman"/>
            <w:color w:val="0563C1"/>
            <w:u w:val="single"/>
            <w:lang w:val="de-DE"/>
          </w:rPr>
          <w:t>tomas.petrasek@nudz.cz</w:t>
        </w:r>
      </w:hyperlink>
    </w:p>
    <w:p w14:paraId="675613CC" w14:textId="77777777" w:rsidR="00F636FC" w:rsidRPr="00CD6BC6" w:rsidRDefault="00F636FC" w:rsidP="00F636FC">
      <w:pPr>
        <w:spacing w:after="200" w:line="276" w:lineRule="auto"/>
        <w:rPr>
          <w:rFonts w:eastAsia="Calibri" w:cs="Times New Roman"/>
          <w:lang w:val="de-DE"/>
        </w:rPr>
      </w:pPr>
    </w:p>
    <w:p w14:paraId="202CECA7" w14:textId="4490DCB6" w:rsidR="00F636FC" w:rsidRDefault="00F636FC">
      <w:pPr>
        <w:rPr>
          <w:b/>
        </w:rPr>
      </w:pPr>
    </w:p>
    <w:p w14:paraId="05075BC1" w14:textId="77777777" w:rsidR="002778B6" w:rsidRDefault="002778B6">
      <w:pPr>
        <w:rPr>
          <w:b/>
        </w:rPr>
      </w:pPr>
      <w:r>
        <w:rPr>
          <w:b/>
        </w:rPr>
        <w:br w:type="page"/>
      </w:r>
    </w:p>
    <w:p w14:paraId="41D1A679" w14:textId="2C3749C5" w:rsidR="00D05987" w:rsidRDefault="002778B6" w:rsidP="00600C12">
      <w:pPr>
        <w:rPr>
          <w:b/>
          <w:lang w:val="en-US"/>
        </w:rPr>
      </w:pPr>
      <w:r>
        <w:rPr>
          <w:b/>
        </w:rPr>
        <w:lastRenderedPageBreak/>
        <w:t>SUPPLEMENTARY METHODS</w:t>
      </w:r>
      <w:r w:rsidR="00A253E9" w:rsidRPr="00CF06CD">
        <w:rPr>
          <w:b/>
        </w:rPr>
        <w:t xml:space="preserve"> </w:t>
      </w:r>
    </w:p>
    <w:p w14:paraId="759B4296" w14:textId="77777777" w:rsidR="002778B6" w:rsidRDefault="002778B6" w:rsidP="00600C12">
      <w:pPr>
        <w:rPr>
          <w:b/>
          <w:lang w:val="en-US"/>
        </w:rPr>
      </w:pPr>
    </w:p>
    <w:p w14:paraId="03A80746" w14:textId="1DC07809" w:rsidR="00600C12" w:rsidRDefault="00600C12" w:rsidP="00600C12">
      <w:pPr>
        <w:rPr>
          <w:b/>
          <w:lang w:val="en-US"/>
        </w:rPr>
      </w:pPr>
      <w:r w:rsidRPr="00CD282C">
        <w:rPr>
          <w:b/>
          <w:lang w:val="en-US"/>
        </w:rPr>
        <w:t>Comparison of kainate</w:t>
      </w:r>
      <w:r w:rsidR="00C63B6D">
        <w:rPr>
          <w:b/>
          <w:lang w:val="en-US"/>
        </w:rPr>
        <w:t>-</w:t>
      </w:r>
      <w:r w:rsidRPr="00CD282C">
        <w:rPr>
          <w:b/>
          <w:lang w:val="en-US"/>
        </w:rPr>
        <w:t xml:space="preserve"> and pilocarpine</w:t>
      </w:r>
      <w:r w:rsidR="00C63B6D">
        <w:rPr>
          <w:b/>
          <w:lang w:val="en-US"/>
        </w:rPr>
        <w:t>-induced</w:t>
      </w:r>
      <w:r w:rsidRPr="00CD282C">
        <w:rPr>
          <w:b/>
          <w:lang w:val="en-US"/>
        </w:rPr>
        <w:t xml:space="preserve"> DSE models</w:t>
      </w:r>
    </w:p>
    <w:p w14:paraId="1A7DCFDE" w14:textId="785A878A" w:rsidR="000A671B" w:rsidRPr="00BD044E" w:rsidRDefault="000A671B" w:rsidP="00BD044E">
      <w:pPr>
        <w:jc w:val="both"/>
        <w:rPr>
          <w:lang w:val="en-US"/>
        </w:rPr>
      </w:pPr>
      <w:r>
        <w:rPr>
          <w:lang w:val="en-US"/>
        </w:rPr>
        <w:t>In the previous studies</w:t>
      </w:r>
      <w:r w:rsidR="00E267D6">
        <w:rPr>
          <w:lang w:val="en-US"/>
        </w:rPr>
        <w:t xml:space="preserve"> </w:t>
      </w:r>
      <w:r w:rsidR="00E267D6">
        <w:rPr>
          <w:lang w:val="en-US"/>
        </w:rPr>
        <w:fldChar w:fldCharType="begin" w:fldLock="1"/>
      </w:r>
      <w:r w:rsidR="0027497F">
        <w:rPr>
          <w:lang w:val="en-US"/>
        </w:rPr>
        <w:instrText>ADDIN CSL_CITATION {"citationItems":[{"id":"ITEM-1","itemData":{"DOI":"10.1007/s10519-010-9399-0","ISSN":"1573-3297","PMID":"20927644","abstract":"There is a strong association between autism spectrum disorders (ASD), epilepsy and intellectual disability in humans, but the nature of these correlations is unclear. The monogenic disorder Tuberous Sclerosis Complex (TSC) has high rates of ASD, epilepsy and cognitive deficits. Here we used the Tsc2 (+/-) (Eker) rat model of TSC and an experimental epilepsy paradigm to study the causal effect of seizures on learning and memory and social behavior phenotypes. Status epilepticus was induced by kainic acid injection at P7 and P14 in wild-type and Tsc2 (+/-) rats. At the age of 3-6months, adult rats were assessed in the open field, light/dark box, fear conditioning, Morris water maze, novel object recognition and social interaction tasks. Learning and memory was unimpaired in naïve Tsc2 (+/-) rats, and experimental epilepsy did not impair any aspects of learning and memory in either wild-type or Tsc2 (+/-) rats. In contrast, rearing in the open field, novel object exploration and social exploration was reduced in naïve Tsc2 (+/-) rats. Seizures induced anxiety and social evade, and reduced social exploration and social contact behavior in wild-type and Tsc2 (+/-) rats. Our study shows that Tsc2 haploinsufficiency and developmental status epilepticus in wild-type and Tsc2 (+/-) rats independently lead to autistic-like social deficit behaviors. The results suggest that the gene mutation may be sufficient to lead to some social deficits, and that seizures have a direct and additive effect to increase the likelihood and range of autistic-like behaviors.","author":[{"dropping-particle":"","family":"Waltereit","given":"Robert","non-dropping-particle":"","parse-names":false,"suffix":""},{"dropping-particle":"","family":"Japs","given":"Birte","non-dropping-particle":"","parse-names":false,"suffix":""},{"dropping-particle":"","family":"Schneider","given":"Miriam","non-dropping-particle":"","parse-names":false,"suffix":""},{"dropping-particle":"","family":"Vries","given":"Petrus J","non-dropping-particle":"De","parse-names":false,"suffix":""},{"dropping-particle":"","family":"Bartsch","given":"Dusan","non-dropping-particle":"","parse-names":false,"suffix":""}],"container-title":"Behavior Genetics","id":"ITEM-1","issue":"3","issued":{"date-parts":[["2011","5"]]},"page":"364-372","title":"Epilepsy and Tsc2 haploinsufficiency lead to autistic-like social deficit behaviors in rats.","type":"article-journal","volume":"41"},"uris":["http://www.mendeley.com/documents/?uuid=000ca094-4d16-4f89-a809-ae3974e634c7"]},{"id":"ITEM-2","itemData":{"DOI":"10.1007/s00406-016-0703-8","ISSN":"14338491","abstract":"© 2016, Springer-Verlag Berlin Heidelberg. Epilepsy is a major risk factor for autism spectrum disorder (ASD) and complicates clinical manifestations and management of ASD significantly. Tuberous sclerosis complex (TSC), caused by TSC1 or TSC2 mutations, is one of the medical conditions most commonly associated with ASD and has become an important model to examine molecular pathways associated with ASD. Previous research showed reversal of autism-like social deficits in Tsc1 +/−  and Tsc2 +/−  mouse models by mammalian target of rapamycin (mTOR) inhibitors. However, at least 70 % of individuals with TSC also have epilepsy, known to complicate the severity and treatment responsiveness of the behavioural phenotype. No previous study has examined the impact of seizures on neurocognitive reversal by mTOR inhibitors. Adult Tsc2 +/−  (Eker)-rats express social deficits similar to Tsc2 +/−  mice, with additive social deficits from developmental status epilepticus (DSE). DSE was induced by intraperitoneal injection with kainic acid at post-natal days P7 and P14 (n = 12). The experimental group that modelled TSC pathology carried the Tsc2 +/−  (Eker)-mutation and was challenged with DSE. The wild-type controls had not received DSE (n = 10). Four-month-old animals were analysed for social behaviour (T1), then treated three times during 1 week with 1 mg/kg everolimus and finally retested in the post-treatment behavioural analysis (T2). In the experimental group, both social interaction and social cognition were impaired at T1. After treatment at T2, behaviour in the experimental group was indistinguishable from controls. The mTOR inhibitor, everolimus, reversed social deficit behaviours in the Tsc2 haploinsufficiency plus DSE animal model to control levels.","author":[{"dropping-particle":"","family":"Schneider","given":"M.","non-dropping-particle":"","parse-names":false,"suffix":""},{"dropping-particle":"","family":"Vries","given":"P.J.","non-dropping-particle":"de","parse-names":false,"suffix":""},{"dropping-particle":"","family":"Schönig","given":"K.","non-dropping-particle":"","parse-names":false,"suffix":""},{"dropping-particle":"","family":"Rößner","given":"V.","non-dropping-particle":"","parse-names":false,"suffix":""},{"dropping-particle":"","family":"Waltereit","given":"R.","non-dropping-particle":"","parse-names":false,"suffix":""}],"container-title":"European Archives of Psychiatry and Clinical Neuroscience","id":"ITEM-2","issue":"5","issued":{"date-parts":[["2017"]]},"title":"mTOR inhibitor reverses autistic-like social deficit behaviours in adult rats with both Tsc2 haploinsufficiency and developmental status epilepticus","type":"article-journal","volume":"267"},"uris":["http://www.mendeley.com/documents/?uuid=2f9736aa-4f35-35be-9fc7-b786e57e3922"]}],"mendeley":{"formattedCitation":"[1,2]","plainTextFormattedCitation":"[1,2]","previouslyFormattedCitation":"[1,2]"},"properties":{"noteIndex":0},"schema":"https://github.com/citation-style-language/schema/raw/master/csl-citation.json"}</w:instrText>
      </w:r>
      <w:r w:rsidR="00E267D6">
        <w:rPr>
          <w:lang w:val="en-US"/>
        </w:rPr>
        <w:fldChar w:fldCharType="separate"/>
      </w:r>
      <w:r w:rsidR="00553115" w:rsidRPr="00553115">
        <w:rPr>
          <w:noProof/>
          <w:lang w:val="en-US"/>
        </w:rPr>
        <w:t>[1,2]</w:t>
      </w:r>
      <w:r w:rsidR="00E267D6">
        <w:rPr>
          <w:lang w:val="en-US"/>
        </w:rPr>
        <w:fldChar w:fldCharType="end"/>
      </w:r>
      <w:r w:rsidRPr="00BD044E">
        <w:rPr>
          <w:lang w:val="en-US"/>
        </w:rPr>
        <w:t>, we have used kainic acid-induced DSE model. However, the pilocarpine-induced DSE model has previously been reported to have similar neurobiological impacts, with the advantage of negligible mortality</w:t>
      </w:r>
      <w:r w:rsidR="00E87937">
        <w:rPr>
          <w:lang w:val="en-US"/>
        </w:rPr>
        <w:t xml:space="preserve"> </w:t>
      </w:r>
      <w:r w:rsidR="00E87937">
        <w:rPr>
          <w:lang w:val="en-US"/>
        </w:rPr>
        <w:fldChar w:fldCharType="begin" w:fldLock="1"/>
      </w:r>
      <w:r w:rsidR="0027497F">
        <w:rPr>
          <w:lang w:val="en-US"/>
        </w:rPr>
        <w:instrText>ADDIN CSL_CITATION {"citationItems":[{"id":"ITEM-1","itemData":{"DOI":"10.3390/ijms140918284","ISSN":"1422-0067 (Electronic)","PMID":"24013377","abstract":"This article describes current experimental models of status epilepticus (SE) and neuronal injury for use in the screening of new therapeutic agents. Epilepsy is a common neurological disorder characterized by recurrent unprovoked seizures. SE is an emergency condition associated with continuous seizures lasting more than 30 min. It causes significant mortality and morbidity. SE can cause devastating damage to the brain leading to cognitive impairment and increased risk of epilepsy. Benzodiazepines are the first-line drugs for the treatment of SE, however, many people exhibit partial or complete resistance due to a breakdown of GABA inhibition. Therefore, new drugs with neuroprotective effects against the SE-induced neuronal injury and degeneration are desirable. Animal models are used to study the pathophysiology of SE and for the discovery of newer anticonvulsants. In SE paradigms, seizures are induced in rodents by chemical agents or by electrical stimulation of brain structures. Electrical stimulation includes perforant path and self-sustaining stimulation models. Pharmacological models include kainic acid, pilocarpine, flurothyl, organophosphates and other convulsants that induce SE in rodents. Neuronal injury occurs within the initial SE episode, and animals exhibit cognitive dysfunction and spontaneous seizures several weeks after this precipitating event. Current SE models have potential applications but have some limitations. In general, the experimental SE model should be analogous to the human seizure state and it should share very similar neuropathological mechanisms. The pilocarpine and diisopropylfluorophosphate models are associated with prolonged, diazepam-insensitive seizures and neurodegeneration and therefore represent paradigms of refractory SE. Novel mechanism-based or clinically relevant models are essential to identify new therapies for SE and neuroprotective interventions.","author":[{"dropping-particle":"","family":"Reddy","given":"Doodipala Samba","non-dropping-particle":"","parse-names":false,"suffix":""},{"dropping-particle":"","family":"Kuruba","given":"Ramkumar","non-dropping-particle":"","parse-names":false,"suffix":""}],"container-title":"International journal of molecular sciences","id":"ITEM-1","issue":"9","issued":{"date-parts":[["2013","9"]]},"language":"eng","page":"18284-18318","title":"Experimental models of status epilepticus and neuronal injury for evaluation of therapeutic interventions.","type":"article-journal","volume":"14"},"uris":["http://www.mendeley.com/documents/?uuid=202d9e83-4901-4348-bc85-944f95c8c15d"]}],"mendeley":{"formattedCitation":"[3]","plainTextFormattedCitation":"[3]","previouslyFormattedCitation":"[3]"},"properties":{"noteIndex":0},"schema":"https://github.com/citation-style-language/schema/raw/master/csl-citation.json"}</w:instrText>
      </w:r>
      <w:r w:rsidR="00E87937">
        <w:rPr>
          <w:lang w:val="en-US"/>
        </w:rPr>
        <w:fldChar w:fldCharType="separate"/>
      </w:r>
      <w:r w:rsidR="00553115" w:rsidRPr="00553115">
        <w:rPr>
          <w:noProof/>
          <w:lang w:val="en-US"/>
        </w:rPr>
        <w:t>[3]</w:t>
      </w:r>
      <w:r w:rsidR="00E87937">
        <w:rPr>
          <w:lang w:val="en-US"/>
        </w:rPr>
        <w:fldChar w:fldCharType="end"/>
      </w:r>
      <w:r w:rsidR="007F7621" w:rsidRPr="007F7621">
        <w:rPr>
          <w:lang w:val="en-US"/>
        </w:rPr>
        <w:t>.</w:t>
      </w:r>
      <w:r w:rsidRPr="00BD044E">
        <w:rPr>
          <w:lang w:val="en-US"/>
        </w:rPr>
        <w:t xml:space="preserve"> Therefore</w:t>
      </w:r>
      <w:r w:rsidR="003C3F72" w:rsidRPr="00BD044E">
        <w:rPr>
          <w:lang w:val="en-US"/>
        </w:rPr>
        <w:t>,</w:t>
      </w:r>
      <w:r w:rsidRPr="00BD044E">
        <w:rPr>
          <w:lang w:val="en-US"/>
        </w:rPr>
        <w:t xml:space="preserve"> </w:t>
      </w:r>
      <w:r w:rsidR="00600C12" w:rsidRPr="00BD044E">
        <w:rPr>
          <w:lang w:val="en-US"/>
        </w:rPr>
        <w:t xml:space="preserve">we decided to compare </w:t>
      </w:r>
      <w:r w:rsidRPr="00BD044E">
        <w:rPr>
          <w:lang w:val="en-US"/>
        </w:rPr>
        <w:t xml:space="preserve">the </w:t>
      </w:r>
      <w:r w:rsidR="00600C12" w:rsidRPr="00BD044E">
        <w:rPr>
          <w:lang w:val="en-US"/>
        </w:rPr>
        <w:t xml:space="preserve">two DSE models </w:t>
      </w:r>
      <w:r w:rsidRPr="00BD044E">
        <w:rPr>
          <w:lang w:val="en-US"/>
        </w:rPr>
        <w:t xml:space="preserve">prior to the main experiment, </w:t>
      </w:r>
      <w:r w:rsidR="00600C12" w:rsidRPr="00BD044E">
        <w:rPr>
          <w:lang w:val="en-US"/>
        </w:rPr>
        <w:t xml:space="preserve">and choose the </w:t>
      </w:r>
      <w:r w:rsidR="002C0C1C" w:rsidRPr="00BD044E">
        <w:rPr>
          <w:lang w:val="en-US"/>
        </w:rPr>
        <w:t>better</w:t>
      </w:r>
      <w:r w:rsidR="00600C12" w:rsidRPr="00BD044E">
        <w:rPr>
          <w:lang w:val="en-US"/>
        </w:rPr>
        <w:t xml:space="preserve"> one, </w:t>
      </w:r>
      <w:r w:rsidR="002C0C1C" w:rsidRPr="00BD044E">
        <w:rPr>
          <w:lang w:val="en-US"/>
        </w:rPr>
        <w:t>in terms of</w:t>
      </w:r>
      <w:r w:rsidRPr="00BD044E">
        <w:rPr>
          <w:lang w:val="en-US"/>
        </w:rPr>
        <w:t xml:space="preserve"> pup mortality </w:t>
      </w:r>
      <w:r w:rsidR="002C0C1C" w:rsidRPr="00BD044E">
        <w:rPr>
          <w:lang w:val="en-US"/>
        </w:rPr>
        <w:t>and</w:t>
      </w:r>
      <w:r w:rsidR="00600C12" w:rsidRPr="00BD044E">
        <w:rPr>
          <w:lang w:val="en-US"/>
        </w:rPr>
        <w:t xml:space="preserve"> social behavior</w:t>
      </w:r>
      <w:r w:rsidR="002C0C1C" w:rsidRPr="00BD044E">
        <w:rPr>
          <w:lang w:val="en-US"/>
        </w:rPr>
        <w:t xml:space="preserve"> phenotype</w:t>
      </w:r>
      <w:r w:rsidR="00600C12" w:rsidRPr="00BD044E">
        <w:rPr>
          <w:lang w:val="en-US"/>
        </w:rPr>
        <w:t>. In wild</w:t>
      </w:r>
      <w:r w:rsidR="00D05987" w:rsidRPr="00BD044E">
        <w:rPr>
          <w:lang w:val="en-US"/>
        </w:rPr>
        <w:t>-</w:t>
      </w:r>
      <w:r w:rsidR="00600C12" w:rsidRPr="00BD044E">
        <w:rPr>
          <w:lang w:val="en-US"/>
        </w:rPr>
        <w:t xml:space="preserve">type Long-Evans rats of both sexes (n = 27) from two different litters, we </w:t>
      </w:r>
      <w:r w:rsidR="00354096" w:rsidRPr="00BD044E">
        <w:rPr>
          <w:lang w:val="en-US"/>
        </w:rPr>
        <w:t xml:space="preserve">applied </w:t>
      </w:r>
      <w:r w:rsidR="00600C12" w:rsidRPr="00BD044E">
        <w:rPr>
          <w:lang w:val="en-US"/>
        </w:rPr>
        <w:t>either pilocarpine</w:t>
      </w:r>
      <w:r w:rsidR="00B219DE" w:rsidRPr="00BD044E">
        <w:rPr>
          <w:lang w:val="en-US"/>
        </w:rPr>
        <w:t xml:space="preserve"> </w:t>
      </w:r>
      <w:r w:rsidR="007850AB" w:rsidRPr="00BD044E">
        <w:rPr>
          <w:lang w:val="en-US"/>
        </w:rPr>
        <w:t>(</w:t>
      </w:r>
      <w:r w:rsidR="00B219DE" w:rsidRPr="00BD044E">
        <w:rPr>
          <w:lang w:val="en-US"/>
        </w:rPr>
        <w:t>n</w:t>
      </w:r>
      <w:r w:rsidR="007850AB" w:rsidRPr="00BD044E">
        <w:rPr>
          <w:lang w:val="en-US"/>
        </w:rPr>
        <w:t xml:space="preserve"> </w:t>
      </w:r>
      <w:r w:rsidR="00B219DE" w:rsidRPr="00BD044E">
        <w:rPr>
          <w:lang w:val="en-US"/>
        </w:rPr>
        <w:t>=</w:t>
      </w:r>
      <w:r w:rsidR="007850AB" w:rsidRPr="00BD044E">
        <w:rPr>
          <w:lang w:val="en-US"/>
        </w:rPr>
        <w:t xml:space="preserve"> </w:t>
      </w:r>
      <w:r w:rsidR="004966EA" w:rsidRPr="00BD044E">
        <w:rPr>
          <w:lang w:val="en-US"/>
        </w:rPr>
        <w:t>7</w:t>
      </w:r>
      <w:r w:rsidR="007850AB" w:rsidRPr="00BD044E">
        <w:rPr>
          <w:lang w:val="en-US"/>
        </w:rPr>
        <w:t>)</w:t>
      </w:r>
      <w:r w:rsidR="00354096" w:rsidRPr="00BD044E">
        <w:rPr>
          <w:lang w:val="en-US"/>
        </w:rPr>
        <w:t>,</w:t>
      </w:r>
      <w:r w:rsidR="00600C12" w:rsidRPr="00BD044E">
        <w:rPr>
          <w:lang w:val="en-US"/>
        </w:rPr>
        <w:t xml:space="preserve"> </w:t>
      </w:r>
      <w:r w:rsidR="00C63B6D" w:rsidRPr="00BD044E">
        <w:rPr>
          <w:lang w:val="en-US"/>
        </w:rPr>
        <w:t xml:space="preserve">or </w:t>
      </w:r>
      <w:r w:rsidR="00600C12" w:rsidRPr="00BD044E">
        <w:rPr>
          <w:lang w:val="en-US"/>
        </w:rPr>
        <w:t>kainate</w:t>
      </w:r>
      <w:r w:rsidR="00B219DE" w:rsidRPr="00BD044E">
        <w:rPr>
          <w:lang w:val="en-US"/>
        </w:rPr>
        <w:t xml:space="preserve"> </w:t>
      </w:r>
      <w:r w:rsidR="007850AB" w:rsidRPr="00BD044E">
        <w:rPr>
          <w:lang w:val="en-US"/>
        </w:rPr>
        <w:t>(</w:t>
      </w:r>
      <w:r w:rsidR="00B219DE" w:rsidRPr="00BD044E">
        <w:rPr>
          <w:lang w:val="en-US"/>
        </w:rPr>
        <w:t>n</w:t>
      </w:r>
      <w:r w:rsidR="007850AB" w:rsidRPr="00BD044E">
        <w:rPr>
          <w:lang w:val="en-US"/>
        </w:rPr>
        <w:t xml:space="preserve"> </w:t>
      </w:r>
      <w:r w:rsidR="00B219DE" w:rsidRPr="00BD044E">
        <w:rPr>
          <w:lang w:val="en-US"/>
        </w:rPr>
        <w:t>=</w:t>
      </w:r>
      <w:r w:rsidR="007850AB" w:rsidRPr="00BD044E">
        <w:rPr>
          <w:lang w:val="en-US"/>
        </w:rPr>
        <w:t xml:space="preserve"> </w:t>
      </w:r>
      <w:r w:rsidR="004966EA" w:rsidRPr="00BD044E">
        <w:rPr>
          <w:lang w:val="en-US"/>
        </w:rPr>
        <w:t>11</w:t>
      </w:r>
      <w:r w:rsidR="007850AB" w:rsidRPr="00BD044E">
        <w:rPr>
          <w:lang w:val="en-US"/>
        </w:rPr>
        <w:t>)</w:t>
      </w:r>
      <w:r w:rsidR="00600C12" w:rsidRPr="00BD044E">
        <w:rPr>
          <w:lang w:val="en-US"/>
        </w:rPr>
        <w:t>, or control (saline</w:t>
      </w:r>
      <w:r w:rsidR="007850AB" w:rsidRPr="00BD044E">
        <w:rPr>
          <w:lang w:val="en-US"/>
        </w:rPr>
        <w:t>,</w:t>
      </w:r>
      <w:r w:rsidR="00B219DE" w:rsidRPr="00BD044E">
        <w:rPr>
          <w:lang w:val="en-US"/>
        </w:rPr>
        <w:t xml:space="preserve"> n</w:t>
      </w:r>
      <w:r w:rsidR="007850AB" w:rsidRPr="00BD044E">
        <w:rPr>
          <w:lang w:val="en-US"/>
        </w:rPr>
        <w:t xml:space="preserve"> </w:t>
      </w:r>
      <w:r w:rsidR="00B219DE" w:rsidRPr="00BD044E">
        <w:rPr>
          <w:lang w:val="en-US"/>
        </w:rPr>
        <w:t>=</w:t>
      </w:r>
      <w:r w:rsidR="00600C12" w:rsidRPr="00BD044E">
        <w:rPr>
          <w:lang w:val="en-US"/>
        </w:rPr>
        <w:t xml:space="preserve"> </w:t>
      </w:r>
      <w:r w:rsidR="004966EA" w:rsidRPr="00BD044E">
        <w:rPr>
          <w:lang w:val="en-US"/>
        </w:rPr>
        <w:t>9</w:t>
      </w:r>
      <w:r w:rsidR="007850AB" w:rsidRPr="00BD044E">
        <w:rPr>
          <w:lang w:val="en-US"/>
        </w:rPr>
        <w:t xml:space="preserve">) </w:t>
      </w:r>
      <w:r w:rsidR="00600C12" w:rsidRPr="00BD044E">
        <w:rPr>
          <w:lang w:val="en-US"/>
        </w:rPr>
        <w:t xml:space="preserve">injection. </w:t>
      </w:r>
    </w:p>
    <w:p w14:paraId="077B947A" w14:textId="6451744A" w:rsidR="00600C12" w:rsidRPr="00BD044E" w:rsidRDefault="00B70D80" w:rsidP="00BD044E">
      <w:pPr>
        <w:jc w:val="both"/>
        <w:rPr>
          <w:lang w:val="en-US"/>
        </w:rPr>
      </w:pPr>
      <w:r w:rsidRPr="00BD044E">
        <w:rPr>
          <w:lang w:val="en-US"/>
        </w:rPr>
        <w:t>Kainic acid (purchased from Sigma Aldrich, Czech Republic</w:t>
      </w:r>
      <w:r w:rsidR="005336C3">
        <w:rPr>
          <w:lang w:val="en-US"/>
        </w:rPr>
        <w:t>, cat. no. K0250-10MG</w:t>
      </w:r>
      <w:r w:rsidRPr="00BD044E">
        <w:rPr>
          <w:lang w:val="en-US"/>
        </w:rPr>
        <w:t xml:space="preserve">) </w:t>
      </w:r>
      <w:r w:rsidR="00600C12" w:rsidRPr="00BD044E">
        <w:rPr>
          <w:lang w:val="en-US"/>
        </w:rPr>
        <w:t xml:space="preserve">was injected twice to each pup, at P7 (2 mg/kg) and at P14 (4 mg/kg). This application protocol was employed previously in the studies by </w:t>
      </w:r>
      <w:r w:rsidR="000C6693">
        <w:rPr>
          <w:lang w:val="en-US"/>
        </w:rPr>
        <w:fldChar w:fldCharType="begin" w:fldLock="1"/>
      </w:r>
      <w:r w:rsidR="0027497F">
        <w:rPr>
          <w:lang w:val="en-US"/>
        </w:rPr>
        <w:instrText>ADDIN CSL_CITATION {"citationItems":[{"id":"ITEM-1","itemData":{"DOI":"10.1007/s10519-010-9399-0","ISSN":"1573-3297","PMID":"20927644","abstract":"There is a strong association between autism spectrum disorders (ASD), epilepsy and intellectual disability in humans, but the nature of these correlations is unclear. The monogenic disorder Tuberous Sclerosis Complex (TSC) has high rates of ASD, epilepsy and cognitive deficits. Here we used the Tsc2 (+/-) (Eker) rat model of TSC and an experimental epilepsy paradigm to study the causal effect of seizures on learning and memory and social behavior phenotypes. Status epilepticus was induced by kainic acid injection at P7 and P14 in wild-type and Tsc2 (+/-) rats. At the age of 3-6months, adult rats were assessed in the open field, light/dark box, fear conditioning, Morris water maze, novel object recognition and social interaction tasks. Learning and memory was unimpaired in naïve Tsc2 (+/-) rats, and experimental epilepsy did not impair any aspects of learning and memory in either wild-type or Tsc2 (+/-) rats. In contrast, rearing in the open field, novel object exploration and social exploration was reduced in naïve Tsc2 (+/-) rats. Seizures induced anxiety and social evade, and reduced social exploration and social contact behavior in wild-type and Tsc2 (+/-) rats. Our study shows that Tsc2 haploinsufficiency and developmental status epilepticus in wild-type and Tsc2 (+/-) rats independently lead to autistic-like social deficit behaviors. The results suggest that the gene mutation may be sufficient to lead to some social deficits, and that seizures have a direct and additive effect to increase the likelihood and range of autistic-like behaviors.","author":[{"dropping-particle":"","family":"Waltereit","given":"Robert","non-dropping-particle":"","parse-names":false,"suffix":""},{"dropping-particle":"","family":"Japs","given":"Birte","non-dropping-particle":"","parse-names":false,"suffix":""},{"dropping-particle":"","family":"Schneider","given":"Miriam","non-dropping-particle":"","parse-names":false,"suffix":""},{"dropping-particle":"","family":"Vries","given":"Petrus J","non-dropping-particle":"De","parse-names":false,"suffix":""},{"dropping-particle":"","family":"Bartsch","given":"Dusan","non-dropping-particle":"","parse-names":false,"suffix":""}],"container-title":"Behavior Genetics","id":"ITEM-1","issue":"3","issued":{"date-parts":[["2011","5"]]},"page":"364-372","title":"Epilepsy and Tsc2 haploinsufficiency lead to autistic-like social deficit behaviors in rats.","type":"article-journal","volume":"41"},"uris":["http://www.mendeley.com/documents/?uuid=000ca094-4d16-4f89-a809-ae3974e634c7"]},{"id":"ITEM-2","itemData":{"DOI":"10.1007/s00406-016-0703-8","ISSN":"14338491","abstract":"© 2016, Springer-Verlag Berlin Heidelberg. Epilepsy is a major risk factor for autism spectrum disorder (ASD) and complicates clinical manifestations and management of ASD significantly. Tuberous sclerosis complex (TSC), caused by TSC1 or TSC2 mutations, is one of the medical conditions most commonly associated with ASD and has become an important model to examine molecular pathways associated with ASD. Previous research showed reversal of autism-like social deficits in Tsc1 +/−  and Tsc2 +/−  mouse models by mammalian target of rapamycin (mTOR) inhibitors. However, at least 70 % of individuals with TSC also have epilepsy, known to complicate the severity and treatment responsiveness of the behavioural phenotype. No previous study has examined the impact of seizures on neurocognitive reversal by mTOR inhibitors. Adult Tsc2 +/−  (Eker)-rats express social deficits similar to Tsc2 +/−  mice, with additive social deficits from developmental status epilepticus (DSE). DSE was induced by intraperitoneal injection with kainic acid at post-natal days P7 and P14 (n = 12). The experimental group that modelled TSC pathology carried the Tsc2 +/−  (Eker)-mutation and was challenged with DSE. The wild-type controls had not received DSE (n = 10). Four-month-old animals were analysed for social behaviour (T1), then treated three times during 1 week with 1 mg/kg everolimus and finally retested in the post-treatment behavioural analysis (T2). In the experimental group, both social interaction and social cognition were impaired at T1. After treatment at T2, behaviour in the experimental group was indistinguishable from controls. The mTOR inhibitor, everolimus, reversed social deficit behaviours in the Tsc2 haploinsufficiency plus DSE animal model to control levels.","author":[{"dropping-particle":"","family":"Schneider","given":"M.","non-dropping-particle":"","parse-names":false,"suffix":""},{"dropping-particle":"","family":"Vries","given":"P.J.","non-dropping-particle":"de","parse-names":false,"suffix":""},{"dropping-particle":"","family":"Schönig","given":"K.","non-dropping-particle":"","parse-names":false,"suffix":""},{"dropping-particle":"","family":"Rößner","given":"V.","non-dropping-particle":"","parse-names":false,"suffix":""},{"dropping-particle":"","family":"Waltereit","given":"R.","non-dropping-particle":"","parse-names":false,"suffix":""}],"container-title":"European Archives of Psychiatry and Clinical Neuroscience","id":"ITEM-2","issue":"5","issued":{"date-parts":[["2017"]]},"title":"mTOR inhibitor reverses autistic-like social deficit behaviours in adult rats with both Tsc2 haploinsufficiency and developmental status epilepticus","type":"article-journal","volume":"267"},"uris":["http://www.mendeley.com/documents/?uuid=2f9736aa-4f35-35be-9fc7-b786e57e3922"]}],"mendeley":{"formattedCitation":"[1,2]","plainTextFormattedCitation":"[1,2]","previouslyFormattedCitation":"[1,2]"},"properties":{"noteIndex":0},"schema":"https://github.com/citation-style-language/schema/raw/master/csl-citation.json"}</w:instrText>
      </w:r>
      <w:r w:rsidR="000C6693">
        <w:rPr>
          <w:lang w:val="en-US"/>
        </w:rPr>
        <w:fldChar w:fldCharType="separate"/>
      </w:r>
      <w:r w:rsidR="00553115" w:rsidRPr="00553115">
        <w:rPr>
          <w:noProof/>
          <w:lang w:val="en-US"/>
        </w:rPr>
        <w:t>[1,2]</w:t>
      </w:r>
      <w:r w:rsidR="000C6693">
        <w:rPr>
          <w:lang w:val="en-US"/>
        </w:rPr>
        <w:fldChar w:fldCharType="end"/>
      </w:r>
      <w:r w:rsidR="00600C12" w:rsidRPr="00BD044E">
        <w:rPr>
          <w:lang w:val="en-US"/>
        </w:rPr>
        <w:t xml:space="preserve">. However, we used a slightly lower dose at P7 than the previous studies, to avoid risk of mortality. Pilocarpine administration followed the same protocol as described </w:t>
      </w:r>
      <w:r w:rsidR="009D741F">
        <w:rPr>
          <w:lang w:val="en-US"/>
        </w:rPr>
        <w:t>below, which was then used for the main experiment</w:t>
      </w:r>
      <w:r w:rsidR="00BA506C" w:rsidRPr="00BD044E">
        <w:rPr>
          <w:lang w:val="en-US"/>
        </w:rPr>
        <w:t xml:space="preserve">. </w:t>
      </w:r>
    </w:p>
    <w:p w14:paraId="76267D9B" w14:textId="43D0F8AE" w:rsidR="00FE40AA" w:rsidRDefault="00600C12" w:rsidP="00BD044E">
      <w:pPr>
        <w:jc w:val="both"/>
        <w:rPr>
          <w:lang w:val="en-US"/>
        </w:rPr>
      </w:pPr>
      <w:r w:rsidRPr="00BD044E">
        <w:rPr>
          <w:lang w:val="en-US"/>
        </w:rPr>
        <w:t>Weights of the pups were monitored prior and after the DSE. Following DSE, the pups were tested in open field (</w:t>
      </w:r>
      <w:r w:rsidR="00447993" w:rsidRPr="00BD044E">
        <w:rPr>
          <w:lang w:val="en-US"/>
        </w:rPr>
        <w:t>40</w:t>
      </w:r>
      <w:r w:rsidR="00447993" w:rsidRPr="00BD044E">
        <w:rPr>
          <w:rFonts w:ascii="Cambria" w:hAnsi="Cambria"/>
          <w:lang w:val="en-US"/>
        </w:rPr>
        <w:t>⨯</w:t>
      </w:r>
      <w:r w:rsidR="00447993" w:rsidRPr="00BD044E">
        <w:rPr>
          <w:lang w:val="en-US"/>
        </w:rPr>
        <w:t>35</w:t>
      </w:r>
      <w:r w:rsidR="00447993" w:rsidRPr="00BD044E">
        <w:rPr>
          <w:rFonts w:ascii="Cambria" w:hAnsi="Cambria"/>
          <w:lang w:val="en-US"/>
        </w:rPr>
        <w:t>⨯</w:t>
      </w:r>
      <w:r w:rsidR="00447993" w:rsidRPr="00BD044E">
        <w:rPr>
          <w:lang w:val="en-US"/>
        </w:rPr>
        <w:t xml:space="preserve">21 cm </w:t>
      </w:r>
      <w:r w:rsidRPr="00BD044E">
        <w:rPr>
          <w:lang w:val="en-US"/>
        </w:rPr>
        <w:t>box with bedding) at P27. Social interaction test was conducted in the same box, always using two pups from the same treatment group. Social play behavior and ultrasonic vocalizations were noted. For behavioral and ultrasonic observation and subsequent statistical analysis, a pair was taken as a single measurement, because social play involves both animals, and ultrasonic calls cannot be attributed to a specific individual.</w:t>
      </w:r>
      <w:r>
        <w:rPr>
          <w:lang w:val="en-US"/>
        </w:rPr>
        <w:t xml:space="preserve"> </w:t>
      </w:r>
    </w:p>
    <w:p w14:paraId="442CCBAB" w14:textId="77777777" w:rsidR="002778B6" w:rsidRPr="00BD1E50" w:rsidRDefault="002778B6" w:rsidP="009D741F">
      <w:pPr>
        <w:rPr>
          <w:lang w:val="en-US"/>
        </w:rPr>
      </w:pPr>
    </w:p>
    <w:p w14:paraId="406A1120" w14:textId="77777777" w:rsidR="003F7EB4" w:rsidRPr="00022E8A" w:rsidRDefault="003F7EB4" w:rsidP="003F7EB4">
      <w:pPr>
        <w:rPr>
          <w:b/>
          <w:lang w:val="en-US"/>
        </w:rPr>
      </w:pPr>
      <w:r>
        <w:rPr>
          <w:b/>
          <w:lang w:val="en-US"/>
        </w:rPr>
        <w:t>Neonatal ultrasonic vocalization</w:t>
      </w:r>
    </w:p>
    <w:p w14:paraId="401FBD56" w14:textId="184DE65D" w:rsidR="003F7EB4" w:rsidRDefault="003F7EB4" w:rsidP="002D3119">
      <w:pPr>
        <w:jc w:val="both"/>
        <w:rPr>
          <w:lang w:val="en-US"/>
        </w:rPr>
      </w:pPr>
      <w:r>
        <w:rPr>
          <w:lang w:val="en-US"/>
        </w:rPr>
        <w:t>I</w:t>
      </w:r>
      <w:r w:rsidRPr="00970604">
        <w:rPr>
          <w:lang w:val="en-US"/>
        </w:rPr>
        <w:t>solation-induced ultrasonic vocalizations (USV) were recorded as a measure of mother-seeking behavior</w:t>
      </w:r>
      <w:r>
        <w:rPr>
          <w:lang w:val="en-US"/>
        </w:rPr>
        <w:t xml:space="preserve"> </w:t>
      </w:r>
      <w:r w:rsidR="0079157B">
        <w:rPr>
          <w:lang w:val="en-US"/>
        </w:rPr>
        <w:t xml:space="preserve">in pups (n = 55) </w:t>
      </w:r>
      <w:r>
        <w:rPr>
          <w:lang w:val="en-US"/>
        </w:rPr>
        <w:t>at P7 (prior to DSE treatment)</w:t>
      </w:r>
      <w:r w:rsidRPr="00970604">
        <w:rPr>
          <w:lang w:val="en-US"/>
        </w:rPr>
        <w:t xml:space="preserve">. Each pup was put into a small Plexiglas box </w:t>
      </w:r>
      <w:r w:rsidR="002A24A4">
        <w:rPr>
          <w:lang w:val="en-US"/>
        </w:rPr>
        <w:t>(</w:t>
      </w:r>
      <w:r w:rsidR="002A24A4" w:rsidRPr="00447993">
        <w:rPr>
          <w:lang w:val="en-US"/>
        </w:rPr>
        <w:t>30</w:t>
      </w:r>
      <w:r w:rsidR="00447993" w:rsidRPr="00447993">
        <w:rPr>
          <w:rFonts w:ascii="Cambria" w:hAnsi="Cambria"/>
          <w:lang w:val="en-US"/>
        </w:rPr>
        <w:t>⨯</w:t>
      </w:r>
      <w:r w:rsidR="002A24A4" w:rsidRPr="00447993">
        <w:rPr>
          <w:lang w:val="en-US"/>
        </w:rPr>
        <w:t>18</w:t>
      </w:r>
      <w:r w:rsidR="00447993" w:rsidRPr="00447993">
        <w:rPr>
          <w:rFonts w:ascii="Cambria" w:hAnsi="Cambria"/>
          <w:lang w:val="en-US"/>
        </w:rPr>
        <w:t>⨯</w:t>
      </w:r>
      <w:r w:rsidR="002A24A4" w:rsidRPr="00447993">
        <w:rPr>
          <w:lang w:val="en-US"/>
        </w:rPr>
        <w:t>14.5 cm</w:t>
      </w:r>
      <w:r w:rsidR="002A24A4">
        <w:rPr>
          <w:lang w:val="en-US"/>
        </w:rPr>
        <w:t xml:space="preserve">) </w:t>
      </w:r>
      <w:r w:rsidRPr="00970604">
        <w:rPr>
          <w:lang w:val="en-US"/>
        </w:rPr>
        <w:t xml:space="preserve">containing fresh bedding and left alone for </w:t>
      </w:r>
      <w:r w:rsidR="00537FFA">
        <w:rPr>
          <w:lang w:val="en-US"/>
        </w:rPr>
        <w:t>45 seconds</w:t>
      </w:r>
      <w:r w:rsidRPr="00970604">
        <w:rPr>
          <w:lang w:val="en-US"/>
        </w:rPr>
        <w:t xml:space="preserve"> while vocalizations were recorded using Ultramic 250k microphone (Dodotronic, Italy</w:t>
      </w:r>
      <w:r w:rsidR="002D3119">
        <w:rPr>
          <w:lang w:val="en-US"/>
        </w:rPr>
        <w:t xml:space="preserve">, cat. no. </w:t>
      </w:r>
      <w:r w:rsidR="002D3119" w:rsidRPr="002D3119">
        <w:rPr>
          <w:lang w:val="en-US"/>
        </w:rPr>
        <w:t>SKU: UM250K</w:t>
      </w:r>
      <w:r w:rsidRPr="00970604">
        <w:rPr>
          <w:lang w:val="en-US"/>
        </w:rPr>
        <w:t>) and Audacity 2.2.0 software. In</w:t>
      </w:r>
      <w:r>
        <w:rPr>
          <w:lang w:val="en-US"/>
        </w:rPr>
        <w:t xml:space="preserve"> the</w:t>
      </w:r>
      <w:r w:rsidRPr="00970604">
        <w:rPr>
          <w:lang w:val="en-US"/>
        </w:rPr>
        <w:t xml:space="preserve"> analysis, </w:t>
      </w:r>
      <w:r>
        <w:rPr>
          <w:lang w:val="en-US"/>
        </w:rPr>
        <w:t>two</w:t>
      </w:r>
      <w:r w:rsidRPr="00970604">
        <w:rPr>
          <w:lang w:val="en-US"/>
        </w:rPr>
        <w:t xml:space="preserve"> categories we</w:t>
      </w:r>
      <w:r>
        <w:rPr>
          <w:lang w:val="en-US"/>
        </w:rPr>
        <w:t>re</w:t>
      </w:r>
      <w:r w:rsidRPr="00970604">
        <w:rPr>
          <w:lang w:val="en-US"/>
        </w:rPr>
        <w:t xml:space="preserve"> differentiated: simple neonatal calls</w:t>
      </w:r>
      <w:r>
        <w:rPr>
          <w:lang w:val="en-US"/>
        </w:rPr>
        <w:t xml:space="preserve"> and</w:t>
      </w:r>
      <w:r w:rsidRPr="00970604">
        <w:rPr>
          <w:lang w:val="en-US"/>
        </w:rPr>
        <w:t xml:space="preserve"> neonatal calls with frequency steps</w:t>
      </w:r>
      <w:r>
        <w:rPr>
          <w:lang w:val="en-US"/>
        </w:rPr>
        <w:t xml:space="preserve">. </w:t>
      </w:r>
      <w:r w:rsidRPr="00970604">
        <w:rPr>
          <w:lang w:val="en-US"/>
        </w:rPr>
        <w:t xml:space="preserve">Number and </w:t>
      </w:r>
      <w:r>
        <w:rPr>
          <w:lang w:val="en-US"/>
        </w:rPr>
        <w:t xml:space="preserve">total </w:t>
      </w:r>
      <w:r w:rsidRPr="00970604">
        <w:rPr>
          <w:lang w:val="en-US"/>
        </w:rPr>
        <w:t>duration of calls were evaluated.</w:t>
      </w:r>
      <w:r>
        <w:rPr>
          <w:lang w:val="en-US"/>
        </w:rPr>
        <w:t xml:space="preserve"> Duration of bouts (trains of successive vocalizations</w:t>
      </w:r>
      <w:r w:rsidR="00FF59F4">
        <w:rPr>
          <w:lang w:val="en-US"/>
        </w:rPr>
        <w:t xml:space="preserve"> separated by less than 750 ms gaps</w:t>
      </w:r>
      <w:r>
        <w:rPr>
          <w:lang w:val="en-US"/>
        </w:rPr>
        <w:t xml:space="preserve">) was also measured, and median call duration noted for each individual. </w:t>
      </w:r>
    </w:p>
    <w:p w14:paraId="536FDC77" w14:textId="77777777" w:rsidR="002778B6" w:rsidRDefault="002778B6" w:rsidP="006C6120">
      <w:pPr>
        <w:rPr>
          <w:b/>
          <w:lang w:val="en-US"/>
        </w:rPr>
      </w:pPr>
    </w:p>
    <w:p w14:paraId="3AC6774F" w14:textId="178D3AA9" w:rsidR="003C6CDB" w:rsidRDefault="005C2FF9">
      <w:pPr>
        <w:rPr>
          <w:b/>
        </w:rPr>
      </w:pPr>
      <w:r>
        <w:rPr>
          <w:b/>
        </w:rPr>
        <w:br w:type="page"/>
      </w:r>
      <w:r w:rsidR="002778B6">
        <w:rPr>
          <w:b/>
        </w:rPr>
        <w:lastRenderedPageBreak/>
        <w:t>SUPPLEMENTARY RESULTS</w:t>
      </w:r>
    </w:p>
    <w:p w14:paraId="20101E91" w14:textId="77777777" w:rsidR="002778B6" w:rsidRPr="00FE5DD8" w:rsidRDefault="002778B6">
      <w:pPr>
        <w:rPr>
          <w:b/>
          <w:lang w:val="en-US"/>
        </w:rPr>
      </w:pPr>
    </w:p>
    <w:p w14:paraId="286A838B" w14:textId="48F439D5" w:rsidR="005A214A" w:rsidRPr="00DE7757" w:rsidRDefault="005A214A" w:rsidP="005A214A">
      <w:pPr>
        <w:rPr>
          <w:b/>
          <w:lang w:val="en-US"/>
        </w:rPr>
      </w:pPr>
      <w:r w:rsidRPr="00DE7757">
        <w:rPr>
          <w:b/>
          <w:lang w:val="en-US"/>
        </w:rPr>
        <w:t>Comparison of kainate</w:t>
      </w:r>
      <w:r w:rsidR="00F2712F">
        <w:rPr>
          <w:b/>
          <w:lang w:val="en-US"/>
        </w:rPr>
        <w:t>-</w:t>
      </w:r>
      <w:r w:rsidRPr="00DE7757">
        <w:rPr>
          <w:b/>
          <w:lang w:val="en-US"/>
        </w:rPr>
        <w:t xml:space="preserve"> and pilocarpine</w:t>
      </w:r>
      <w:r w:rsidR="00F2712F">
        <w:rPr>
          <w:b/>
          <w:lang w:val="en-US"/>
        </w:rPr>
        <w:t>-induced</w:t>
      </w:r>
      <w:r w:rsidRPr="00DE7757">
        <w:rPr>
          <w:b/>
          <w:lang w:val="en-US"/>
        </w:rPr>
        <w:t xml:space="preserve"> DSE models</w:t>
      </w:r>
    </w:p>
    <w:p w14:paraId="6CB24A75" w14:textId="75D4E2E5" w:rsidR="00992F55" w:rsidRDefault="000C4A97" w:rsidP="00BD044E">
      <w:pPr>
        <w:jc w:val="both"/>
        <w:rPr>
          <w:lang w:val="en-US"/>
        </w:rPr>
      </w:pPr>
      <w:r w:rsidRPr="00F2712F">
        <w:rPr>
          <w:lang w:val="en-US"/>
        </w:rPr>
        <w:t>Visual observation of the DSE procedure suggested kainate</w:t>
      </w:r>
      <w:r w:rsidR="00F2712F">
        <w:rPr>
          <w:lang w:val="en-US"/>
        </w:rPr>
        <w:t>-induced</w:t>
      </w:r>
      <w:r w:rsidRPr="00F2712F">
        <w:rPr>
          <w:lang w:val="en-US"/>
        </w:rPr>
        <w:t xml:space="preserve"> seizures to be less pronounced and more intermittent</w:t>
      </w:r>
      <w:r w:rsidR="00354096" w:rsidRPr="00F2712F">
        <w:rPr>
          <w:lang w:val="en-US"/>
        </w:rPr>
        <w:t xml:space="preserve"> than pilocarpine</w:t>
      </w:r>
      <w:r w:rsidR="00A84188">
        <w:rPr>
          <w:lang w:val="en-US"/>
        </w:rPr>
        <w:t>-induced</w:t>
      </w:r>
      <w:r w:rsidR="00354096" w:rsidRPr="00F2712F">
        <w:rPr>
          <w:lang w:val="en-US"/>
        </w:rPr>
        <w:t xml:space="preserve"> seizures</w:t>
      </w:r>
      <w:r w:rsidRPr="00F2712F">
        <w:rPr>
          <w:lang w:val="en-US"/>
        </w:rPr>
        <w:t xml:space="preserve">. </w:t>
      </w:r>
      <w:r w:rsidR="005A214A" w:rsidRPr="00F2712F">
        <w:rPr>
          <w:lang w:val="en-US"/>
        </w:rPr>
        <w:t>In the open field test</w:t>
      </w:r>
      <w:r w:rsidR="00992F55" w:rsidRPr="00F2712F">
        <w:rPr>
          <w:lang w:val="en-US"/>
        </w:rPr>
        <w:t xml:space="preserve"> at P27</w:t>
      </w:r>
      <w:r w:rsidR="0057007D" w:rsidRPr="00F2712F">
        <w:rPr>
          <w:lang w:val="en-US"/>
        </w:rPr>
        <w:t xml:space="preserve">, one-way ANOVA </w:t>
      </w:r>
      <w:r w:rsidR="005A214A" w:rsidRPr="00F2712F">
        <w:rPr>
          <w:lang w:val="en-US"/>
        </w:rPr>
        <w:t xml:space="preserve">didn’t </w:t>
      </w:r>
      <w:r w:rsidR="0057007D" w:rsidRPr="00F2712F">
        <w:rPr>
          <w:lang w:val="en-US"/>
        </w:rPr>
        <w:t xml:space="preserve">show any </w:t>
      </w:r>
      <w:r w:rsidR="005A214A" w:rsidRPr="00F2712F">
        <w:rPr>
          <w:lang w:val="en-US"/>
        </w:rPr>
        <w:t>differ</w:t>
      </w:r>
      <w:r w:rsidR="0057007D" w:rsidRPr="00F2712F">
        <w:rPr>
          <w:lang w:val="en-US"/>
        </w:rPr>
        <w:t>ences</w:t>
      </w:r>
      <w:r w:rsidR="00992F55" w:rsidRPr="00F2712F">
        <w:rPr>
          <w:lang w:val="en-US"/>
        </w:rPr>
        <w:t xml:space="preserve"> </w:t>
      </w:r>
      <w:r w:rsidR="00221790" w:rsidRPr="00F2712F">
        <w:rPr>
          <w:lang w:val="en-US"/>
        </w:rPr>
        <w:t xml:space="preserve">in locomotion </w:t>
      </w:r>
      <w:r w:rsidR="00992F55" w:rsidRPr="00F2712F">
        <w:rPr>
          <w:lang w:val="en-US"/>
        </w:rPr>
        <w:t xml:space="preserve">between </w:t>
      </w:r>
      <w:r w:rsidR="00354096" w:rsidRPr="00F2712F">
        <w:rPr>
          <w:lang w:val="en-US"/>
        </w:rPr>
        <w:t xml:space="preserve">kainate, pilocarpine and saline </w:t>
      </w:r>
      <w:r w:rsidR="00992F55" w:rsidRPr="00F2712F">
        <w:rPr>
          <w:lang w:val="en-US"/>
        </w:rPr>
        <w:t>groups</w:t>
      </w:r>
      <w:r w:rsidR="005A214A" w:rsidRPr="00F2712F">
        <w:rPr>
          <w:lang w:val="en-US"/>
        </w:rPr>
        <w:t>: F(2) = 0.497, P = 0.</w:t>
      </w:r>
      <w:r w:rsidR="005A214A" w:rsidRPr="00BD044E">
        <w:rPr>
          <w:lang w:val="en-US"/>
        </w:rPr>
        <w:t>615</w:t>
      </w:r>
      <w:r w:rsidR="00A84188" w:rsidRPr="00BD044E">
        <w:rPr>
          <w:lang w:val="en-US"/>
        </w:rPr>
        <w:t xml:space="preserve"> (</w:t>
      </w:r>
      <w:r w:rsidR="009A4630" w:rsidRPr="00BD044E">
        <w:rPr>
          <w:lang w:val="en-US"/>
        </w:rPr>
        <w:t>Fig.</w:t>
      </w:r>
      <w:r w:rsidR="00A84188" w:rsidRPr="00BD044E">
        <w:rPr>
          <w:lang w:val="en-US"/>
        </w:rPr>
        <w:t xml:space="preserve"> S1</w:t>
      </w:r>
      <w:r w:rsidR="009A4630" w:rsidRPr="00BD044E">
        <w:rPr>
          <w:lang w:val="en-US"/>
        </w:rPr>
        <w:t>c</w:t>
      </w:r>
      <w:r w:rsidR="00A84188" w:rsidRPr="00BD044E">
        <w:rPr>
          <w:lang w:val="en-US"/>
        </w:rPr>
        <w:t>)</w:t>
      </w:r>
      <w:r w:rsidR="00B64436" w:rsidRPr="00BD044E">
        <w:rPr>
          <w:lang w:val="en-US"/>
        </w:rPr>
        <w:t>.</w:t>
      </w:r>
      <w:r w:rsidRPr="00BD044E">
        <w:rPr>
          <w:lang w:val="en-US"/>
        </w:rPr>
        <w:t xml:space="preserve"> During social interaction at P27, social play was common</w:t>
      </w:r>
      <w:r w:rsidR="00354096" w:rsidRPr="00BD044E">
        <w:rPr>
          <w:lang w:val="en-US"/>
        </w:rPr>
        <w:t xml:space="preserve"> in control animals</w:t>
      </w:r>
      <w:r w:rsidRPr="00BD044E">
        <w:rPr>
          <w:lang w:val="en-US"/>
        </w:rPr>
        <w:t xml:space="preserve">. Ultrasonic recordings showed that low-frequency vocalizations (similar to neonatal calls or adult anxious vocalizations) did not </w:t>
      </w:r>
      <w:r w:rsidR="00DE7757" w:rsidRPr="00BD044E">
        <w:rPr>
          <w:lang w:val="en-US"/>
        </w:rPr>
        <w:t>occur</w:t>
      </w:r>
      <w:r w:rsidR="00616A60" w:rsidRPr="00BD044E">
        <w:rPr>
          <w:lang w:val="en-US"/>
        </w:rPr>
        <w:t>, but high-frequency calls were rather common. Although those could be further sub-divided</w:t>
      </w:r>
      <w:r w:rsidR="003240D3">
        <w:rPr>
          <w:lang w:val="en-US"/>
        </w:rPr>
        <w:t xml:space="preserve"> </w:t>
      </w:r>
      <w:r w:rsidR="003240D3">
        <w:rPr>
          <w:lang w:val="en-US"/>
        </w:rPr>
        <w:fldChar w:fldCharType="begin" w:fldLock="1"/>
      </w:r>
      <w:r w:rsidR="0027497F">
        <w:rPr>
          <w:lang w:val="en-US"/>
        </w:rPr>
        <w:instrText>ADDIN CSL_CITATION {"citationItems":[{"id":"ITEM-1","itemData":{"DOI":"10.1007/s00213-010-1859-y","ISSN":"1432-2072 (Electronic)","PMID":"20443111","abstract":"RATIONALE: 50-kHz ultrasonic vocalizations (USVs) emitted by adult rats are  heterogeneous; they occur over a wide frequency range, show varying degrees of frequency modulation, and appear to differ in their behavioral significance. However, they have not been extensively categorized. OBJECTIVES: The main objective of this study was to identify subtypes of 50-kHz USVs emitted by adult rats and to determine how amphetamine (AMPH) or social testing condition affects their relative and absolute production rate and acoustic characteristics. A second objective was to determine the extent of individual differences in call rate, call subtype profile, and acoustic parameters (i.e., duration, bandwidth, and mean peak frequency). METHODS: Adult male Long-Evans rats were administered systemic amphetamine (0.25-2 mg/kg, IP) and tested individually or with a cage mate for 20 min. Call categories were defined based on visual inspection of over 20,000 USV spectrograms. Surgical devocalization was performed on a subset of AMPH-tested rats in order to confirm the authenticity of call subtypes. RESULTS: Fourteen categories of 50-kHz USVs were recognized. Call subtypes were differentially affected by social context, AMPH dose, and time within session. In contrast, the acoustic characteristics of call subtypes were notably stable. Marked and stable inter-individual differences occurred with respect to overall 50-kHz call rate, acoustic parameters, and call profile. CONCLUSIONS: The present findings, obtained under saline and amphetamine test conditions, provide the first detailed classification of adult rat 50-kHz USVs. Consideration of 50-kHz USV subtypes may advance our understanding of inter-rat communication and affective state.","author":[{"dropping-particle":"","family":"Wright","given":"Jennifer M","non-dropping-particle":"","parse-names":false,"suffix":""},{"dropping-particle":"","family":"Gourdon","given":"Jim C","non-dropping-particle":"","parse-names":false,"suffix":""},{"dropping-particle":"","family":"Clarke","given":"Paul B S","non-dropping-particle":"","parse-names":false,"suffix":""}],"container-title":"Psychopharmacology","id":"ITEM-1","issue":"1","issued":{"date-parts":[["2010","7"]]},"language":"eng","page":"1-13","publisher-place":"Germany","title":"Identification of multiple call categories within the rich repertoire of adult rat  50-kHz ultrasonic vocalizations: effects of amphetamine and social context.","type":"article-journal","volume":"211"},"uris":["http://www.mendeley.com/documents/?uuid=32a2b6b5-0cc4-4b06-a104-2f0e770df77c"]}],"mendeley":{"formattedCitation":"[4]","plainTextFormattedCitation":"[4]","previouslyFormattedCitation":"[4]"},"properties":{"noteIndex":0},"schema":"https://github.com/citation-style-language/schema/raw/master/csl-citation.json"}</w:instrText>
      </w:r>
      <w:r w:rsidR="003240D3">
        <w:rPr>
          <w:lang w:val="en-US"/>
        </w:rPr>
        <w:fldChar w:fldCharType="separate"/>
      </w:r>
      <w:r w:rsidR="00553115" w:rsidRPr="00553115">
        <w:rPr>
          <w:noProof/>
          <w:lang w:val="en-US"/>
        </w:rPr>
        <w:t>[4]</w:t>
      </w:r>
      <w:r w:rsidR="003240D3">
        <w:rPr>
          <w:lang w:val="en-US"/>
        </w:rPr>
        <w:fldChar w:fldCharType="end"/>
      </w:r>
      <w:r w:rsidR="00616A60" w:rsidRPr="00BD044E">
        <w:rPr>
          <w:lang w:val="en-US"/>
        </w:rPr>
        <w:t xml:space="preserve">, we took them as a single </w:t>
      </w:r>
      <w:r w:rsidR="00DE7757" w:rsidRPr="00BD044E">
        <w:rPr>
          <w:lang w:val="en-US"/>
        </w:rPr>
        <w:t>category</w:t>
      </w:r>
      <w:r w:rsidR="00616A60" w:rsidRPr="00BD044E">
        <w:rPr>
          <w:lang w:val="en-US"/>
        </w:rPr>
        <w:t>.</w:t>
      </w:r>
      <w:r w:rsidR="00F636FC" w:rsidRPr="00BD044E">
        <w:rPr>
          <w:lang w:val="en-US"/>
        </w:rPr>
        <w:t xml:space="preserve"> </w:t>
      </w:r>
      <w:r w:rsidR="00616A60" w:rsidRPr="00BD044E">
        <w:rPr>
          <w:lang w:val="en-US"/>
        </w:rPr>
        <w:t xml:space="preserve">Kainate treatment affected neither the duration of social play, nor </w:t>
      </w:r>
      <w:r w:rsidR="00221790" w:rsidRPr="00BD044E">
        <w:rPr>
          <w:lang w:val="en-US"/>
        </w:rPr>
        <w:t>the number</w:t>
      </w:r>
      <w:r w:rsidR="00616A60" w:rsidRPr="00BD044E">
        <w:rPr>
          <w:lang w:val="en-US"/>
        </w:rPr>
        <w:t xml:space="preserve"> of ultrasonic vocalization</w:t>
      </w:r>
      <w:r w:rsidR="00221790" w:rsidRPr="00BD044E">
        <w:rPr>
          <w:lang w:val="en-US"/>
        </w:rPr>
        <w:t>s</w:t>
      </w:r>
      <w:r w:rsidR="00616A60" w:rsidRPr="00BD044E">
        <w:rPr>
          <w:lang w:val="en-US"/>
        </w:rPr>
        <w:t>. On the other hand, the pups after pilocarpine</w:t>
      </w:r>
      <w:r w:rsidR="00FE5DD8" w:rsidRPr="00BD044E">
        <w:rPr>
          <w:lang w:val="en-US"/>
        </w:rPr>
        <w:t>-induced</w:t>
      </w:r>
      <w:r w:rsidR="00616A60" w:rsidRPr="00BD044E">
        <w:rPr>
          <w:lang w:val="en-US"/>
        </w:rPr>
        <w:t xml:space="preserve"> DSE exhibited a decrease in both parameters (</w:t>
      </w:r>
      <w:r w:rsidR="009A4630" w:rsidRPr="00BD044E">
        <w:rPr>
          <w:lang w:val="en-US"/>
        </w:rPr>
        <w:t xml:space="preserve">Fig. </w:t>
      </w:r>
      <w:r w:rsidR="00600C12" w:rsidRPr="00BD044E">
        <w:rPr>
          <w:lang w:val="en-US"/>
        </w:rPr>
        <w:t>S1</w:t>
      </w:r>
      <w:r w:rsidR="009A4630" w:rsidRPr="00BD044E">
        <w:rPr>
          <w:lang w:val="en-US"/>
        </w:rPr>
        <w:t>a</w:t>
      </w:r>
      <w:r w:rsidR="009C2A0D" w:rsidRPr="00BD044E">
        <w:rPr>
          <w:lang w:val="en-US"/>
        </w:rPr>
        <w:t>,</w:t>
      </w:r>
      <w:r w:rsidR="009A4630" w:rsidRPr="00BD044E">
        <w:rPr>
          <w:lang w:val="en-US"/>
        </w:rPr>
        <w:t xml:space="preserve"> S1b</w:t>
      </w:r>
      <w:r w:rsidR="00616A60" w:rsidRPr="00BD044E">
        <w:rPr>
          <w:lang w:val="en-US"/>
        </w:rPr>
        <w:t>).</w:t>
      </w:r>
      <w:r w:rsidR="00616A60" w:rsidRPr="00F2712F">
        <w:rPr>
          <w:lang w:val="en-US"/>
        </w:rPr>
        <w:t xml:space="preserve"> </w:t>
      </w:r>
    </w:p>
    <w:p w14:paraId="20A241D2" w14:textId="77777777" w:rsidR="00D05987" w:rsidRPr="00F2712F" w:rsidRDefault="00D05987">
      <w:pPr>
        <w:rPr>
          <w:lang w:val="en-US"/>
        </w:rPr>
      </w:pPr>
    </w:p>
    <w:p w14:paraId="78620B5F" w14:textId="77777777" w:rsidR="00FE5DD8" w:rsidRDefault="00FE5DD8" w:rsidP="001078C6">
      <w:pPr>
        <w:jc w:val="center"/>
        <w:rPr>
          <w:b/>
          <w:lang w:val="en-US"/>
        </w:rPr>
      </w:pPr>
      <w:r>
        <w:rPr>
          <w:b/>
          <w:noProof/>
          <w:lang w:val="de-DE" w:eastAsia="de-DE"/>
        </w:rPr>
        <w:drawing>
          <wp:inline distT="0" distB="0" distL="0" distR="0" wp14:anchorId="1C47FF0F" wp14:editId="42D673C9">
            <wp:extent cx="3571336" cy="1914625"/>
            <wp:effectExtent l="0" t="0" r="0" b="9525"/>
            <wp:docPr id="4" name="Obrázek 4" descr="C:\Users\Tomik\Dropbox\Neurobio\!EKER project\figures jpg\FigS1.KAvsP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ik\Dropbox\Neurobio\!EKER project\figures jpg\FigS1.KAvsPilo.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574851" cy="1916509"/>
                    </a:xfrm>
                    <a:prstGeom prst="rect">
                      <a:avLst/>
                    </a:prstGeom>
                    <a:noFill/>
                    <a:ln>
                      <a:noFill/>
                    </a:ln>
                  </pic:spPr>
                </pic:pic>
              </a:graphicData>
            </a:graphic>
          </wp:inline>
        </w:drawing>
      </w:r>
    </w:p>
    <w:p w14:paraId="645B43E1" w14:textId="7D03CB2C" w:rsidR="00FE5DD8" w:rsidRPr="00600C12" w:rsidRDefault="00FE5DD8" w:rsidP="00FE5DD8">
      <w:pPr>
        <w:rPr>
          <w:i/>
          <w:lang w:val="en-US"/>
        </w:rPr>
      </w:pPr>
      <w:r w:rsidRPr="00600C12">
        <w:rPr>
          <w:b/>
          <w:i/>
          <w:lang w:val="en-US"/>
        </w:rPr>
        <w:t>Figure S</w:t>
      </w:r>
      <w:r>
        <w:rPr>
          <w:b/>
          <w:i/>
          <w:lang w:val="en-US"/>
        </w:rPr>
        <w:t>1</w:t>
      </w:r>
      <w:r w:rsidRPr="00600C12">
        <w:rPr>
          <w:b/>
          <w:i/>
          <w:lang w:val="en-US"/>
        </w:rPr>
        <w:t>:</w:t>
      </w:r>
      <w:r>
        <w:rPr>
          <w:b/>
          <w:i/>
          <w:lang w:val="en-US"/>
        </w:rPr>
        <w:t xml:space="preserve"> Impact of kainate- and pilocarpine-induced DSE on behavior in P27</w:t>
      </w:r>
      <w:r>
        <w:rPr>
          <w:b/>
          <w:i/>
          <w:lang w:val="en-US"/>
        </w:rPr>
        <w:br/>
      </w:r>
      <w:r w:rsidRPr="00600C12">
        <w:rPr>
          <w:i/>
          <w:lang w:val="en-US"/>
        </w:rPr>
        <w:t>During interaction of</w:t>
      </w:r>
      <w:r>
        <w:rPr>
          <w:i/>
          <w:lang w:val="en-US"/>
        </w:rPr>
        <w:t xml:space="preserve"> two age- and treatment-matched pups at the age of P27 (pre-weaning), social play behavior (a) and total number of ultrasonic vocalizations (b) were decreased in the pups which underwent pilocarpine-induced DSE (PIL), but not kainate-induced DSE (KA). Locomotor activity in unfamiliar environment (c) was not affected by the treatment</w:t>
      </w:r>
      <w:r w:rsidR="003208C8">
        <w:rPr>
          <w:i/>
          <w:lang w:val="en-US"/>
        </w:rPr>
        <w:t xml:space="preserve"> (n = 9 for saline, n = 11 for </w:t>
      </w:r>
      <w:r w:rsidR="003208C8" w:rsidRPr="003208C8">
        <w:rPr>
          <w:i/>
          <w:lang w:val="en-US"/>
        </w:rPr>
        <w:t>kain</w:t>
      </w:r>
      <w:r w:rsidR="003208C8">
        <w:rPr>
          <w:i/>
          <w:lang w:val="en-US"/>
        </w:rPr>
        <w:t>ic acid, n = 7 for pilocarpine)</w:t>
      </w:r>
      <w:r>
        <w:rPr>
          <w:i/>
          <w:lang w:val="en-US"/>
        </w:rPr>
        <w:t xml:space="preserve">. </w:t>
      </w:r>
      <w:r w:rsidRPr="00A213FC">
        <w:rPr>
          <w:i/>
          <w:lang w:val="en-US"/>
        </w:rPr>
        <w:t>Data are shown as means ± SEM.</w:t>
      </w:r>
    </w:p>
    <w:p w14:paraId="64F20BC3" w14:textId="77777777" w:rsidR="0038714C" w:rsidRDefault="0038714C" w:rsidP="002E420C">
      <w:pPr>
        <w:rPr>
          <w:b/>
          <w:lang w:val="en-US"/>
        </w:rPr>
      </w:pPr>
    </w:p>
    <w:p w14:paraId="7D042854" w14:textId="77777777" w:rsidR="00F636FC" w:rsidRDefault="005677A7" w:rsidP="00F636FC">
      <w:pPr>
        <w:jc w:val="both"/>
        <w:rPr>
          <w:b/>
          <w:lang w:val="en-US"/>
        </w:rPr>
      </w:pPr>
      <w:r>
        <w:rPr>
          <w:b/>
          <w:lang w:val="en-US"/>
        </w:rPr>
        <w:t>Alterations in</w:t>
      </w:r>
      <w:r w:rsidR="002E420C">
        <w:rPr>
          <w:b/>
          <w:lang w:val="en-US"/>
        </w:rPr>
        <w:t xml:space="preserve"> ultrasonic vocalization </w:t>
      </w:r>
      <w:r>
        <w:rPr>
          <w:b/>
          <w:lang w:val="en-US"/>
        </w:rPr>
        <w:t xml:space="preserve">in </w:t>
      </w:r>
      <w:r w:rsidRPr="004902AA">
        <w:rPr>
          <w:b/>
          <w:i/>
          <w:lang w:val="en-US"/>
        </w:rPr>
        <w:t>Tsc2</w:t>
      </w:r>
      <w:r w:rsidR="006D05FD" w:rsidRPr="004902AA">
        <w:rPr>
          <w:b/>
          <w:i/>
          <w:lang w:val="en-US"/>
        </w:rPr>
        <w:t>+/-</w:t>
      </w:r>
      <w:r>
        <w:rPr>
          <w:b/>
          <w:lang w:val="en-US"/>
        </w:rPr>
        <w:t xml:space="preserve"> pups </w:t>
      </w:r>
    </w:p>
    <w:p w14:paraId="0E34CC04" w14:textId="0807AEB6" w:rsidR="00600C12" w:rsidRDefault="002E420C" w:rsidP="00BD044E">
      <w:pPr>
        <w:jc w:val="both"/>
        <w:rPr>
          <w:lang w:val="en-GB"/>
        </w:rPr>
      </w:pPr>
      <w:r>
        <w:rPr>
          <w:lang w:val="en-US"/>
        </w:rPr>
        <w:t>All 7-day-old pups exhibited isolation-induced vocalizations with the fundamental frequency ranging between 35 and 45 kHz, often with harmonic frequency around 70 – 80 kHz</w:t>
      </w:r>
      <w:r w:rsidR="00221790">
        <w:rPr>
          <w:lang w:val="en-US"/>
        </w:rPr>
        <w:t xml:space="preserve">, mostly occurring in </w:t>
      </w:r>
      <w:r w:rsidR="00221790" w:rsidRPr="001078C6">
        <w:rPr>
          <w:lang w:val="en-US"/>
        </w:rPr>
        <w:t>series (bouts) of variable duration</w:t>
      </w:r>
      <w:r w:rsidR="00EE5CE6" w:rsidRPr="001078C6">
        <w:rPr>
          <w:lang w:val="en-US"/>
        </w:rPr>
        <w:t xml:space="preserve"> (</w:t>
      </w:r>
      <w:r w:rsidR="009A4630" w:rsidRPr="001078C6">
        <w:rPr>
          <w:lang w:val="en-US"/>
        </w:rPr>
        <w:t>Fig. S2d-f</w:t>
      </w:r>
      <w:r w:rsidR="00EE5CE6" w:rsidRPr="001078C6">
        <w:rPr>
          <w:lang w:val="en-US"/>
        </w:rPr>
        <w:t>)</w:t>
      </w:r>
      <w:r w:rsidRPr="001078C6">
        <w:rPr>
          <w:lang w:val="en-US"/>
        </w:rPr>
        <w:t xml:space="preserve">. Less common </w:t>
      </w:r>
      <w:r w:rsidR="00537FFA" w:rsidRPr="001078C6">
        <w:rPr>
          <w:lang w:val="en-US"/>
        </w:rPr>
        <w:t xml:space="preserve">“adult-like” </w:t>
      </w:r>
      <w:r w:rsidRPr="001078C6">
        <w:rPr>
          <w:lang w:val="en-US"/>
        </w:rPr>
        <w:t>calls with higher</w:t>
      </w:r>
      <w:r>
        <w:rPr>
          <w:lang w:val="en-US"/>
        </w:rPr>
        <w:t xml:space="preserve"> fundamental frequencies (up to 70 kHz) were also noted in some individuals, but not </w:t>
      </w:r>
      <w:r w:rsidR="00221790">
        <w:rPr>
          <w:lang w:val="en-US"/>
        </w:rPr>
        <w:t>included in the analysis</w:t>
      </w:r>
      <w:r w:rsidR="0086676C">
        <w:rPr>
          <w:lang w:val="en-US"/>
        </w:rPr>
        <w:t>. T</w:t>
      </w:r>
      <w:r w:rsidR="00537FFA">
        <w:rPr>
          <w:lang w:val="en-US"/>
        </w:rPr>
        <w:t>heir abundance didn’t seem linked to genotype</w:t>
      </w:r>
      <w:r>
        <w:rPr>
          <w:lang w:val="en-US"/>
        </w:rPr>
        <w:t>.</w:t>
      </w:r>
      <w:r w:rsidR="002C10A0">
        <w:rPr>
          <w:lang w:val="en-US"/>
        </w:rPr>
        <w:t xml:space="preserve"> We analyzed the total number of </w:t>
      </w:r>
      <w:r w:rsidR="00221790">
        <w:rPr>
          <w:lang w:val="en-US"/>
        </w:rPr>
        <w:t>isolation-induced</w:t>
      </w:r>
      <w:r w:rsidR="002C10A0">
        <w:rPr>
          <w:lang w:val="en-US"/>
        </w:rPr>
        <w:t xml:space="preserve"> calls, number of </w:t>
      </w:r>
      <w:r w:rsidR="00221790">
        <w:rPr>
          <w:lang w:val="en-US"/>
        </w:rPr>
        <w:t xml:space="preserve">isolation-induced </w:t>
      </w:r>
      <w:r w:rsidR="002C10A0">
        <w:rPr>
          <w:lang w:val="en-US"/>
        </w:rPr>
        <w:t>calls with frequency steps</w:t>
      </w:r>
      <w:r w:rsidR="00221790">
        <w:rPr>
          <w:lang w:val="en-US"/>
        </w:rPr>
        <w:t xml:space="preserve"> (stepped calls)</w:t>
      </w:r>
      <w:r w:rsidR="002C10A0">
        <w:rPr>
          <w:lang w:val="en-US"/>
        </w:rPr>
        <w:t xml:space="preserve"> and median bout duration. The latter two parameters had non-normal distribution and had to be log-transformed.</w:t>
      </w:r>
      <w:r w:rsidR="00F636FC">
        <w:rPr>
          <w:lang w:val="en-US"/>
        </w:rPr>
        <w:t xml:space="preserve"> </w:t>
      </w:r>
      <w:r w:rsidR="002C10A0">
        <w:rPr>
          <w:lang w:val="en-US"/>
        </w:rPr>
        <w:t xml:space="preserve">Analysis by MANOVA didn’t show overall significance. Tests of Between-Subjects Effects showed that </w:t>
      </w:r>
      <w:r w:rsidR="002C10A0" w:rsidRPr="00CC7281">
        <w:rPr>
          <w:i/>
          <w:lang w:val="en-US"/>
        </w:rPr>
        <w:t>T</w:t>
      </w:r>
      <w:r w:rsidR="002C10A0" w:rsidRPr="00CC7281">
        <w:rPr>
          <w:i/>
          <w:lang w:val="en-GB"/>
        </w:rPr>
        <w:t>sc2+/-</w:t>
      </w:r>
      <w:r w:rsidR="002C10A0">
        <w:rPr>
          <w:lang w:val="en-GB"/>
        </w:rPr>
        <w:t xml:space="preserve"> </w:t>
      </w:r>
      <w:r w:rsidR="002C10A0">
        <w:rPr>
          <w:lang w:val="en-US"/>
        </w:rPr>
        <w:t>individuals exhibited lower number of vocalizations with frequency steps (p = 0.026) and decreased median bout duration (p = 0.016). However, these observations have to be interpreted with caution, as the effect size was low (Ƞ</w:t>
      </w:r>
      <w:r w:rsidR="002C10A0" w:rsidRPr="003A6F45">
        <w:rPr>
          <w:vertAlign w:val="subscript"/>
          <w:lang w:val="en-US"/>
        </w:rPr>
        <w:t>p</w:t>
      </w:r>
      <w:r w:rsidR="002C10A0" w:rsidRPr="003A6F45">
        <w:rPr>
          <w:vertAlign w:val="superscript"/>
          <w:lang w:val="en-US"/>
        </w:rPr>
        <w:t>2</w:t>
      </w:r>
      <w:r w:rsidR="002C10A0">
        <w:rPr>
          <w:lang w:val="en-US"/>
        </w:rPr>
        <w:t xml:space="preserve"> = 0.094 and 0.109, respectively), and in the latter case the statistical </w:t>
      </w:r>
      <w:r w:rsidR="002C10A0">
        <w:rPr>
          <w:lang w:val="en-US"/>
        </w:rPr>
        <w:lastRenderedPageBreak/>
        <w:t xml:space="preserve">outcome was affected by the presence of an outlier. Nevertheless, the impact of </w:t>
      </w:r>
      <w:r w:rsidR="002C10A0" w:rsidRPr="00CC7281">
        <w:rPr>
          <w:i/>
          <w:lang w:val="en-US"/>
        </w:rPr>
        <w:t>T</w:t>
      </w:r>
      <w:r w:rsidR="002C10A0" w:rsidRPr="00CC7281">
        <w:rPr>
          <w:i/>
          <w:lang w:val="en-GB"/>
        </w:rPr>
        <w:t>sc2</w:t>
      </w:r>
      <w:r w:rsidR="002C10A0">
        <w:rPr>
          <w:lang w:val="en-GB"/>
        </w:rPr>
        <w:t xml:space="preserve"> mutation on neonatal vocalization clearly deserves further attention</w:t>
      </w:r>
      <w:r w:rsidR="00C200C5">
        <w:rPr>
          <w:lang w:val="en-GB"/>
        </w:rPr>
        <w:t xml:space="preserve">, as it suggests </w:t>
      </w:r>
      <w:r w:rsidR="00C200C5" w:rsidRPr="001078C6">
        <w:rPr>
          <w:lang w:val="en-GB"/>
        </w:rPr>
        <w:t>early onset of the behavioral phenotype</w:t>
      </w:r>
      <w:r w:rsidR="00EE5CE6" w:rsidRPr="001078C6">
        <w:rPr>
          <w:lang w:val="en-GB"/>
        </w:rPr>
        <w:t xml:space="preserve"> (</w:t>
      </w:r>
      <w:r w:rsidR="00B03035" w:rsidRPr="001078C6">
        <w:rPr>
          <w:lang w:val="en-GB"/>
        </w:rPr>
        <w:t>Fig. S2a-c</w:t>
      </w:r>
      <w:r w:rsidR="00EE5CE6" w:rsidRPr="001078C6">
        <w:rPr>
          <w:lang w:val="en-GB"/>
        </w:rPr>
        <w:t>)</w:t>
      </w:r>
      <w:r w:rsidR="002C10A0" w:rsidRPr="001078C6">
        <w:rPr>
          <w:lang w:val="en-GB"/>
        </w:rPr>
        <w:t>.</w:t>
      </w:r>
    </w:p>
    <w:p w14:paraId="29C63AAF" w14:textId="77777777" w:rsidR="005B5FE3" w:rsidRDefault="005B5FE3" w:rsidP="00BD044E">
      <w:pPr>
        <w:jc w:val="both"/>
        <w:rPr>
          <w:lang w:val="en-GB"/>
        </w:rPr>
      </w:pPr>
    </w:p>
    <w:p w14:paraId="148C7EA5" w14:textId="77777777" w:rsidR="00FE5DD8" w:rsidRDefault="00FE5DD8" w:rsidP="00D05987">
      <w:pPr>
        <w:jc w:val="center"/>
        <w:rPr>
          <w:lang w:val="en-US"/>
        </w:rPr>
      </w:pPr>
      <w:r>
        <w:rPr>
          <w:noProof/>
          <w:lang w:val="de-DE" w:eastAsia="de-DE"/>
        </w:rPr>
        <w:drawing>
          <wp:inline distT="0" distB="0" distL="0" distR="0" wp14:anchorId="66F87659" wp14:editId="28EA8514">
            <wp:extent cx="3925019" cy="4541485"/>
            <wp:effectExtent l="0" t="0" r="0" b="0"/>
            <wp:docPr id="5" name="Obrázek 5" descr="C:\Users\Tomik\Dropbox\Neurobio\!EKER project\figures jpg\FigS2.P7-U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ik\Dropbox\Neurobio\!EKER project\figures jpg\FigS2.P7-USV.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936018" cy="4554211"/>
                    </a:xfrm>
                    <a:prstGeom prst="rect">
                      <a:avLst/>
                    </a:prstGeom>
                    <a:noFill/>
                    <a:ln>
                      <a:noFill/>
                    </a:ln>
                  </pic:spPr>
                </pic:pic>
              </a:graphicData>
            </a:graphic>
          </wp:inline>
        </w:drawing>
      </w:r>
    </w:p>
    <w:p w14:paraId="6CE34C71" w14:textId="16EB23C2" w:rsidR="00FE5DD8" w:rsidRDefault="00FE5DD8" w:rsidP="00FE5DD8">
      <w:pPr>
        <w:rPr>
          <w:i/>
          <w:lang w:val="en-US"/>
        </w:rPr>
      </w:pPr>
      <w:r w:rsidRPr="00600C12">
        <w:rPr>
          <w:b/>
          <w:i/>
          <w:lang w:val="en-US"/>
        </w:rPr>
        <w:t>Figure S2: Effect of Tsc2+/- on isolation-induced neonatal vocalization</w:t>
      </w:r>
      <w:r w:rsidRPr="00600C12">
        <w:rPr>
          <w:b/>
          <w:i/>
          <w:lang w:val="en-US"/>
        </w:rPr>
        <w:br/>
      </w:r>
      <w:r w:rsidRPr="00600C12">
        <w:rPr>
          <w:i/>
          <w:lang w:val="en-US"/>
        </w:rPr>
        <w:t>(</w:t>
      </w:r>
      <w:r>
        <w:rPr>
          <w:i/>
          <w:lang w:val="en-US"/>
        </w:rPr>
        <w:t>a</w:t>
      </w:r>
      <w:r w:rsidRPr="00600C12">
        <w:rPr>
          <w:i/>
          <w:lang w:val="en-US"/>
        </w:rPr>
        <w:t xml:space="preserve">) Tsc2+/- </w:t>
      </w:r>
      <w:r>
        <w:rPr>
          <w:i/>
          <w:lang w:val="en-US"/>
        </w:rPr>
        <w:t xml:space="preserve">mutation </w:t>
      </w:r>
      <w:r w:rsidR="00D05987">
        <w:rPr>
          <w:i/>
          <w:lang w:val="en-US"/>
        </w:rPr>
        <w:t>didn’t</w:t>
      </w:r>
      <w:r w:rsidRPr="00600C12">
        <w:rPr>
          <w:i/>
          <w:lang w:val="en-US"/>
        </w:rPr>
        <w:t xml:space="preserve"> affect the total number of isolation-induced vocalizations in P7 pups</w:t>
      </w:r>
      <w:r>
        <w:rPr>
          <w:i/>
          <w:lang w:val="en-US"/>
        </w:rPr>
        <w:t xml:space="preserve">. </w:t>
      </w:r>
      <w:r w:rsidRPr="00600C12">
        <w:rPr>
          <w:i/>
          <w:lang w:val="en-US"/>
        </w:rPr>
        <w:t>(</w:t>
      </w:r>
      <w:r>
        <w:rPr>
          <w:i/>
          <w:lang w:val="en-US"/>
        </w:rPr>
        <w:t>b</w:t>
      </w:r>
      <w:r w:rsidRPr="00600C12">
        <w:rPr>
          <w:i/>
          <w:lang w:val="en-US"/>
        </w:rPr>
        <w:t xml:space="preserve">) </w:t>
      </w:r>
      <w:r w:rsidR="001E56E6">
        <w:rPr>
          <w:i/>
          <w:lang w:val="en-US"/>
        </w:rPr>
        <w:t xml:space="preserve">However, </w:t>
      </w:r>
      <w:r w:rsidRPr="00600C12">
        <w:rPr>
          <w:i/>
          <w:lang w:val="en-US"/>
        </w:rPr>
        <w:t xml:space="preserve">Tsc2+/- </w:t>
      </w:r>
      <w:r>
        <w:rPr>
          <w:i/>
          <w:lang w:val="en-US"/>
        </w:rPr>
        <w:t xml:space="preserve">mutant </w:t>
      </w:r>
      <w:r w:rsidRPr="00600C12">
        <w:rPr>
          <w:i/>
          <w:lang w:val="en-US"/>
        </w:rPr>
        <w:t>individuals exhibited lower number of isolation-induced vocalizations with frequency steps and (</w:t>
      </w:r>
      <w:r>
        <w:rPr>
          <w:i/>
          <w:lang w:val="en-US"/>
        </w:rPr>
        <w:t>c</w:t>
      </w:r>
      <w:r w:rsidRPr="00600C12">
        <w:rPr>
          <w:i/>
          <w:lang w:val="en-US"/>
        </w:rPr>
        <w:t>) their vocalization bouts were significantly shorter</w:t>
      </w:r>
      <w:r w:rsidR="00E35F8E">
        <w:rPr>
          <w:i/>
          <w:lang w:val="en-US"/>
        </w:rPr>
        <w:t xml:space="preserve"> (n = 33 for wt, n = 22 for </w:t>
      </w:r>
      <w:r w:rsidR="00E35F8E" w:rsidRPr="00E35F8E">
        <w:rPr>
          <w:lang w:val="en-US"/>
        </w:rPr>
        <w:t>Tsc2+/-</w:t>
      </w:r>
      <w:r w:rsidR="00E35F8E">
        <w:rPr>
          <w:i/>
          <w:lang w:val="en-US"/>
        </w:rPr>
        <w:t>)</w:t>
      </w:r>
      <w:r w:rsidRPr="00600C12">
        <w:rPr>
          <w:i/>
          <w:lang w:val="en-US"/>
        </w:rPr>
        <w:t>. (</w:t>
      </w:r>
      <w:r>
        <w:rPr>
          <w:i/>
          <w:lang w:val="en-US"/>
        </w:rPr>
        <w:t>d</w:t>
      </w:r>
      <w:r w:rsidRPr="00600C12">
        <w:rPr>
          <w:i/>
          <w:lang w:val="en-US"/>
        </w:rPr>
        <w:t>-</w:t>
      </w:r>
      <w:r>
        <w:rPr>
          <w:i/>
          <w:lang w:val="en-US"/>
        </w:rPr>
        <w:t>f</w:t>
      </w:r>
      <w:r w:rsidRPr="00600C12">
        <w:rPr>
          <w:i/>
          <w:lang w:val="en-US"/>
        </w:rPr>
        <w:t>) Typical examples of isolation-induced calls</w:t>
      </w:r>
      <w:r>
        <w:rPr>
          <w:i/>
          <w:lang w:val="en-US"/>
        </w:rPr>
        <w:t xml:space="preserve"> and one bout</w:t>
      </w:r>
      <w:r w:rsidRPr="00600C12">
        <w:rPr>
          <w:i/>
          <w:lang w:val="en-US"/>
        </w:rPr>
        <w:t>.</w:t>
      </w:r>
      <w:r w:rsidRPr="00A213FC">
        <w:t xml:space="preserve"> </w:t>
      </w:r>
      <w:r w:rsidRPr="00A213FC">
        <w:rPr>
          <w:i/>
          <w:lang w:val="en-US"/>
        </w:rPr>
        <w:t>Data are shown as means ± SEM.</w:t>
      </w:r>
      <w:r>
        <w:rPr>
          <w:i/>
          <w:lang w:val="en-US"/>
        </w:rPr>
        <w:t xml:space="preserve"> *p &lt; 0.05</w:t>
      </w:r>
    </w:p>
    <w:p w14:paraId="17C46335" w14:textId="46E0814F" w:rsidR="0038714C" w:rsidRPr="00600C12" w:rsidRDefault="0038714C" w:rsidP="002C10A0">
      <w:pPr>
        <w:rPr>
          <w:lang w:val="en-GB"/>
        </w:rPr>
      </w:pPr>
    </w:p>
    <w:p w14:paraId="29EE3769" w14:textId="08BF3EEE" w:rsidR="00992F55" w:rsidRDefault="00992F55" w:rsidP="00992F55">
      <w:pPr>
        <w:rPr>
          <w:b/>
          <w:lang w:val="en-US"/>
        </w:rPr>
      </w:pPr>
      <w:r w:rsidRPr="00E5057E">
        <w:rPr>
          <w:b/>
          <w:lang w:val="en-US"/>
        </w:rPr>
        <w:t>Everolimus levels in the brain tissue</w:t>
      </w:r>
    </w:p>
    <w:p w14:paraId="01558E90" w14:textId="54BA94FB" w:rsidR="001752C7" w:rsidRDefault="002E30A8" w:rsidP="00BD044E">
      <w:pPr>
        <w:jc w:val="both"/>
        <w:rPr>
          <w:lang w:val="en-US"/>
        </w:rPr>
      </w:pPr>
      <w:r>
        <w:rPr>
          <w:lang w:val="en-US"/>
        </w:rPr>
        <w:t xml:space="preserve">In the pilot experiment in intact wild-type rats, </w:t>
      </w:r>
      <w:r w:rsidR="00DF145C">
        <w:rPr>
          <w:lang w:val="en-US"/>
        </w:rPr>
        <w:t>e</w:t>
      </w:r>
      <w:r w:rsidR="00062A9E">
        <w:rPr>
          <w:lang w:val="en-US"/>
        </w:rPr>
        <w:t xml:space="preserve">verolimus was not detected in the baseline (unmedicated) group. In brains harvested 24 h after the third and 24 </w:t>
      </w:r>
      <w:r w:rsidR="00DF145C">
        <w:rPr>
          <w:lang w:val="en-US"/>
        </w:rPr>
        <w:t>h after the sixth injection of e</w:t>
      </w:r>
      <w:r w:rsidR="00062A9E">
        <w:rPr>
          <w:lang w:val="en-US"/>
        </w:rPr>
        <w:t xml:space="preserve">verolimus, concentrations of the drug were comparable, suggesting a stable therapeutic level </w:t>
      </w:r>
      <w:r w:rsidR="00062A9E" w:rsidRPr="00062A9E">
        <w:rPr>
          <w:lang w:val="en-US"/>
        </w:rPr>
        <w:t xml:space="preserve">during the T2 behavioral </w:t>
      </w:r>
      <w:r w:rsidR="00062A9E" w:rsidRPr="007F7621">
        <w:rPr>
          <w:lang w:val="en-US"/>
        </w:rPr>
        <w:t>testing (</w:t>
      </w:r>
      <w:r w:rsidRPr="007F7621">
        <w:rPr>
          <w:lang w:val="en-US"/>
        </w:rPr>
        <w:t>Fig. S</w:t>
      </w:r>
      <w:r w:rsidR="009F0071">
        <w:rPr>
          <w:lang w:val="en-US"/>
        </w:rPr>
        <w:t>3</w:t>
      </w:r>
      <w:r w:rsidR="00062A9E" w:rsidRPr="007F7621">
        <w:rPr>
          <w:lang w:val="en-US"/>
        </w:rPr>
        <w:t>).</w:t>
      </w:r>
    </w:p>
    <w:p w14:paraId="2B6396A7" w14:textId="77777777" w:rsidR="00F2712F" w:rsidRPr="00062A9E" w:rsidRDefault="00F2712F" w:rsidP="00992F55">
      <w:pPr>
        <w:rPr>
          <w:lang w:val="en-US"/>
        </w:rPr>
      </w:pPr>
    </w:p>
    <w:p w14:paraId="5365B369" w14:textId="760B6D1F" w:rsidR="00351678" w:rsidRDefault="00B21757" w:rsidP="001078C6">
      <w:pPr>
        <w:jc w:val="center"/>
        <w:rPr>
          <w:i/>
          <w:lang w:val="en-US"/>
        </w:rPr>
      </w:pPr>
      <w:r>
        <w:rPr>
          <w:i/>
          <w:noProof/>
          <w:lang w:val="de-DE" w:eastAsia="de-DE"/>
        </w:rPr>
        <w:lastRenderedPageBreak/>
        <w:drawing>
          <wp:inline distT="0" distB="0" distL="0" distR="0" wp14:anchorId="23C7FA8D" wp14:editId="7EBB6480">
            <wp:extent cx="2096135" cy="2208530"/>
            <wp:effectExtent l="0" t="0" r="0" b="1270"/>
            <wp:docPr id="1" name="Bild 1" descr="Fig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S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135" cy="2208530"/>
                    </a:xfrm>
                    <a:prstGeom prst="rect">
                      <a:avLst/>
                    </a:prstGeom>
                    <a:noFill/>
                    <a:ln>
                      <a:noFill/>
                    </a:ln>
                  </pic:spPr>
                </pic:pic>
              </a:graphicData>
            </a:graphic>
          </wp:inline>
        </w:drawing>
      </w:r>
    </w:p>
    <w:p w14:paraId="7CE8433A" w14:textId="41F31C86" w:rsidR="00351678" w:rsidRPr="00600C12" w:rsidRDefault="00351678" w:rsidP="00600C12">
      <w:pPr>
        <w:rPr>
          <w:i/>
          <w:lang w:val="en-US"/>
        </w:rPr>
      </w:pPr>
      <w:r w:rsidRPr="00600C12">
        <w:rPr>
          <w:b/>
          <w:i/>
          <w:lang w:val="en-US"/>
        </w:rPr>
        <w:t xml:space="preserve">Figure </w:t>
      </w:r>
      <w:r w:rsidR="000102FF" w:rsidRPr="00600C12">
        <w:rPr>
          <w:b/>
          <w:i/>
          <w:lang w:val="en-US"/>
        </w:rPr>
        <w:t>S</w:t>
      </w:r>
      <w:r w:rsidR="009F0071">
        <w:rPr>
          <w:b/>
          <w:i/>
          <w:lang w:val="en-US"/>
        </w:rPr>
        <w:t>3</w:t>
      </w:r>
      <w:r w:rsidRPr="00600C12">
        <w:rPr>
          <w:b/>
          <w:i/>
          <w:lang w:val="en-US"/>
        </w:rPr>
        <w:t xml:space="preserve">: </w:t>
      </w:r>
      <w:r>
        <w:rPr>
          <w:b/>
          <w:i/>
          <w:lang w:val="en-US"/>
        </w:rPr>
        <w:t>Everolimus levels in the brain during administration</w:t>
      </w:r>
      <w:r w:rsidRPr="00600C12">
        <w:rPr>
          <w:b/>
          <w:i/>
          <w:lang w:val="en-US"/>
        </w:rPr>
        <w:br/>
      </w:r>
      <w:r w:rsidR="004667E1">
        <w:rPr>
          <w:i/>
          <w:lang w:val="en-US"/>
        </w:rPr>
        <w:t>B</w:t>
      </w:r>
      <w:r w:rsidR="00DF145C">
        <w:rPr>
          <w:i/>
          <w:lang w:val="en-US"/>
        </w:rPr>
        <w:t>rain levels of e</w:t>
      </w:r>
      <w:r>
        <w:rPr>
          <w:i/>
          <w:lang w:val="en-US"/>
        </w:rPr>
        <w:t xml:space="preserve">verolimus were stable in the interval between the third </w:t>
      </w:r>
      <w:r w:rsidR="004667E1">
        <w:rPr>
          <w:i/>
          <w:lang w:val="en-US"/>
        </w:rPr>
        <w:t xml:space="preserve">(EVE3) </w:t>
      </w:r>
      <w:r>
        <w:rPr>
          <w:i/>
          <w:lang w:val="en-US"/>
        </w:rPr>
        <w:t xml:space="preserve">and the sixth </w:t>
      </w:r>
      <w:r w:rsidR="004667E1">
        <w:rPr>
          <w:i/>
          <w:lang w:val="en-US"/>
        </w:rPr>
        <w:t xml:space="preserve">(EVE6) </w:t>
      </w:r>
      <w:r>
        <w:rPr>
          <w:i/>
          <w:lang w:val="en-US"/>
        </w:rPr>
        <w:t>injection, when the T2 behavioral testing occurred</w:t>
      </w:r>
      <w:r w:rsidR="00777D4D">
        <w:rPr>
          <w:i/>
          <w:lang w:val="en-US"/>
        </w:rPr>
        <w:t>(n = 4 for baseline, n = 6 for EVE3 and n = 6 for EVE6)</w:t>
      </w:r>
      <w:r w:rsidR="0037114D">
        <w:rPr>
          <w:i/>
          <w:lang w:val="en-US"/>
        </w:rPr>
        <w:t xml:space="preserve"> .</w:t>
      </w:r>
      <w:r>
        <w:rPr>
          <w:i/>
          <w:lang w:val="en-US"/>
        </w:rPr>
        <w:t xml:space="preserve"> </w:t>
      </w:r>
      <w:r w:rsidR="00A213FC" w:rsidRPr="00A213FC">
        <w:rPr>
          <w:i/>
          <w:lang w:val="en-US"/>
        </w:rPr>
        <w:t>Data are shown as means ± SEM.</w:t>
      </w:r>
    </w:p>
    <w:p w14:paraId="6417111D" w14:textId="77777777" w:rsidR="000A45FA" w:rsidRDefault="000A45FA" w:rsidP="000A45FA">
      <w:pPr>
        <w:rPr>
          <w:b/>
          <w:lang w:val="en-US"/>
        </w:rPr>
      </w:pPr>
    </w:p>
    <w:p w14:paraId="7091D39F" w14:textId="77777777" w:rsidR="00DA1D98" w:rsidRDefault="00DA1D98">
      <w:pPr>
        <w:rPr>
          <w:b/>
          <w:lang w:val="en-US"/>
        </w:rPr>
      </w:pPr>
      <w:r>
        <w:rPr>
          <w:b/>
          <w:lang w:val="en-US"/>
        </w:rPr>
        <w:br w:type="page"/>
      </w:r>
    </w:p>
    <w:p w14:paraId="643A9F8E" w14:textId="7860BF5D" w:rsidR="00D03E7D" w:rsidRDefault="002778B6" w:rsidP="00992F55">
      <w:pPr>
        <w:rPr>
          <w:b/>
          <w:lang w:val="en-US"/>
        </w:rPr>
      </w:pPr>
      <w:r>
        <w:rPr>
          <w:b/>
          <w:lang w:val="en-US"/>
        </w:rPr>
        <w:lastRenderedPageBreak/>
        <w:t>SUPPLEMENTARY REFFERENCES</w:t>
      </w:r>
    </w:p>
    <w:p w14:paraId="329A45CD" w14:textId="5565DF8B" w:rsidR="002778B6" w:rsidRDefault="002778B6" w:rsidP="00992F55">
      <w:pPr>
        <w:rPr>
          <w:b/>
          <w:lang w:val="en-US"/>
        </w:rPr>
      </w:pPr>
    </w:p>
    <w:p w14:paraId="689AF30E" w14:textId="3AB02820" w:rsidR="0027497F" w:rsidRPr="0027497F" w:rsidRDefault="004668B9" w:rsidP="0027497F">
      <w:pPr>
        <w:widowControl w:val="0"/>
        <w:autoSpaceDE w:val="0"/>
        <w:autoSpaceDN w:val="0"/>
        <w:adjustRightInd w:val="0"/>
        <w:spacing w:line="240" w:lineRule="auto"/>
        <w:rPr>
          <w:rFonts w:ascii="Calibri" w:hAnsi="Calibri" w:cs="Calibri"/>
          <w:noProof/>
          <w:szCs w:val="24"/>
        </w:rPr>
      </w:pPr>
      <w:r>
        <w:rPr>
          <w:b/>
          <w:lang w:val="en-US"/>
        </w:rPr>
        <w:fldChar w:fldCharType="begin" w:fldLock="1"/>
      </w:r>
      <w:r>
        <w:rPr>
          <w:b/>
          <w:lang w:val="en-US"/>
        </w:rPr>
        <w:instrText xml:space="preserve">ADDIN Mendeley Bibliography CSL_BIBLIOGRAPHY </w:instrText>
      </w:r>
      <w:r>
        <w:rPr>
          <w:b/>
          <w:lang w:val="en-US"/>
        </w:rPr>
        <w:fldChar w:fldCharType="separate"/>
      </w:r>
      <w:r w:rsidR="0027497F" w:rsidRPr="0027497F">
        <w:rPr>
          <w:rFonts w:ascii="Calibri" w:hAnsi="Calibri" w:cs="Calibri"/>
          <w:noProof/>
          <w:szCs w:val="24"/>
        </w:rPr>
        <w:t xml:space="preserve">1. Waltereit R, Japs B, Schneider M, De Vries PJ, Bartsch D. Epilepsy and Tsc2 haploinsufficiency lead to autistic-like social deficit behaviors in rats. Behav Genet. 2011;41:364–72. </w:t>
      </w:r>
    </w:p>
    <w:p w14:paraId="1B6B4CBC" w14:textId="77777777" w:rsidR="0027497F" w:rsidRPr="0027497F" w:rsidRDefault="0027497F" w:rsidP="0027497F">
      <w:pPr>
        <w:widowControl w:val="0"/>
        <w:autoSpaceDE w:val="0"/>
        <w:autoSpaceDN w:val="0"/>
        <w:adjustRightInd w:val="0"/>
        <w:spacing w:line="240" w:lineRule="auto"/>
        <w:rPr>
          <w:rFonts w:ascii="Calibri" w:hAnsi="Calibri" w:cs="Calibri"/>
          <w:noProof/>
          <w:szCs w:val="24"/>
        </w:rPr>
      </w:pPr>
      <w:r w:rsidRPr="0027497F">
        <w:rPr>
          <w:rFonts w:ascii="Calibri" w:hAnsi="Calibri" w:cs="Calibri"/>
          <w:noProof/>
          <w:szCs w:val="24"/>
        </w:rPr>
        <w:t xml:space="preserve">2. Schneider M, de Vries PJ, Schönig K, Rößner V, Waltereit R. mTOR inhibitor reverses autistic-like social deficit behaviours in adult rats with both Tsc2 haploinsufficiency and developmental status epilepticus. Eur Arch Psychiatry Clin Neurosci. 2017;267. </w:t>
      </w:r>
    </w:p>
    <w:p w14:paraId="7E6B8A4E" w14:textId="77777777" w:rsidR="0027497F" w:rsidRPr="0027497F" w:rsidRDefault="0027497F" w:rsidP="0027497F">
      <w:pPr>
        <w:widowControl w:val="0"/>
        <w:autoSpaceDE w:val="0"/>
        <w:autoSpaceDN w:val="0"/>
        <w:adjustRightInd w:val="0"/>
        <w:spacing w:line="240" w:lineRule="auto"/>
        <w:rPr>
          <w:rFonts w:ascii="Calibri" w:hAnsi="Calibri" w:cs="Calibri"/>
          <w:noProof/>
          <w:szCs w:val="24"/>
        </w:rPr>
      </w:pPr>
      <w:r w:rsidRPr="0027497F">
        <w:rPr>
          <w:rFonts w:ascii="Calibri" w:hAnsi="Calibri" w:cs="Calibri"/>
          <w:noProof/>
          <w:szCs w:val="24"/>
        </w:rPr>
        <w:t xml:space="preserve">3. Reddy DS, Kuruba R. Experimental models of status epilepticus and neuronal injury for evaluation of therapeutic interventions. Int J Mol Sci. 2013;14:18284–318. </w:t>
      </w:r>
    </w:p>
    <w:p w14:paraId="7EA5D382" w14:textId="77777777" w:rsidR="0027497F" w:rsidRPr="0027497F" w:rsidRDefault="0027497F" w:rsidP="0027497F">
      <w:pPr>
        <w:widowControl w:val="0"/>
        <w:autoSpaceDE w:val="0"/>
        <w:autoSpaceDN w:val="0"/>
        <w:adjustRightInd w:val="0"/>
        <w:spacing w:line="240" w:lineRule="auto"/>
        <w:rPr>
          <w:rFonts w:ascii="Calibri" w:hAnsi="Calibri" w:cs="Calibri"/>
          <w:noProof/>
        </w:rPr>
      </w:pPr>
      <w:r w:rsidRPr="0027497F">
        <w:rPr>
          <w:rFonts w:ascii="Calibri" w:hAnsi="Calibri" w:cs="Calibri"/>
          <w:noProof/>
          <w:szCs w:val="24"/>
        </w:rPr>
        <w:t xml:space="preserve">4. Wright JM, Gourdon JC, Clarke PBS. Identification of multiple call categories within the rich repertoire of adult rat  50-kHz ultrasonic vocalizations: effects of amphetamine and social context. Psychopharmacology (Berl). Germany; 2010;211:1–13. </w:t>
      </w:r>
    </w:p>
    <w:p w14:paraId="02F75341" w14:textId="7B323565" w:rsidR="00D05987" w:rsidRDefault="004668B9" w:rsidP="00D03E7D">
      <w:r>
        <w:rPr>
          <w:b/>
          <w:lang w:val="en-US"/>
        </w:rPr>
        <w:fldChar w:fldCharType="end"/>
      </w:r>
    </w:p>
    <w:sectPr w:rsidR="00D0598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13FD89" w16cid:durableId="2232D3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0D3C3" w14:textId="77777777" w:rsidR="00DB1ADB" w:rsidRDefault="00DB1ADB" w:rsidP="00880E0D">
      <w:pPr>
        <w:spacing w:after="0" w:line="240" w:lineRule="auto"/>
      </w:pPr>
      <w:r>
        <w:separator/>
      </w:r>
    </w:p>
  </w:endnote>
  <w:endnote w:type="continuationSeparator" w:id="0">
    <w:p w14:paraId="1AAC139F" w14:textId="77777777" w:rsidR="00DB1ADB" w:rsidRDefault="00DB1ADB" w:rsidP="0088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48EF9" w14:textId="77777777" w:rsidR="00DB1ADB" w:rsidRDefault="00DB1ADB" w:rsidP="00880E0D">
      <w:pPr>
        <w:spacing w:after="0" w:line="240" w:lineRule="auto"/>
      </w:pPr>
      <w:r>
        <w:separator/>
      </w:r>
    </w:p>
  </w:footnote>
  <w:footnote w:type="continuationSeparator" w:id="0">
    <w:p w14:paraId="149874F9" w14:textId="77777777" w:rsidR="00DB1ADB" w:rsidRDefault="00DB1ADB" w:rsidP="0088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F4F22"/>
    <w:multiLevelType w:val="hybridMultilevel"/>
    <w:tmpl w:val="43E03B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E9"/>
    <w:rsid w:val="00010055"/>
    <w:rsid w:val="000102FF"/>
    <w:rsid w:val="00031D77"/>
    <w:rsid w:val="0003639C"/>
    <w:rsid w:val="00062A9E"/>
    <w:rsid w:val="00062D83"/>
    <w:rsid w:val="00066772"/>
    <w:rsid w:val="00092578"/>
    <w:rsid w:val="000A45FA"/>
    <w:rsid w:val="000A671B"/>
    <w:rsid w:val="000B66CA"/>
    <w:rsid w:val="000C4A97"/>
    <w:rsid w:val="000C575C"/>
    <w:rsid w:val="000C6693"/>
    <w:rsid w:val="000C76D1"/>
    <w:rsid w:val="000E19BD"/>
    <w:rsid w:val="001078C6"/>
    <w:rsid w:val="001261CD"/>
    <w:rsid w:val="0016152E"/>
    <w:rsid w:val="001752C7"/>
    <w:rsid w:val="001A168E"/>
    <w:rsid w:val="001D03E1"/>
    <w:rsid w:val="001E170B"/>
    <w:rsid w:val="001E3CD1"/>
    <w:rsid w:val="001E56E6"/>
    <w:rsid w:val="002129DC"/>
    <w:rsid w:val="0021618E"/>
    <w:rsid w:val="002177A9"/>
    <w:rsid w:val="00221790"/>
    <w:rsid w:val="00253E82"/>
    <w:rsid w:val="002628E3"/>
    <w:rsid w:val="00271372"/>
    <w:rsid w:val="002719C2"/>
    <w:rsid w:val="0027497F"/>
    <w:rsid w:val="00275EFC"/>
    <w:rsid w:val="002778B6"/>
    <w:rsid w:val="002A2488"/>
    <w:rsid w:val="002A24A4"/>
    <w:rsid w:val="002B5438"/>
    <w:rsid w:val="002C0C1C"/>
    <w:rsid w:val="002C10A0"/>
    <w:rsid w:val="002D07ED"/>
    <w:rsid w:val="002D2556"/>
    <w:rsid w:val="002D3119"/>
    <w:rsid w:val="002E25EE"/>
    <w:rsid w:val="002E30A8"/>
    <w:rsid w:val="002E420C"/>
    <w:rsid w:val="002E5E25"/>
    <w:rsid w:val="002F2EE0"/>
    <w:rsid w:val="002F7AA9"/>
    <w:rsid w:val="00303B00"/>
    <w:rsid w:val="00312B01"/>
    <w:rsid w:val="003208C8"/>
    <w:rsid w:val="003240D3"/>
    <w:rsid w:val="003361B8"/>
    <w:rsid w:val="00347200"/>
    <w:rsid w:val="00351678"/>
    <w:rsid w:val="00352171"/>
    <w:rsid w:val="00354096"/>
    <w:rsid w:val="003624C3"/>
    <w:rsid w:val="0037114D"/>
    <w:rsid w:val="0037138F"/>
    <w:rsid w:val="00375FF4"/>
    <w:rsid w:val="003864B8"/>
    <w:rsid w:val="0038714C"/>
    <w:rsid w:val="00391050"/>
    <w:rsid w:val="00396A7B"/>
    <w:rsid w:val="003A179C"/>
    <w:rsid w:val="003C1950"/>
    <w:rsid w:val="003C3F72"/>
    <w:rsid w:val="003C6CDB"/>
    <w:rsid w:val="003D651E"/>
    <w:rsid w:val="003D7806"/>
    <w:rsid w:val="003F7EB4"/>
    <w:rsid w:val="0040273D"/>
    <w:rsid w:val="004219AC"/>
    <w:rsid w:val="00427102"/>
    <w:rsid w:val="00441039"/>
    <w:rsid w:val="00447993"/>
    <w:rsid w:val="004667E1"/>
    <w:rsid w:val="004668B9"/>
    <w:rsid w:val="00470C0F"/>
    <w:rsid w:val="00473694"/>
    <w:rsid w:val="0047780B"/>
    <w:rsid w:val="00484A86"/>
    <w:rsid w:val="00486053"/>
    <w:rsid w:val="004902AA"/>
    <w:rsid w:val="004963C9"/>
    <w:rsid w:val="004966EA"/>
    <w:rsid w:val="004A1E05"/>
    <w:rsid w:val="004A4624"/>
    <w:rsid w:val="004A7C21"/>
    <w:rsid w:val="004B0D1D"/>
    <w:rsid w:val="004C34EE"/>
    <w:rsid w:val="004D5660"/>
    <w:rsid w:val="004F0B36"/>
    <w:rsid w:val="005035F5"/>
    <w:rsid w:val="00510FB8"/>
    <w:rsid w:val="0051477B"/>
    <w:rsid w:val="005166C9"/>
    <w:rsid w:val="00526E85"/>
    <w:rsid w:val="005336C3"/>
    <w:rsid w:val="00535EC0"/>
    <w:rsid w:val="00537FFA"/>
    <w:rsid w:val="00553115"/>
    <w:rsid w:val="00556904"/>
    <w:rsid w:val="005677A7"/>
    <w:rsid w:val="0057007D"/>
    <w:rsid w:val="00592625"/>
    <w:rsid w:val="00592E0B"/>
    <w:rsid w:val="0059441A"/>
    <w:rsid w:val="00597E58"/>
    <w:rsid w:val="005A214A"/>
    <w:rsid w:val="005A6707"/>
    <w:rsid w:val="005B40B4"/>
    <w:rsid w:val="005B5FE3"/>
    <w:rsid w:val="005C128D"/>
    <w:rsid w:val="005C2FF9"/>
    <w:rsid w:val="005C573D"/>
    <w:rsid w:val="005C637E"/>
    <w:rsid w:val="005D27A8"/>
    <w:rsid w:val="005E3B34"/>
    <w:rsid w:val="005E67D8"/>
    <w:rsid w:val="005F5C41"/>
    <w:rsid w:val="005F7AF6"/>
    <w:rsid w:val="00600C12"/>
    <w:rsid w:val="00604458"/>
    <w:rsid w:val="00604AB7"/>
    <w:rsid w:val="00605CE0"/>
    <w:rsid w:val="00607A8C"/>
    <w:rsid w:val="00616308"/>
    <w:rsid w:val="00616A60"/>
    <w:rsid w:val="00623766"/>
    <w:rsid w:val="006269F5"/>
    <w:rsid w:val="00643AB6"/>
    <w:rsid w:val="00646756"/>
    <w:rsid w:val="00654E8D"/>
    <w:rsid w:val="0067687F"/>
    <w:rsid w:val="006A013C"/>
    <w:rsid w:val="006A4266"/>
    <w:rsid w:val="006A6EF5"/>
    <w:rsid w:val="006A73F7"/>
    <w:rsid w:val="006B6E75"/>
    <w:rsid w:val="006C6120"/>
    <w:rsid w:val="006D05FD"/>
    <w:rsid w:val="006E047C"/>
    <w:rsid w:val="006E12BE"/>
    <w:rsid w:val="006F6654"/>
    <w:rsid w:val="00706BF1"/>
    <w:rsid w:val="007333D8"/>
    <w:rsid w:val="0074524E"/>
    <w:rsid w:val="00755186"/>
    <w:rsid w:val="00760874"/>
    <w:rsid w:val="00766022"/>
    <w:rsid w:val="00777D4D"/>
    <w:rsid w:val="00783010"/>
    <w:rsid w:val="007850AB"/>
    <w:rsid w:val="007859CE"/>
    <w:rsid w:val="0079157B"/>
    <w:rsid w:val="007A29AB"/>
    <w:rsid w:val="007A5FB6"/>
    <w:rsid w:val="007C1082"/>
    <w:rsid w:val="007C2446"/>
    <w:rsid w:val="007E2BBB"/>
    <w:rsid w:val="007E2D8C"/>
    <w:rsid w:val="007E3AC1"/>
    <w:rsid w:val="007E7158"/>
    <w:rsid w:val="007E7732"/>
    <w:rsid w:val="007F115F"/>
    <w:rsid w:val="007F7621"/>
    <w:rsid w:val="00823863"/>
    <w:rsid w:val="00824421"/>
    <w:rsid w:val="008263A1"/>
    <w:rsid w:val="008279AA"/>
    <w:rsid w:val="00827C52"/>
    <w:rsid w:val="00836EEA"/>
    <w:rsid w:val="008541B4"/>
    <w:rsid w:val="0086676C"/>
    <w:rsid w:val="008667A0"/>
    <w:rsid w:val="00880E0D"/>
    <w:rsid w:val="008A61A4"/>
    <w:rsid w:val="008B2CC7"/>
    <w:rsid w:val="008B3D9F"/>
    <w:rsid w:val="008C402F"/>
    <w:rsid w:val="008F2A66"/>
    <w:rsid w:val="008F4FCF"/>
    <w:rsid w:val="008F57A9"/>
    <w:rsid w:val="00900F73"/>
    <w:rsid w:val="00910DAF"/>
    <w:rsid w:val="0091415B"/>
    <w:rsid w:val="009176DF"/>
    <w:rsid w:val="00917C7E"/>
    <w:rsid w:val="00923B78"/>
    <w:rsid w:val="00924A35"/>
    <w:rsid w:val="00925B68"/>
    <w:rsid w:val="00952228"/>
    <w:rsid w:val="00955BDB"/>
    <w:rsid w:val="00957DA3"/>
    <w:rsid w:val="00960C94"/>
    <w:rsid w:val="00971165"/>
    <w:rsid w:val="00972866"/>
    <w:rsid w:val="00976F72"/>
    <w:rsid w:val="00992F55"/>
    <w:rsid w:val="009A4630"/>
    <w:rsid w:val="009A71C2"/>
    <w:rsid w:val="009C29AC"/>
    <w:rsid w:val="009C2A0D"/>
    <w:rsid w:val="009C2DD9"/>
    <w:rsid w:val="009D2703"/>
    <w:rsid w:val="009D3649"/>
    <w:rsid w:val="009D5A77"/>
    <w:rsid w:val="009D741F"/>
    <w:rsid w:val="009E7610"/>
    <w:rsid w:val="009F0071"/>
    <w:rsid w:val="009F3963"/>
    <w:rsid w:val="009F4BE8"/>
    <w:rsid w:val="009F7D5C"/>
    <w:rsid w:val="00A04C93"/>
    <w:rsid w:val="00A137FF"/>
    <w:rsid w:val="00A213FC"/>
    <w:rsid w:val="00A21C4D"/>
    <w:rsid w:val="00A253E9"/>
    <w:rsid w:val="00A435E6"/>
    <w:rsid w:val="00A43690"/>
    <w:rsid w:val="00A56F8B"/>
    <w:rsid w:val="00A84188"/>
    <w:rsid w:val="00A91040"/>
    <w:rsid w:val="00AA2D2D"/>
    <w:rsid w:val="00AA3CBD"/>
    <w:rsid w:val="00AB066A"/>
    <w:rsid w:val="00AC033E"/>
    <w:rsid w:val="00AC04B7"/>
    <w:rsid w:val="00AD12DA"/>
    <w:rsid w:val="00AD5151"/>
    <w:rsid w:val="00AD53D2"/>
    <w:rsid w:val="00AE2A47"/>
    <w:rsid w:val="00B03035"/>
    <w:rsid w:val="00B03EFC"/>
    <w:rsid w:val="00B0659B"/>
    <w:rsid w:val="00B10B3E"/>
    <w:rsid w:val="00B1733C"/>
    <w:rsid w:val="00B177C2"/>
    <w:rsid w:val="00B21757"/>
    <w:rsid w:val="00B219DE"/>
    <w:rsid w:val="00B274CB"/>
    <w:rsid w:val="00B3303B"/>
    <w:rsid w:val="00B33E73"/>
    <w:rsid w:val="00B37BF8"/>
    <w:rsid w:val="00B64436"/>
    <w:rsid w:val="00B70657"/>
    <w:rsid w:val="00B70D80"/>
    <w:rsid w:val="00B75DBB"/>
    <w:rsid w:val="00B81681"/>
    <w:rsid w:val="00B90E7E"/>
    <w:rsid w:val="00BA506C"/>
    <w:rsid w:val="00BA6A14"/>
    <w:rsid w:val="00BD044E"/>
    <w:rsid w:val="00BE2F9B"/>
    <w:rsid w:val="00BE75CA"/>
    <w:rsid w:val="00C02807"/>
    <w:rsid w:val="00C0590A"/>
    <w:rsid w:val="00C125ED"/>
    <w:rsid w:val="00C154A7"/>
    <w:rsid w:val="00C1738C"/>
    <w:rsid w:val="00C200C5"/>
    <w:rsid w:val="00C26629"/>
    <w:rsid w:val="00C2771C"/>
    <w:rsid w:val="00C34EA4"/>
    <w:rsid w:val="00C3656B"/>
    <w:rsid w:val="00C607F2"/>
    <w:rsid w:val="00C63B6D"/>
    <w:rsid w:val="00C63CC6"/>
    <w:rsid w:val="00C70E55"/>
    <w:rsid w:val="00C71CF8"/>
    <w:rsid w:val="00C71D4F"/>
    <w:rsid w:val="00C73A16"/>
    <w:rsid w:val="00C76F65"/>
    <w:rsid w:val="00C77A00"/>
    <w:rsid w:val="00CA3E15"/>
    <w:rsid w:val="00CB5F73"/>
    <w:rsid w:val="00CB7897"/>
    <w:rsid w:val="00CC0EC4"/>
    <w:rsid w:val="00CC7281"/>
    <w:rsid w:val="00CD282C"/>
    <w:rsid w:val="00CD30F6"/>
    <w:rsid w:val="00CD6BC6"/>
    <w:rsid w:val="00CF06CD"/>
    <w:rsid w:val="00D03E7D"/>
    <w:rsid w:val="00D0562B"/>
    <w:rsid w:val="00D05987"/>
    <w:rsid w:val="00D1048F"/>
    <w:rsid w:val="00D17801"/>
    <w:rsid w:val="00D21B12"/>
    <w:rsid w:val="00D4100C"/>
    <w:rsid w:val="00D45DDA"/>
    <w:rsid w:val="00D63D5D"/>
    <w:rsid w:val="00D770E9"/>
    <w:rsid w:val="00D8634E"/>
    <w:rsid w:val="00DA0591"/>
    <w:rsid w:val="00DA05AA"/>
    <w:rsid w:val="00DA1070"/>
    <w:rsid w:val="00DA1D98"/>
    <w:rsid w:val="00DA27B7"/>
    <w:rsid w:val="00DA7E24"/>
    <w:rsid w:val="00DB1ADB"/>
    <w:rsid w:val="00DC4F1B"/>
    <w:rsid w:val="00DD18F1"/>
    <w:rsid w:val="00DE0F80"/>
    <w:rsid w:val="00DE7757"/>
    <w:rsid w:val="00DF145C"/>
    <w:rsid w:val="00DF42E9"/>
    <w:rsid w:val="00E008F9"/>
    <w:rsid w:val="00E03411"/>
    <w:rsid w:val="00E10A3E"/>
    <w:rsid w:val="00E24AEF"/>
    <w:rsid w:val="00E267D6"/>
    <w:rsid w:val="00E30FBB"/>
    <w:rsid w:val="00E35F8E"/>
    <w:rsid w:val="00E5006D"/>
    <w:rsid w:val="00E5057E"/>
    <w:rsid w:val="00E836C1"/>
    <w:rsid w:val="00E844E9"/>
    <w:rsid w:val="00E87937"/>
    <w:rsid w:val="00EB2D0E"/>
    <w:rsid w:val="00EB3DB4"/>
    <w:rsid w:val="00EB4BE4"/>
    <w:rsid w:val="00EC04C9"/>
    <w:rsid w:val="00ED35DD"/>
    <w:rsid w:val="00ED4133"/>
    <w:rsid w:val="00EE5CE6"/>
    <w:rsid w:val="00EF053E"/>
    <w:rsid w:val="00F0198D"/>
    <w:rsid w:val="00F222B5"/>
    <w:rsid w:val="00F2495E"/>
    <w:rsid w:val="00F2712F"/>
    <w:rsid w:val="00F310B5"/>
    <w:rsid w:val="00F44AA7"/>
    <w:rsid w:val="00F4740D"/>
    <w:rsid w:val="00F47C42"/>
    <w:rsid w:val="00F528A2"/>
    <w:rsid w:val="00F53709"/>
    <w:rsid w:val="00F636FC"/>
    <w:rsid w:val="00F72425"/>
    <w:rsid w:val="00F7460F"/>
    <w:rsid w:val="00F76420"/>
    <w:rsid w:val="00F7795C"/>
    <w:rsid w:val="00F9092E"/>
    <w:rsid w:val="00F917F7"/>
    <w:rsid w:val="00F93B41"/>
    <w:rsid w:val="00FA112E"/>
    <w:rsid w:val="00FB0D0A"/>
    <w:rsid w:val="00FB582E"/>
    <w:rsid w:val="00FD003C"/>
    <w:rsid w:val="00FE40AA"/>
    <w:rsid w:val="00FE5DD8"/>
    <w:rsid w:val="00FF319C"/>
    <w:rsid w:val="00FF5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619227"/>
  <w15:docId w15:val="{5DED8E18-5CC1-4D3A-8206-0E42E89C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A1070"/>
    <w:rPr>
      <w:sz w:val="16"/>
      <w:szCs w:val="16"/>
    </w:rPr>
  </w:style>
  <w:style w:type="paragraph" w:styleId="Kommentartext">
    <w:name w:val="annotation text"/>
    <w:basedOn w:val="Standard"/>
    <w:link w:val="KommentartextZchn"/>
    <w:uiPriority w:val="99"/>
    <w:unhideWhenUsed/>
    <w:rsid w:val="00DA1070"/>
    <w:pPr>
      <w:spacing w:line="240" w:lineRule="auto"/>
    </w:pPr>
    <w:rPr>
      <w:sz w:val="20"/>
      <w:szCs w:val="20"/>
    </w:rPr>
  </w:style>
  <w:style w:type="character" w:customStyle="1" w:styleId="KommentartextZchn">
    <w:name w:val="Kommentartext Zchn"/>
    <w:basedOn w:val="Absatz-Standardschriftart"/>
    <w:link w:val="Kommentartext"/>
    <w:uiPriority w:val="99"/>
    <w:rsid w:val="00DA1070"/>
    <w:rPr>
      <w:sz w:val="20"/>
      <w:szCs w:val="20"/>
    </w:rPr>
  </w:style>
  <w:style w:type="paragraph" w:styleId="Kommentarthema">
    <w:name w:val="annotation subject"/>
    <w:basedOn w:val="Kommentartext"/>
    <w:next w:val="Kommentartext"/>
    <w:link w:val="KommentarthemaZchn"/>
    <w:uiPriority w:val="99"/>
    <w:semiHidden/>
    <w:unhideWhenUsed/>
    <w:rsid w:val="00DA1070"/>
    <w:rPr>
      <w:b/>
      <w:bCs/>
    </w:rPr>
  </w:style>
  <w:style w:type="character" w:customStyle="1" w:styleId="KommentarthemaZchn">
    <w:name w:val="Kommentarthema Zchn"/>
    <w:basedOn w:val="KommentartextZchn"/>
    <w:link w:val="Kommentarthema"/>
    <w:uiPriority w:val="99"/>
    <w:semiHidden/>
    <w:rsid w:val="00DA1070"/>
    <w:rPr>
      <w:b/>
      <w:bCs/>
      <w:sz w:val="20"/>
      <w:szCs w:val="20"/>
    </w:rPr>
  </w:style>
  <w:style w:type="paragraph" w:styleId="Sprechblasentext">
    <w:name w:val="Balloon Text"/>
    <w:basedOn w:val="Standard"/>
    <w:link w:val="SprechblasentextZchn"/>
    <w:uiPriority w:val="99"/>
    <w:semiHidden/>
    <w:unhideWhenUsed/>
    <w:rsid w:val="00DA10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1070"/>
    <w:rPr>
      <w:rFonts w:ascii="Segoe UI" w:hAnsi="Segoe UI" w:cs="Segoe UI"/>
      <w:sz w:val="18"/>
      <w:szCs w:val="18"/>
    </w:rPr>
  </w:style>
  <w:style w:type="paragraph" w:styleId="Listenabsatz">
    <w:name w:val="List Paragraph"/>
    <w:basedOn w:val="Standard"/>
    <w:uiPriority w:val="34"/>
    <w:qFormat/>
    <w:rsid w:val="00992F55"/>
    <w:pPr>
      <w:spacing w:after="200" w:line="276" w:lineRule="auto"/>
      <w:ind w:left="720"/>
      <w:contextualSpacing/>
    </w:pPr>
  </w:style>
  <w:style w:type="table" w:styleId="Tabellenraster">
    <w:name w:val="Table Grid"/>
    <w:basedOn w:val="NormaleTabelle"/>
    <w:uiPriority w:val="59"/>
    <w:rsid w:val="009C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E7732"/>
    <w:pPr>
      <w:spacing w:after="0" w:line="240" w:lineRule="auto"/>
    </w:pPr>
  </w:style>
  <w:style w:type="paragraph" w:styleId="KeinLeerraum">
    <w:name w:val="No Spacing"/>
    <w:uiPriority w:val="1"/>
    <w:qFormat/>
    <w:rsid w:val="00F636FC"/>
    <w:pPr>
      <w:spacing w:after="0" w:line="240" w:lineRule="auto"/>
    </w:pPr>
  </w:style>
  <w:style w:type="character" w:styleId="Hyperlink">
    <w:name w:val="Hyperlink"/>
    <w:basedOn w:val="Absatz-Standardschriftart"/>
    <w:uiPriority w:val="99"/>
    <w:unhideWhenUsed/>
    <w:rsid w:val="00F636FC"/>
    <w:rPr>
      <w:color w:val="0563C1" w:themeColor="hyperlink"/>
      <w:u w:val="single"/>
    </w:rPr>
  </w:style>
  <w:style w:type="paragraph" w:styleId="Kopfzeile">
    <w:name w:val="header"/>
    <w:basedOn w:val="Standard"/>
    <w:link w:val="KopfzeileZchn"/>
    <w:uiPriority w:val="99"/>
    <w:unhideWhenUsed/>
    <w:rsid w:val="00880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0E0D"/>
  </w:style>
  <w:style w:type="paragraph" w:styleId="Fuzeile">
    <w:name w:val="footer"/>
    <w:basedOn w:val="Standard"/>
    <w:link w:val="FuzeileZchn"/>
    <w:uiPriority w:val="99"/>
    <w:unhideWhenUsed/>
    <w:rsid w:val="00880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3343">
      <w:bodyDiv w:val="1"/>
      <w:marLeft w:val="0"/>
      <w:marRight w:val="0"/>
      <w:marTop w:val="0"/>
      <w:marBottom w:val="0"/>
      <w:divBdr>
        <w:top w:val="none" w:sz="0" w:space="0" w:color="auto"/>
        <w:left w:val="none" w:sz="0" w:space="0" w:color="auto"/>
        <w:bottom w:val="none" w:sz="0" w:space="0" w:color="auto"/>
        <w:right w:val="none" w:sz="0" w:space="0" w:color="auto"/>
      </w:divBdr>
    </w:div>
    <w:div w:id="538250811">
      <w:bodyDiv w:val="1"/>
      <w:marLeft w:val="0"/>
      <w:marRight w:val="0"/>
      <w:marTop w:val="0"/>
      <w:marBottom w:val="0"/>
      <w:divBdr>
        <w:top w:val="none" w:sz="0" w:space="0" w:color="auto"/>
        <w:left w:val="none" w:sz="0" w:space="0" w:color="auto"/>
        <w:bottom w:val="none" w:sz="0" w:space="0" w:color="auto"/>
        <w:right w:val="none" w:sz="0" w:space="0" w:color="auto"/>
      </w:divBdr>
      <w:divsChild>
        <w:div w:id="1633167487">
          <w:marLeft w:val="0"/>
          <w:marRight w:val="0"/>
          <w:marTop w:val="0"/>
          <w:marBottom w:val="0"/>
          <w:divBdr>
            <w:top w:val="none" w:sz="0" w:space="0" w:color="auto"/>
            <w:left w:val="none" w:sz="0" w:space="0" w:color="auto"/>
            <w:bottom w:val="none" w:sz="0" w:space="0" w:color="auto"/>
            <w:right w:val="none" w:sz="0" w:space="0" w:color="auto"/>
          </w:divBdr>
        </w:div>
      </w:divsChild>
    </w:div>
    <w:div w:id="7887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waltereit@med.uni-goetting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tomas.petrasek@nudz.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293D9-4208-4137-A81E-4FD37AD9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3658</Words>
  <Characters>23049</Characters>
  <Application>Microsoft Office Word</Application>
  <DocSecurity>0</DocSecurity>
  <Lines>192</Lines>
  <Paragraphs>53</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Petrasek Tomas</dc:creator>
  <cp:lastModifiedBy>Waltereit, Robert</cp:lastModifiedBy>
  <cp:revision>5</cp:revision>
  <dcterms:created xsi:type="dcterms:W3CDTF">2020-11-27T10:32:00Z</dcterms:created>
  <dcterms:modified xsi:type="dcterms:W3CDTF">2020-11-27T10:41:00Z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http://www.zotero.org/styles/european-child-and-adolescent-psychiatry</vt:lpwstr>
  </property>
  <property fmtid="{D5CDD505-2E9C-101B-9397-08002B2CF9AE}" pid="11" name="Mendeley Recent Style Name 4_1">
    <vt:lpwstr>European Child &amp; Adolescent Psychiatry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http://www.zotero.org/styles/journal-of-neurochemistry</vt:lpwstr>
  </property>
  <property fmtid="{D5CDD505-2E9C-101B-9397-08002B2CF9AE}" pid="15" name="Mendeley Recent Style Name 6_1">
    <vt:lpwstr>Journal of Neurochemistry</vt:lpwstr>
  </property>
  <property fmtid="{D5CDD505-2E9C-101B-9397-08002B2CF9AE}" pid="16" name="Mendeley Recent Style Id 7_1">
    <vt:lpwstr>http://www.zotero.org/styles/journal-of-neurodevelopmental-disorders</vt:lpwstr>
  </property>
  <property fmtid="{D5CDD505-2E9C-101B-9397-08002B2CF9AE}" pid="17" name="Mendeley Recent Style Name 7_1">
    <vt:lpwstr>Journal of Neurodevelopmental Disorders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5e6f7159-6c89-3e86-9fff-3a57090432c3</vt:lpwstr>
  </property>
  <property fmtid="{D5CDD505-2E9C-101B-9397-08002B2CF9AE}" pid="24" name="Mendeley Citation Style_1">
    <vt:lpwstr>http://www.zotero.org/styles/journal-of-neurodevelopmental-disorders</vt:lpwstr>
  </property>
</Properties>
</file>