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B6BCB9" w14:textId="1B94FF26" w:rsidR="006B45F8" w:rsidRPr="00C079F9" w:rsidRDefault="005767CB" w:rsidP="00C079F9">
      <w:pPr>
        <w:widowControl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 w:rsidRPr="00C079F9">
        <w:rPr>
          <w:rFonts w:ascii="Times New Roman" w:eastAsia="Times New Roman" w:hAnsi="Times New Roman" w:cs="Times New Roman"/>
          <w:b/>
          <w:bCs/>
        </w:rPr>
        <w:t>Table S1.</w:t>
      </w:r>
      <w:r w:rsidRPr="00C079F9">
        <w:rPr>
          <w:rFonts w:ascii="Times New Roman" w:eastAsia="Times New Roman" w:hAnsi="Times New Roman" w:cs="Times New Roman"/>
        </w:rPr>
        <w:t xml:space="preserve"> Demographics of patients older than 80 years of age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3600"/>
        <w:gridCol w:w="1441"/>
        <w:gridCol w:w="1619"/>
        <w:gridCol w:w="1580"/>
        <w:gridCol w:w="786"/>
      </w:tblGrid>
      <w:tr w:rsidR="00C079F9" w:rsidRPr="00C079F9" w14:paraId="4BFFBC84" w14:textId="77777777" w:rsidTr="00741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40B6F" w14:textId="5CFD987E" w:rsidR="006B45F8" w:rsidRPr="00C079F9" w:rsidRDefault="006B45F8" w:rsidP="00C079F9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6044" w14:textId="07CFF5A4" w:rsidR="006B45F8" w:rsidRPr="00C079F9" w:rsidRDefault="00840B92" w:rsidP="00C079F9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Total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DA5B" w14:textId="3E0D2401" w:rsidR="006B45F8" w:rsidRPr="00C079F9" w:rsidRDefault="00840B92" w:rsidP="00C079F9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Geri-OPD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9C41A" w14:textId="192B13FB" w:rsidR="006B45F8" w:rsidRPr="00C079F9" w:rsidRDefault="00840B92" w:rsidP="00C079F9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Non-Geri-OPD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4FAA1" w14:textId="02BD8721" w:rsidR="006B45F8" w:rsidRPr="00C079F9" w:rsidRDefault="00C079F9" w:rsidP="00C079F9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iCs/>
                <w:sz w:val="24"/>
                <w:szCs w:val="24"/>
              </w:rPr>
              <w:t>P</w:t>
            </w:r>
          </w:p>
        </w:tc>
      </w:tr>
      <w:tr w:rsidR="00C079F9" w:rsidRPr="00C079F9" w14:paraId="135BDBDC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FFF7A" w14:textId="24AA40F4" w:rsidR="006B45F8" w:rsidRPr="00C079F9" w:rsidRDefault="00840B92" w:rsidP="00C079F9">
            <w:pPr>
              <w:widowControl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Number, n (%)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8B7E7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3628 (100)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3BE75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712 (19.6)</w:t>
            </w: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E686B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2916 (80.4)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8A984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9F9" w:rsidRPr="00C079F9" w14:paraId="23598991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460E5586" w14:textId="328A9008" w:rsidR="0028245E" w:rsidRPr="00C079F9" w:rsidRDefault="00840B92" w:rsidP="00C079F9">
            <w:pPr>
              <w:widowControl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Sex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EF3BDE9" w14:textId="77777777" w:rsidR="0028245E" w:rsidRPr="00C079F9" w:rsidRDefault="0028245E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7C97161" w14:textId="77777777" w:rsidR="0028245E" w:rsidRPr="00C079F9" w:rsidRDefault="0028245E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660F78FE" w14:textId="77777777" w:rsidR="0028245E" w:rsidRPr="00C079F9" w:rsidRDefault="0028245E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AA1918B" w14:textId="77777777" w:rsidR="0028245E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C079F9" w:rsidRPr="00C079F9" w14:paraId="5A73F2F1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3CFF541F" w14:textId="08C45003" w:rsidR="006B45F8" w:rsidRPr="00C079F9" w:rsidRDefault="00840B92" w:rsidP="00C079F9">
            <w:pPr>
              <w:widowControl/>
              <w:ind w:firstLine="330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Female, n (%)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A4AF7F0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2039 (56.2)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9168164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400 (56.2)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0F6E8C95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1639 (56.2)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F13ECE6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9F9" w:rsidRPr="00C079F9" w14:paraId="742FBA58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2D3BFB04" w14:textId="6E3E330B" w:rsidR="006B45F8" w:rsidRPr="00C079F9" w:rsidRDefault="00840B92" w:rsidP="00C079F9">
            <w:pPr>
              <w:widowControl/>
              <w:ind w:firstLine="330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Male, n (%)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1199EC5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1589 (43.8)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EECCEFE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312 (43.8)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DCDE7F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1277 (43.8)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F49257B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9F9" w:rsidRPr="00C079F9" w14:paraId="465C1F66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660CB9ED" w14:textId="30D75A3C" w:rsidR="00EF37A2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Age, 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standard deviation (SD)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145B1F6" w14:textId="77777777" w:rsidR="00EF37A2" w:rsidRPr="00C079F9" w:rsidRDefault="00EF37A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9C8DD52" w14:textId="0E52FE87" w:rsidR="00EF37A2" w:rsidRPr="00C079F9" w:rsidRDefault="00840B92" w:rsidP="00C079F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85.67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69DF5A0B" w14:textId="386ED0F4" w:rsidR="00EF37A2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85.60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88E4E3C" w14:textId="77777777" w:rsidR="00EF37A2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9F9" w:rsidRPr="00C079F9" w14:paraId="30304FD1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572D7075" w14:textId="77777777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spellStart"/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Charlson</w:t>
            </w:r>
            <w:proofErr w:type="spellEnd"/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comorbidity index (CCI)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54021A2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856F143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0A724DAB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E1A40AF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5E7F462F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4872E163" w14:textId="0A742D36" w:rsidR="006B45F8" w:rsidRPr="00C079F9" w:rsidRDefault="00840B92" w:rsidP="00C079F9">
            <w:pPr>
              <w:ind w:left="317"/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CCI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= 0, n (%)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A3D7258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1467 (40.4)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58A2F1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255 (35.8)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D6FAC87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1212 (41.6)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03A7AA2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9F9" w:rsidRPr="00C079F9" w14:paraId="77E8967F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53B44ECB" w14:textId="25F71C4D" w:rsidR="006B45F8" w:rsidRPr="00C079F9" w:rsidRDefault="00840B92" w:rsidP="00C079F9">
            <w:pPr>
              <w:ind w:left="317"/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CCI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= 1, n (%)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73FA22E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748 (20.6)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F3D8FC8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141 (19.8)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7C1DA07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607 (20.8)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2D60773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F9" w:rsidRPr="00C079F9" w14:paraId="39604DD8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30E29088" w14:textId="2C46EFEB" w:rsidR="006B45F8" w:rsidRPr="00C079F9" w:rsidRDefault="00840B92" w:rsidP="00C079F9">
            <w:pPr>
              <w:ind w:left="317"/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CCI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079F9" w:rsidRPr="00741BA8">
              <w:rPr>
                <w:rFonts w:ascii="Times New Roman" w:eastAsia="新細明體" w:hAnsi="Times New Roman" w:cs="Times New Roman"/>
                <w:b w:val="0"/>
                <w:bCs/>
                <w:sz w:val="24"/>
                <w:szCs w:val="24"/>
              </w:rPr>
              <w:t xml:space="preserve">≥ 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2, n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ECF77C3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1413 (38.9)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832632E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316 (44.4)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013D8EB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1097(37.6)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47576ED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9F9" w:rsidRPr="00C079F9" w14:paraId="42FB4799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3E9738F3" w14:textId="77777777" w:rsidR="006B45F8" w:rsidRPr="00C079F9" w:rsidRDefault="00840B92" w:rsidP="00C079F9">
            <w:pPr>
              <w:widowControl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Medical problems, n (%)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A70A82E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EF0C7BF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562BDED3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C1028D4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9F9" w:rsidRPr="00C079F9" w14:paraId="141EC735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3CF698B7" w14:textId="77777777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Acute myocardial infarction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B4D800B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132(3.6)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735FE7C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24 (3.4)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7D70C8BD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108 (3.7)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AD1F7DD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C079F9" w:rsidRPr="00C079F9" w14:paraId="50270B60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7BCD01B6" w14:textId="77777777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Congestive heart failure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2C78B92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293 (8.1)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C421B9C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72 (10.1)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F29F2A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221 (7.6)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74F16B6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C079F9" w:rsidRPr="00C079F9" w14:paraId="582DBEBC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04EC31C1" w14:textId="77777777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Peripheral vascular disease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43D5E5A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72 (2.0)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159871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19 (2.7)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2A0B336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53 (1.8)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A07CC1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C079F9" w:rsidRPr="00C079F9" w14:paraId="7583C786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6DFB2276" w14:textId="6339106D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Cerebrovascular accident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66605D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849 (23.4)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FB2EC6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159 (22.3)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93E2CB6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690 (23.7)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146003D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C079F9" w:rsidRPr="00C079F9" w14:paraId="558B8C26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5B8A55B1" w14:textId="500F3C37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Dementia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5064FF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554 (15.3)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E36FA25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107(15)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E272C7D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447 (15.3)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FE2A974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C079F9" w:rsidRPr="00C079F9" w14:paraId="7722E5B0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658C72CE" w14:textId="7385E730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Pulmonary disease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81D4358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434 (12.0)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5AD6021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140 (19.7)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74DD80A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294 (10.1)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065A976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5BEC896A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10D27844" w14:textId="73031B23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Peptic ulcer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55C8EC2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469 (13.0)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ADDA24F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104 (14.6)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3A89807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365 (12.5)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5DD0A9B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C079F9" w:rsidRPr="00C079F9" w14:paraId="5C4995BF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1C608EB0" w14:textId="593513E9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Liver disease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F4EADFC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77 (2.1)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875714A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16 (2.2)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C880E6E" w14:textId="1F3800F0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61 (2.1)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A9E770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C079F9" w:rsidRPr="00C079F9" w14:paraId="32E29AB0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0E02956F" w14:textId="77777777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Diabetes mellitus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42B7D06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674 (18.6)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367FD6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159 (22.3)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77181C2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515 (17.7)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88BB66F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1CE2C131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3A552E06" w14:textId="6449B7C5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Diabetes mellitus complications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0D37F15" w14:textId="3ECE1809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(8.5)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CBF3FD6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67 (9.4)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000F4A5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241 (8.3)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FB63A2D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C079F9" w:rsidRPr="00C079F9" w14:paraId="6D14D617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421A3D68" w14:textId="7B1BF082" w:rsidR="006B45F8" w:rsidRPr="00C079F9" w:rsidRDefault="00840B92" w:rsidP="00C079F9">
            <w:pPr>
              <w:widowControl/>
              <w:ind w:left="317" w:firstLine="1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Renal disease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3B29900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453 (12.5)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5A43CC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103 (14.5)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8BCD62B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350 (12)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F70FFDF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C079F9" w:rsidRPr="00C079F9" w14:paraId="0FEBBF4D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53662684" w14:textId="07B7DBA8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Annual outpatient department visits (mean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0E08107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FC2B2AD" w14:textId="20FB4B60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68.21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51.60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B4D551D" w14:textId="63875C8B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36.36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0C71134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0878CD84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6216A46B" w14:textId="5DC513D2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Annual emergency room visits (mean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9AE8699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76E5A5F" w14:textId="5AF622F3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2.44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7.93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F8DD098" w14:textId="2FA7B80B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E882824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0C7952A9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1D70EBAA" w14:textId="4F2C8639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Number of drugs (mean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00DA0C4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5DD4808" w14:textId="19B8F69A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23.32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5.86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45214A06" w14:textId="504C49D3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16.21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921B068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35F973CB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2564DECF" w14:textId="3F6F9052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Annual hospitalizations (mean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9C474A1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0BB1EA0" w14:textId="67D9285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592CDAB" w14:textId="5F86BA63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BE9088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4A751540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3DDC0EAF" w14:textId="77777777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Length of hospital stay (days/year)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E2C248B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E82C196" w14:textId="10ED8CDE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7.96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39497035" w14:textId="0441CC69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2.76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8.91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1627D7D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30F64BEA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08BD2739" w14:textId="0294A7AC" w:rsidR="006B45F8" w:rsidRPr="00C079F9" w:rsidRDefault="0028245E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Cost of each clinic visit (log</w:t>
            </w:r>
            <w:r w:rsidR="00840B92" w:rsidRPr="00C079F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NTD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, 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B96698E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45C611A" w14:textId="4CAB1F43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7.41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5705E73A" w14:textId="6B4B8E9D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884928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0AAD698E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73CB280C" w14:textId="4A33B803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Cost of each hospitalization (log NTD, 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3CC3E9B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D8AB006" w14:textId="5BDB1B7D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3.86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2C8FCFB7" w14:textId="7FBA758E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1.83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4206AC9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3F29640D" w14:textId="77777777" w:rsidTr="00966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auto"/>
            <w:vAlign w:val="center"/>
          </w:tcPr>
          <w:p w14:paraId="39B71978" w14:textId="1FE2E1B8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Cost of annual outpatient care (log NTD, 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058E2DE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D04230F" w14:textId="487A0FF1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520.9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407.4</w:t>
            </w:r>
          </w:p>
        </w:tc>
        <w:tc>
          <w:tcPr>
            <w:tcW w:w="875" w:type="pct"/>
            <w:shd w:val="clear" w:color="auto" w:fill="auto"/>
            <w:vAlign w:val="center"/>
          </w:tcPr>
          <w:p w14:paraId="12C1CA13" w14:textId="2F3CBF0D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272.4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392.1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F71E34A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079F9" w:rsidRPr="00C079F9" w14:paraId="3B4E717C" w14:textId="77777777" w:rsidTr="00966C5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01C38" w14:textId="5997AE8E" w:rsidR="006B45F8" w:rsidRPr="00C079F9" w:rsidRDefault="00840B92" w:rsidP="00C079F9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Cost of annual hospitalizations (log NTD, mean</w:t>
            </w:r>
            <w:r w:rsid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4D7C" w14:textId="77777777" w:rsidR="006B45F8" w:rsidRPr="00C079F9" w:rsidRDefault="006B45F8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47046" w14:textId="0DC26F90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6.55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32A7" w14:textId="773EA713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2.72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80902" w14:textId="77777777" w:rsidR="006B45F8" w:rsidRPr="00C079F9" w:rsidRDefault="00840B92" w:rsidP="00C079F9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14:paraId="69BABC15" w14:textId="744CB872" w:rsidR="00C079F9" w:rsidRDefault="00840B92" w:rsidP="00C079F9">
      <w:pPr>
        <w:widowControl/>
        <w:contextualSpacing/>
        <w:rPr>
          <w:rFonts w:ascii="Times New Roman" w:eastAsia="Calibri" w:hAnsi="Times New Roman" w:cs="Times New Roman"/>
        </w:rPr>
      </w:pPr>
      <w:r w:rsidRPr="00C079F9">
        <w:rPr>
          <w:rFonts w:ascii="Times New Roman" w:eastAsia="Times New Roman" w:hAnsi="Times New Roman" w:cs="Times New Roman"/>
          <w:bCs/>
        </w:rPr>
        <w:t>Abbreviation:</w:t>
      </w:r>
      <w:r w:rsidRPr="00C079F9">
        <w:rPr>
          <w:rFonts w:ascii="Times New Roman" w:eastAsia="Times New Roman" w:hAnsi="Times New Roman" w:cs="Times New Roman"/>
          <w:b/>
        </w:rPr>
        <w:t xml:space="preserve"> </w:t>
      </w:r>
      <w:r w:rsidRPr="00C079F9">
        <w:rPr>
          <w:rFonts w:ascii="Times New Roman" w:eastAsia="Calibri" w:hAnsi="Times New Roman" w:cs="Times New Roman"/>
        </w:rPr>
        <w:t>NTD: New Taiwan dollars</w:t>
      </w:r>
    </w:p>
    <w:p w14:paraId="3E4CE646" w14:textId="77777777" w:rsidR="00C079F9" w:rsidRDefault="00C079F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2110ABDB" w14:textId="2F69CA1B" w:rsidR="006B45F8" w:rsidRPr="00A244B6" w:rsidRDefault="00314BAE" w:rsidP="00C079F9">
      <w:pPr>
        <w:widowControl/>
        <w:contextualSpacing/>
        <w:rPr>
          <w:rFonts w:ascii="Times New Roman" w:eastAsia="Times New Roman" w:hAnsi="Times New Roman" w:cs="Times New Roman"/>
          <w:b/>
        </w:rPr>
      </w:pPr>
      <w:r w:rsidRPr="00C079F9">
        <w:rPr>
          <w:rFonts w:ascii="Times New Roman" w:eastAsia="Times New Roman" w:hAnsi="Times New Roman" w:cs="Times New Roman"/>
          <w:b/>
          <w:bCs/>
        </w:rPr>
        <w:lastRenderedPageBreak/>
        <w:t>Table S2.</w:t>
      </w:r>
      <w:r w:rsidRPr="00C079F9">
        <w:rPr>
          <w:rFonts w:ascii="Times New Roman" w:eastAsia="Times New Roman" w:hAnsi="Times New Roman" w:cs="Times New Roman"/>
        </w:rPr>
        <w:t xml:space="preserve"> Demographics of the patients with </w:t>
      </w:r>
      <w:proofErr w:type="spellStart"/>
      <w:r w:rsidRPr="00C079F9">
        <w:rPr>
          <w:rFonts w:ascii="Times New Roman" w:eastAsia="Times New Roman" w:hAnsi="Times New Roman" w:cs="Times New Roman"/>
        </w:rPr>
        <w:t>Charlson</w:t>
      </w:r>
      <w:proofErr w:type="spellEnd"/>
      <w:r w:rsidRPr="00C079F9">
        <w:rPr>
          <w:rFonts w:ascii="Times New Roman" w:eastAsia="Times New Roman" w:hAnsi="Times New Roman" w:cs="Times New Roman"/>
        </w:rPr>
        <w:t xml:space="preserve"> comorbidity </w:t>
      </w:r>
      <w:r w:rsidRPr="00A244B6">
        <w:rPr>
          <w:rFonts w:ascii="Times New Roman" w:eastAsia="Times New Roman" w:hAnsi="Times New Roman" w:cs="Times New Roman"/>
        </w:rPr>
        <w:t xml:space="preserve">index </w:t>
      </w:r>
      <w:r w:rsidR="00A244B6" w:rsidRPr="00A244B6">
        <w:rPr>
          <w:rFonts w:ascii="Times New Roman" w:eastAsia="新細明體" w:hAnsi="Times New Roman" w:cs="Times New Roman"/>
        </w:rPr>
        <w:t>≥</w:t>
      </w:r>
      <w:r w:rsidRPr="00A244B6">
        <w:rPr>
          <w:rFonts w:ascii="Times New Roman" w:eastAsia="新細明體" w:hAnsi="Times New Roman" w:cs="Times New Roman"/>
        </w:rPr>
        <w:t>2</w:t>
      </w:r>
    </w:p>
    <w:tbl>
      <w:tblPr>
        <w:tblStyle w:val="ac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421"/>
        <w:gridCol w:w="1531"/>
        <w:gridCol w:w="1621"/>
        <w:gridCol w:w="1619"/>
        <w:gridCol w:w="834"/>
      </w:tblGrid>
      <w:tr w:rsidR="00741BA8" w:rsidRPr="00C079F9" w14:paraId="58564587" w14:textId="77777777" w:rsidTr="00741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91689" w14:textId="59B14C23" w:rsidR="006B45F8" w:rsidRPr="00C079F9" w:rsidRDefault="006B45F8" w:rsidP="00741BA8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25C3C" w14:textId="77777777" w:rsidR="006B45F8" w:rsidRPr="00C079F9" w:rsidRDefault="00840B92" w:rsidP="00741BA8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Total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95B2A" w14:textId="19E6E9D3" w:rsidR="006B45F8" w:rsidRPr="00C079F9" w:rsidRDefault="00840B92" w:rsidP="00741BA8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Geri-OPD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2D46" w14:textId="4AA4FD46" w:rsidR="006B45F8" w:rsidRPr="00C079F9" w:rsidRDefault="00840B92" w:rsidP="00741BA8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Non-Geri-OPD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4E087" w14:textId="110BAA6E" w:rsidR="006B45F8" w:rsidRPr="00741BA8" w:rsidRDefault="00741BA8" w:rsidP="00741BA8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P</w:t>
            </w:r>
          </w:p>
        </w:tc>
      </w:tr>
      <w:tr w:rsidR="00741BA8" w:rsidRPr="00C079F9" w14:paraId="6980F9F8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62583" w14:textId="3695340E" w:rsidR="006B45F8" w:rsidRPr="00741BA8" w:rsidRDefault="00840B92" w:rsidP="00741BA8">
            <w:pPr>
              <w:widowControl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Number, n (%)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9C16B" w14:textId="54DB571D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2326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E13DD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529 (22.7)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D0376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1797 (77.3)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AC193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BA8" w:rsidRPr="00C079F9" w14:paraId="65DEDD48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14028992" w14:textId="14FADDD2" w:rsidR="006B45F8" w:rsidRPr="00741BA8" w:rsidRDefault="00840B92" w:rsidP="00741BA8">
            <w:pPr>
              <w:widowControl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Sex</w:t>
            </w:r>
          </w:p>
        </w:tc>
        <w:tc>
          <w:tcPr>
            <w:tcW w:w="2642" w:type="pct"/>
            <w:gridSpan w:val="3"/>
            <w:shd w:val="clear" w:color="auto" w:fill="auto"/>
            <w:vAlign w:val="center"/>
          </w:tcPr>
          <w:p w14:paraId="40645DC9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56EC74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741BA8" w:rsidRPr="00C079F9" w14:paraId="20419AEB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31DBF6BD" w14:textId="771C87DE" w:rsidR="006B45F8" w:rsidRPr="00741BA8" w:rsidRDefault="00840B92" w:rsidP="00741BA8">
            <w:pPr>
              <w:widowControl/>
              <w:ind w:firstLine="330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Female, n (%)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95737F" w14:textId="7DA9C4C1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(52.15)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67CA9E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271 (51.2)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78DCEF1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942 (52.4)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648C1DA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BA8" w:rsidRPr="00C079F9" w14:paraId="53DCDC73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0FE0F13B" w14:textId="1C9553E6" w:rsidR="006B45F8" w:rsidRPr="00741BA8" w:rsidRDefault="00840B92" w:rsidP="00741BA8">
            <w:pPr>
              <w:widowControl/>
              <w:ind w:firstLine="330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Male, n (%)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3931F54" w14:textId="74EE1C6B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1113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(47.85)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E25AA82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258 (48.8)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60B4AFF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855 (47.6)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A48BF39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BA8" w:rsidRPr="00C079F9" w14:paraId="1CF37F97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5B021399" w14:textId="4B8EB375" w:rsidR="006B45F8" w:rsidRPr="00741BA8" w:rsidRDefault="00840B92" w:rsidP="00741BA8">
            <w:pPr>
              <w:widowControl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Age, 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standard deviation (SD)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9B6BD07" w14:textId="6DC51BE5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81.61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27EBDAF" w14:textId="7E84DDD9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81.44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33FE46E" w14:textId="33B2F233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81.66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52AFB32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482FEF" w:rsidRPr="00C079F9" w14:paraId="72289EFA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447286D7" w14:textId="2022C17A" w:rsidR="006B45F8" w:rsidRPr="00741BA8" w:rsidRDefault="00840B92" w:rsidP="00741BA8">
            <w:pPr>
              <w:widowControl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Medical problems, n (%)</w:t>
            </w:r>
          </w:p>
        </w:tc>
        <w:tc>
          <w:tcPr>
            <w:tcW w:w="3105" w:type="pct"/>
            <w:gridSpan w:val="4"/>
            <w:shd w:val="clear" w:color="auto" w:fill="auto"/>
            <w:vAlign w:val="center"/>
          </w:tcPr>
          <w:p w14:paraId="78ABCEC7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BA8" w:rsidRPr="00C079F9" w14:paraId="6C90042E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1B67D23C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Acute myocardial infarction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8F9138C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205 (8.8)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66FD434" w14:textId="27C068F6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40 (7.6)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B2C899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165 (9.2)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6A61568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741BA8" w:rsidRPr="00C079F9" w14:paraId="4C1EF83A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6BFD4AE6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Congestive heart failure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F2F52DC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377 (16.2)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58AC52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98 (18.5)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7B91233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279 (15.5)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1FC037F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741BA8" w:rsidRPr="00C079F9" w14:paraId="0836F71E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5B25A1C9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Peripheral vascular disease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DBC7841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99 (4.3)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25E4674" w14:textId="7902C64B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(5.1)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C1BF1D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72 (4)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4CD6F62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741BA8" w:rsidRPr="00C079F9" w14:paraId="1040D92E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3FB2FEC2" w14:textId="1B876702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Cerebrovascular accident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0E42F8B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979 (42.1)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D00C3E2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218 (41.2)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1678D85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761 (42.3)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CACE7AD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741BA8" w:rsidRPr="00C079F9" w14:paraId="502F336C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22D865FF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Dementia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2CDA886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526 (22.6)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06C7021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123 (23.3)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BA6CA13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403 (22.4)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8A2FF76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741BA8" w:rsidRPr="00C079F9" w14:paraId="4A53ACD5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3DD4A31B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Pulmonary disease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18219BA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495 (21.3)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721C306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167 (31.6)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43777A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328 (18.3)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84B42F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4FF00DAF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071A3156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Peptic ulcer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2E36E7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644 (27.7)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A106906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160 (30.2)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99D6B6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484 (26.9)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2CEBB32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741BA8" w:rsidRPr="00C079F9" w14:paraId="65ECAB65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4749C5F9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Liver disease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43CB24D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139 (6.0)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579133CD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34 (6.4)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87D14D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105 (5.8)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1946B7E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741BA8" w:rsidRPr="00C079F9" w14:paraId="35F380F9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43782DD0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Diabetes mellitus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4826285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995 (42.8)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90A7FFA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249 (47.1)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2DC76CF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746 (41.5)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EC6A6A2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741BA8" w:rsidRPr="00C079F9" w14:paraId="1844CD39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59A7AE6A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Diabetes mellitus complications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0DB102C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595 (25.6)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3F081E88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135 (25.5)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5882A3D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460 (25.6)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3C9300A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741BA8" w:rsidRPr="00C079F9" w14:paraId="102A6CA9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2281B22A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Renal disease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49CC069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741 (31.9)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6C8E5D19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157 (29.7)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C9689EF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584 (32.5)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636676C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741BA8" w:rsidRPr="00C079F9" w14:paraId="17207ED0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46973B61" w14:textId="77777777" w:rsidR="006B45F8" w:rsidRPr="00741BA8" w:rsidRDefault="00840B92" w:rsidP="00741BA8">
            <w:pPr>
              <w:widowControl/>
              <w:ind w:left="317"/>
              <w:contextualSpacing w:val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  <w:t>Depression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2CDC39E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139 (6.0)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1AD653E6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41 (7.8)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B5D6DAE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98 (5.5)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A457EDC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741BA8" w:rsidRPr="00C079F9" w14:paraId="0BA156DC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54ADB094" w14:textId="6CD6DD50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Annual outpatient department visits (mean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65BEE64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2FD536E4" w14:textId="6477A0B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84.91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55.38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1A78406" w14:textId="44C12CC2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62.93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63.02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280A0B0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5FC036A7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478DDE02" w14:textId="7C7B0A51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Annual emergency room visits (mean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88AD363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70DC3C94" w14:textId="5C5D7873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C0CDBC5" w14:textId="1B78AC6B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45804E3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385DE2C2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6BFD9BBA" w14:textId="3E89DEFE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Number of drugs (mean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B4C2075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32862C4E" w14:textId="08E2CA2B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05E734B" w14:textId="638FB752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21.69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10.67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279DE9D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67E5E9AC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04D10F63" w14:textId="0EE24F51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Annual hospitalizations (mean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347F373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5A535C3E" w14:textId="7F7286CB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B068BB7" w14:textId="7C40F8A4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52AD979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371BAFA7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7A4248D7" w14:textId="77777777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Length of hospital stay (days/year)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BF16CBF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57E5B2FA" w14:textId="67AA1C45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21.29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1007A0" w14:textId="029DD6AA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3.85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11.63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C0140B1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681E4BBB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3C2E5BFB" w14:textId="18F73578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Cost of each clinic visit (log NTD, 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98B7C81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57345646" w14:textId="040B6D18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7.61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DDEAD79" w14:textId="21C44BD4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6.45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2B1BFF8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78CA2DA9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6D4C3F70" w14:textId="0B62A21B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Cost of each hospitalization (log NTD, 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12AAB38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7CF73CCF" w14:textId="4564E605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4.57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3E4DD9E" w14:textId="4A75BC44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2.36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E16B928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1B757639" w14:textId="77777777" w:rsidTr="00741BA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auto"/>
            <w:vAlign w:val="center"/>
          </w:tcPr>
          <w:p w14:paraId="7F46AF97" w14:textId="3DA2F9B4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Cost of annual outpatient care (log NTD, 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5CB3628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14:paraId="6FE97192" w14:textId="4AD91F6A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652.5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437.9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9B6F475" w14:textId="1813CB94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480.2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557.3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ACD279D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741BA8" w:rsidRPr="00C079F9" w14:paraId="032D2E61" w14:textId="77777777" w:rsidTr="00741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5276D" w14:textId="30DEDBF1" w:rsidR="006B45F8" w:rsidRPr="00741BA8" w:rsidRDefault="00840B92" w:rsidP="00741BA8">
            <w:pPr>
              <w:contextualSpacing w:val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Cost of annual hospitalizations (log NTD, mean</w:t>
            </w:r>
            <w:r w:rsidR="00C079F9"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±</w:t>
            </w:r>
            <w:r w:rsidRPr="00741BA8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 SD)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63558" w14:textId="77777777" w:rsidR="006B45F8" w:rsidRPr="00C079F9" w:rsidRDefault="006B45F8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96C60" w14:textId="0696F7EF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8.18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12.94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F7F02" w14:textId="68B237CE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3.63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="00741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4B4A" w14:textId="77777777" w:rsidR="006B45F8" w:rsidRPr="00C079F9" w:rsidRDefault="00840B92" w:rsidP="00741BA8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14:paraId="6002E13B" w14:textId="6D373A4A" w:rsidR="001E75B9" w:rsidRPr="00C079F9" w:rsidRDefault="00840B92" w:rsidP="00C079F9">
      <w:pPr>
        <w:widowControl/>
        <w:contextualSpacing/>
        <w:rPr>
          <w:rFonts w:ascii="Times New Roman" w:eastAsia="Calibri" w:hAnsi="Times New Roman" w:cs="Times New Roman"/>
        </w:rPr>
        <w:sectPr w:rsidR="001E75B9" w:rsidRPr="00C079F9" w:rsidSect="00C079F9">
          <w:footerReference w:type="default" r:id="rId7"/>
          <w:type w:val="continuous"/>
          <w:pgSz w:w="11906" w:h="16838" w:code="9"/>
          <w:pgMar w:top="1440" w:right="1440" w:bottom="1440" w:left="1440" w:header="0" w:footer="720" w:gutter="0"/>
          <w:cols w:space="720"/>
          <w:docGrid w:linePitch="326"/>
        </w:sectPr>
      </w:pPr>
      <w:r w:rsidRPr="00741BA8">
        <w:rPr>
          <w:rFonts w:ascii="Times New Roman" w:eastAsia="Times New Roman" w:hAnsi="Times New Roman" w:cs="Times New Roman"/>
          <w:bCs/>
        </w:rPr>
        <w:t>Abbreviation:</w:t>
      </w:r>
      <w:r w:rsidRPr="00C079F9">
        <w:rPr>
          <w:rFonts w:ascii="Times New Roman" w:eastAsia="Calibri" w:hAnsi="Times New Roman" w:cs="Times New Roman"/>
        </w:rPr>
        <w:t xml:space="preserve"> NTD: New Taiwan dollars</w:t>
      </w:r>
    </w:p>
    <w:p w14:paraId="5BAF0891" w14:textId="3E5DB94A" w:rsidR="00314BAE" w:rsidRPr="00A244B6" w:rsidRDefault="00314BAE" w:rsidP="00C079F9">
      <w:pPr>
        <w:widowControl/>
        <w:contextualSpacing/>
        <w:rPr>
          <w:rFonts w:ascii="Times New Roman" w:hAnsi="Times New Roman" w:cs="Times New Roman"/>
          <w:b/>
        </w:rPr>
      </w:pPr>
      <w:r w:rsidRPr="00C079F9">
        <w:rPr>
          <w:rFonts w:ascii="Times New Roman" w:eastAsia="Times New Roman" w:hAnsi="Times New Roman" w:cs="Times New Roman"/>
          <w:b/>
          <w:bCs/>
        </w:rPr>
        <w:lastRenderedPageBreak/>
        <w:t>Table S3.</w:t>
      </w:r>
      <w:r w:rsidRPr="00C079F9">
        <w:rPr>
          <w:rFonts w:ascii="Times New Roman" w:eastAsia="Times New Roman" w:hAnsi="Times New Roman" w:cs="Times New Roman"/>
        </w:rPr>
        <w:t xml:space="preserve"> Health care utilization of patients </w:t>
      </w:r>
      <w:r w:rsidRPr="00A244B6">
        <w:rPr>
          <w:rFonts w:ascii="Times New Roman" w:eastAsia="Times New Roman" w:hAnsi="Times New Roman" w:cs="Times New Roman"/>
        </w:rPr>
        <w:t xml:space="preserve">aged </w:t>
      </w:r>
      <w:r w:rsidR="00A244B6" w:rsidRPr="00A244B6">
        <w:rPr>
          <w:rFonts w:ascii="Times New Roman" w:eastAsia="新細明體" w:hAnsi="Times New Roman" w:cs="Times New Roman"/>
        </w:rPr>
        <w:t>≥</w:t>
      </w:r>
      <w:r w:rsidRPr="00A244B6">
        <w:rPr>
          <w:rFonts w:ascii="Times New Roman" w:eastAsia="Times New Roman" w:hAnsi="Times New Roman" w:cs="Times New Roman"/>
        </w:rPr>
        <w:t>80 years</w:t>
      </w:r>
    </w:p>
    <w:tbl>
      <w:tblPr>
        <w:tblStyle w:val="ae"/>
        <w:tblW w:w="5000" w:type="pct"/>
        <w:tblInd w:w="0" w:type="dxa"/>
        <w:tblLook w:val="04A0" w:firstRow="1" w:lastRow="0" w:firstColumn="1" w:lastColumn="0" w:noHBand="0" w:noVBand="1"/>
      </w:tblPr>
      <w:tblGrid>
        <w:gridCol w:w="5671"/>
        <w:gridCol w:w="1708"/>
        <w:gridCol w:w="1795"/>
        <w:gridCol w:w="787"/>
        <w:gridCol w:w="1591"/>
        <w:gridCol w:w="1756"/>
        <w:gridCol w:w="650"/>
      </w:tblGrid>
      <w:tr w:rsidR="00A244B6" w:rsidRPr="00C079F9" w14:paraId="658095FF" w14:textId="77777777" w:rsidTr="00625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</w:tcBorders>
            <w:shd w:val="clear" w:color="auto" w:fill="auto"/>
          </w:tcPr>
          <w:p w14:paraId="37A74C40" w14:textId="087B4029" w:rsidR="006B45F8" w:rsidRPr="00C079F9" w:rsidRDefault="006B45F8" w:rsidP="00A244B6">
            <w:pPr>
              <w:widowControl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24F3B1" w14:textId="78D34BDF" w:rsidR="006B45F8" w:rsidRPr="00C079F9" w:rsidRDefault="00840B92" w:rsidP="00A244B6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First year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A588DF" w14:textId="5D129FA6" w:rsidR="006B45F8" w:rsidRPr="00C079F9" w:rsidRDefault="00840B92" w:rsidP="00A244B6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Second year</w:t>
            </w:r>
          </w:p>
        </w:tc>
      </w:tr>
      <w:tr w:rsidR="00A244B6" w:rsidRPr="00C079F9" w14:paraId="614BCCCD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bottom w:val="single" w:sz="4" w:space="0" w:color="auto"/>
            </w:tcBorders>
            <w:shd w:val="clear" w:color="auto" w:fill="auto"/>
          </w:tcPr>
          <w:p w14:paraId="11074051" w14:textId="77777777" w:rsidR="006B45F8" w:rsidRPr="00C079F9" w:rsidRDefault="006B45F8" w:rsidP="00A244B6">
            <w:pPr>
              <w:widowControl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5E3B0D62" w14:textId="2E83840A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Geri-OPD</w:t>
            </w:r>
          </w:p>
          <w:p w14:paraId="1A7D5E04" w14:textId="4B83B453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712)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14:paraId="568C8B21" w14:textId="066D3A38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Non-Geri-OPD</w:t>
            </w:r>
          </w:p>
          <w:p w14:paraId="68C25C5C" w14:textId="05D842B5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2916)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035E1A6E" w14:textId="27E04DDB" w:rsidR="006B45F8" w:rsidRPr="00A244B6" w:rsidRDefault="00A244B6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</w:tcPr>
          <w:p w14:paraId="4C289BBE" w14:textId="275F2DDE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Geri-OPD</w:t>
            </w:r>
          </w:p>
          <w:p w14:paraId="4CEBA130" w14:textId="61E34565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694)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06938E20" w14:textId="096F67FB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Non-Geri-OPD</w:t>
            </w:r>
          </w:p>
          <w:p w14:paraId="65C01360" w14:textId="3CE4E2C4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2827)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14B43B18" w14:textId="1D2D2D2D" w:rsidR="006B45F8" w:rsidRPr="00A244B6" w:rsidRDefault="00A244B6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</w:t>
            </w:r>
          </w:p>
        </w:tc>
      </w:tr>
      <w:tr w:rsidR="00A244B6" w:rsidRPr="00C079F9" w14:paraId="78CDAF7A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CC072" w14:textId="3B6ACCFF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outpatient department visits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FA571" w14:textId="41FE32F6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50.46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57.22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A933B" w14:textId="27183C91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40.69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49.90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EF43C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C7C4F" w14:textId="6E5B2EE8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37.78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53.02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9CCB9" w14:textId="56C92AB6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35.27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45.39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FAFF1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A244B6" w:rsidRPr="00C079F9" w14:paraId="39AB9D3E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shd w:val="clear" w:color="auto" w:fill="auto"/>
            <w:vAlign w:val="center"/>
          </w:tcPr>
          <w:p w14:paraId="05D1D023" w14:textId="6EF8FBA4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emergency room visits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D2A8915" w14:textId="43E23F3B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2.84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7.25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D9D793" w14:textId="7FAA3B81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3.60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730004A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787E137" w14:textId="317873CA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2D7B5A7" w14:textId="6F85A4E3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4.49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6083C3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A244B6" w:rsidRPr="00C079F9" w14:paraId="50B8989E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shd w:val="clear" w:color="auto" w:fill="auto"/>
            <w:vAlign w:val="center"/>
          </w:tcPr>
          <w:p w14:paraId="07BC1F5B" w14:textId="0BE5E918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Number of drugs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70B92A4" w14:textId="49D8F9EB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17.52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10.98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2057A56" w14:textId="102A9854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17.24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7333080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1D870B2" w14:textId="3F018908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15.78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12.46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7684078" w14:textId="5881C5BE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17.07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57E1357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A244B6" w:rsidRPr="00C079F9" w14:paraId="0A042DF0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shd w:val="clear" w:color="auto" w:fill="auto"/>
            <w:vAlign w:val="center"/>
          </w:tcPr>
          <w:p w14:paraId="54C3BF16" w14:textId="67407273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hospitalizations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4869916" w14:textId="221B893E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AABE8FC" w14:textId="0A98509F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015FF76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6F62BA2" w14:textId="58175050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CF4B08D" w14:textId="368D189A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0.68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26151A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A244B6" w:rsidRPr="00C079F9" w14:paraId="17E83095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shd w:val="clear" w:color="auto" w:fill="auto"/>
            <w:vAlign w:val="center"/>
          </w:tcPr>
          <w:p w14:paraId="5D62F919" w14:textId="77777777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Length of hospital stay (days/year)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8FB2BA9" w14:textId="356CD01B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9.59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17.47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6C6B90E" w14:textId="66B41C1A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10.86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0B60C93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30D4FF9" w14:textId="6D77975C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2.69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7.78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0C1E4DC" w14:textId="5313AB83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2.77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9.75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975D138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A244B6" w:rsidRPr="00C079F9" w14:paraId="69F5366D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shd w:val="clear" w:color="auto" w:fill="auto"/>
            <w:vAlign w:val="center"/>
          </w:tcPr>
          <w:p w14:paraId="419C726F" w14:textId="1BEDAA5F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each clinic visit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9DEEFE8" w14:textId="2D052EEC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8A65A1D" w14:textId="1D8B039C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5.26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0DC0BA3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4B744C8" w14:textId="6342B9CF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4.85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3.47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5D67AF5" w14:textId="3A9FA0CD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37DBBA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A244B6" w:rsidRPr="00C079F9" w14:paraId="5B35B9E3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shd w:val="clear" w:color="auto" w:fill="auto"/>
            <w:vAlign w:val="center"/>
          </w:tcPr>
          <w:p w14:paraId="7F35D4DA" w14:textId="2E75A21F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each hospitalization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F33A68E" w14:textId="3692F64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5.20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5.40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B897D11" w14:textId="52482701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48FA2BC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562CA8F" w14:textId="58755693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A0195A2" w14:textId="644D4D9B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4.03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9D63ED7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A244B6" w:rsidRPr="00C079F9" w14:paraId="407DE5C7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shd w:val="clear" w:color="auto" w:fill="auto"/>
            <w:vAlign w:val="center"/>
          </w:tcPr>
          <w:p w14:paraId="37291601" w14:textId="19DDE364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annual outpatient care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E3DE45A" w14:textId="0DDCF4AF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377.1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465.3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76E2F2E" w14:textId="4D037CC6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304.0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402.7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914D36D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EFFBCA8" w14:textId="5A3266C0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280.7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436.5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3F584D9" w14:textId="4A966AAE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262.4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358.4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CF65092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A244B6" w:rsidRPr="00C079F9" w14:paraId="27F3CF32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4DD22" w14:textId="70072B0D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annual hospitalizations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43306" w14:textId="78FBF01B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11.15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64692" w14:textId="04B00028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2.96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7.97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1D44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58576" w14:textId="54265766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2.83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DA57C" w14:textId="6D63ADDB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2.76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7.40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24091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</w:tr>
    </w:tbl>
    <w:p w14:paraId="45207E47" w14:textId="7C878D95" w:rsidR="00A244B6" w:rsidRDefault="00840B92" w:rsidP="00C079F9">
      <w:pPr>
        <w:widowControl/>
        <w:contextualSpacing/>
        <w:rPr>
          <w:rFonts w:ascii="Times New Roman" w:eastAsia="Calibri" w:hAnsi="Times New Roman" w:cs="Times New Roman"/>
        </w:rPr>
      </w:pPr>
      <w:r w:rsidRPr="00966C59">
        <w:rPr>
          <w:rFonts w:ascii="Times New Roman" w:eastAsia="Times New Roman" w:hAnsi="Times New Roman" w:cs="Times New Roman"/>
          <w:bCs/>
        </w:rPr>
        <w:t>Abbreviation:</w:t>
      </w:r>
      <w:r w:rsidRPr="00C079F9">
        <w:rPr>
          <w:rFonts w:ascii="Times New Roman" w:eastAsia="Times New Roman" w:hAnsi="Times New Roman" w:cs="Times New Roman"/>
          <w:b/>
        </w:rPr>
        <w:t xml:space="preserve"> </w:t>
      </w:r>
      <w:r w:rsidRPr="00C079F9">
        <w:rPr>
          <w:rFonts w:ascii="Times New Roman" w:eastAsia="Calibri" w:hAnsi="Times New Roman" w:cs="Times New Roman"/>
        </w:rPr>
        <w:t>NTD: New Taiwan dollars</w:t>
      </w:r>
    </w:p>
    <w:p w14:paraId="774F79D9" w14:textId="77777777" w:rsidR="00A244B6" w:rsidRDefault="00A244B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4CA2F44" w14:textId="7A6BB09F" w:rsidR="006B45F8" w:rsidRPr="00C079F9" w:rsidRDefault="002503C0" w:rsidP="00C079F9">
      <w:pPr>
        <w:widowControl/>
        <w:contextualSpacing/>
        <w:rPr>
          <w:rFonts w:ascii="Times New Roman" w:eastAsia="Times New Roman" w:hAnsi="Times New Roman" w:cs="Times New Roman"/>
          <w:b/>
        </w:rPr>
      </w:pPr>
      <w:r w:rsidRPr="00C079F9">
        <w:rPr>
          <w:rFonts w:ascii="Times New Roman" w:eastAsia="Times New Roman" w:hAnsi="Times New Roman" w:cs="Times New Roman"/>
          <w:b/>
          <w:bCs/>
        </w:rPr>
        <w:lastRenderedPageBreak/>
        <w:t>Table S4.</w:t>
      </w:r>
      <w:r w:rsidRPr="00C079F9">
        <w:rPr>
          <w:rFonts w:ascii="Times New Roman" w:eastAsia="Times New Roman" w:hAnsi="Times New Roman" w:cs="Times New Roman"/>
        </w:rPr>
        <w:t xml:space="preserve"> Health care utilization of patients with a </w:t>
      </w:r>
      <w:proofErr w:type="spellStart"/>
      <w:r w:rsidRPr="00C079F9">
        <w:rPr>
          <w:rFonts w:ascii="Times New Roman" w:eastAsia="Times New Roman" w:hAnsi="Times New Roman" w:cs="Times New Roman"/>
        </w:rPr>
        <w:t>Charlson</w:t>
      </w:r>
      <w:proofErr w:type="spellEnd"/>
      <w:r w:rsidRPr="00C079F9">
        <w:rPr>
          <w:rFonts w:ascii="Times New Roman" w:eastAsia="Times New Roman" w:hAnsi="Times New Roman" w:cs="Times New Roman"/>
        </w:rPr>
        <w:t xml:space="preserve"> </w:t>
      </w:r>
      <w:r w:rsidRPr="00A244B6">
        <w:rPr>
          <w:rFonts w:ascii="Times New Roman" w:eastAsia="Times New Roman" w:hAnsi="Times New Roman" w:cs="Times New Roman"/>
        </w:rPr>
        <w:t>comorbidity index</w:t>
      </w:r>
      <w:r w:rsidR="00A244B6" w:rsidRPr="00A244B6">
        <w:rPr>
          <w:rFonts w:ascii="Times New Roman" w:eastAsia="Times New Roman" w:hAnsi="Times New Roman" w:cs="Times New Roman"/>
        </w:rPr>
        <w:t xml:space="preserve"> </w:t>
      </w:r>
      <w:r w:rsidR="00A244B6" w:rsidRPr="00A244B6">
        <w:rPr>
          <w:rFonts w:ascii="Times New Roman" w:eastAsia="新細明體" w:hAnsi="Times New Roman" w:cs="Times New Roman"/>
        </w:rPr>
        <w:t>≥</w:t>
      </w:r>
      <w:r w:rsidRPr="00A244B6">
        <w:rPr>
          <w:rFonts w:ascii="Times New Roman" w:eastAsia="Times New Roman" w:hAnsi="Times New Roman" w:cs="Times New Roman"/>
        </w:rPr>
        <w:t>2</w:t>
      </w:r>
    </w:p>
    <w:tbl>
      <w:tblPr>
        <w:tblStyle w:val="af"/>
        <w:tblW w:w="5000" w:type="pct"/>
        <w:tblInd w:w="0" w:type="dxa"/>
        <w:tblLook w:val="04A0" w:firstRow="1" w:lastRow="0" w:firstColumn="1" w:lastColumn="0" w:noHBand="0" w:noVBand="1"/>
      </w:tblPr>
      <w:tblGrid>
        <w:gridCol w:w="5510"/>
        <w:gridCol w:w="1809"/>
        <w:gridCol w:w="1720"/>
        <w:gridCol w:w="793"/>
        <w:gridCol w:w="1597"/>
        <w:gridCol w:w="1742"/>
        <w:gridCol w:w="787"/>
      </w:tblGrid>
      <w:tr w:rsidR="00482FEF" w:rsidRPr="00C079F9" w14:paraId="5D81118A" w14:textId="77777777" w:rsidTr="00625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tcBorders>
              <w:top w:val="single" w:sz="4" w:space="0" w:color="auto"/>
            </w:tcBorders>
            <w:shd w:val="clear" w:color="auto" w:fill="auto"/>
          </w:tcPr>
          <w:p w14:paraId="742C62B1" w14:textId="022DBFFF" w:rsidR="006B45F8" w:rsidRPr="00C079F9" w:rsidRDefault="006B45F8" w:rsidP="00A244B6">
            <w:pPr>
              <w:widowControl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5D30FCB" w14:textId="6AEE6941" w:rsidR="006B45F8" w:rsidRPr="00C079F9" w:rsidRDefault="00840B92" w:rsidP="00A244B6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First year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11C35F" w14:textId="5748D135" w:rsidR="006B45F8" w:rsidRPr="00C079F9" w:rsidRDefault="00840B92" w:rsidP="00A244B6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Second year</w:t>
            </w:r>
          </w:p>
        </w:tc>
      </w:tr>
      <w:tr w:rsidR="00A244B6" w:rsidRPr="00C079F9" w14:paraId="0367977B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tcBorders>
              <w:bottom w:val="single" w:sz="4" w:space="0" w:color="auto"/>
            </w:tcBorders>
            <w:shd w:val="clear" w:color="auto" w:fill="auto"/>
          </w:tcPr>
          <w:p w14:paraId="3B8AC90E" w14:textId="77777777" w:rsidR="006B45F8" w:rsidRPr="00C079F9" w:rsidRDefault="006B45F8" w:rsidP="00A244B6">
            <w:pPr>
              <w:widowControl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14:paraId="564FE378" w14:textId="1F8EBBFE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Geri-OPD</w:t>
            </w:r>
          </w:p>
          <w:p w14:paraId="51D65413" w14:textId="14EFEA85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A244B6"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A244B6"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529)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14:paraId="266442CF" w14:textId="41CEBBAA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Non-Geri-OPD</w:t>
            </w:r>
          </w:p>
          <w:p w14:paraId="6F63B3DF" w14:textId="75206800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A244B6"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A244B6"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1797)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14:paraId="5EF86673" w14:textId="5F16C467" w:rsidR="006B45F8" w:rsidRPr="00A244B6" w:rsidRDefault="00A244B6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14:paraId="7A7F2E1A" w14:textId="33025208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Geri-OPD</w:t>
            </w:r>
          </w:p>
          <w:p w14:paraId="7C18A3F6" w14:textId="562A1A1B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A244B6"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A244B6"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512)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</w:tcPr>
          <w:p w14:paraId="585712C5" w14:textId="7B11DE9C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Non-Geri-OPD</w:t>
            </w:r>
          </w:p>
          <w:p w14:paraId="1F77F9E4" w14:textId="148D0CB9" w:rsidR="006B45F8" w:rsidRPr="00A244B6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A244B6"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A244B6"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4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1745)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58BA7000" w14:textId="5E2297FA" w:rsidR="006B45F8" w:rsidRPr="00A244B6" w:rsidRDefault="00A244B6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44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</w:t>
            </w:r>
          </w:p>
        </w:tc>
      </w:tr>
      <w:tr w:rsidR="0062597E" w:rsidRPr="00C079F9" w14:paraId="35403BD8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AF73E" w14:textId="55328830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outpatient department visits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BC9C8" w14:textId="190FFA32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62.35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8E9B4" w14:textId="72DDF9B8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72.96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59.79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A7563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60605" w14:textId="52BF13F1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56.56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61.62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1CA5B" w14:textId="77518BD9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57.36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56.15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CC50C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A244B6" w:rsidRPr="00C079F9" w14:paraId="2D42453E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shd w:val="clear" w:color="auto" w:fill="auto"/>
            <w:vAlign w:val="center"/>
          </w:tcPr>
          <w:p w14:paraId="7C44A92D" w14:textId="553F7054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emergency room visits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11B3023" w14:textId="0D99BEB1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3.77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8.31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B12943E" w14:textId="3D5DB5A3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1.97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2CDED28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110012E" w14:textId="6601EDA8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0A1FE6" w14:textId="754729B2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5767A66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2597E" w:rsidRPr="00C079F9" w14:paraId="4F499906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shd w:val="clear" w:color="auto" w:fill="auto"/>
            <w:vAlign w:val="center"/>
          </w:tcPr>
          <w:p w14:paraId="6267191D" w14:textId="0FB15581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Number of drugs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83B5337" w14:textId="611D1270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22.56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6.95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6F42B1E" w14:textId="01E54800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24.27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6.40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026D1F9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C522083" w14:textId="4B64D58A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19.94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10.62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5B62061" w14:textId="7EE1E99C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22.37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9.46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704D419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A244B6" w:rsidRPr="00C079F9" w14:paraId="16EAE75D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shd w:val="clear" w:color="auto" w:fill="auto"/>
            <w:vAlign w:val="center"/>
          </w:tcPr>
          <w:p w14:paraId="55806221" w14:textId="1A865118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hospitalizations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9417BDB" w14:textId="48E09572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03961AB" w14:textId="18F431B5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0.97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464A02E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361F45B" w14:textId="54DD1A08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FE81343" w14:textId="48363E4D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0.73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537C0C4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62597E" w:rsidRPr="00C079F9" w14:paraId="6AB187B5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shd w:val="clear" w:color="auto" w:fill="auto"/>
            <w:vAlign w:val="center"/>
          </w:tcPr>
          <w:p w14:paraId="4CBA8B30" w14:textId="77777777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Length of hospital stay (days/year)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B7A9751" w14:textId="121C61FB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12.59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19.23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90BC0F7" w14:textId="7DE4ED11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5.63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2F68298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5FCEA44" w14:textId="6A15B074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3.94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9.69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2B42606" w14:textId="12904F35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10.56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4235645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A244B6" w:rsidRPr="00C079F9" w14:paraId="7508718A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shd w:val="clear" w:color="auto" w:fill="auto"/>
            <w:vAlign w:val="center"/>
          </w:tcPr>
          <w:p w14:paraId="37B01826" w14:textId="13AC6F90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each clinic visit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99B4B22" w14:textId="1DC9F134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7.26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1.24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59E55AE" w14:textId="4A1454C5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7.32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649D7A4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9E289D7" w14:textId="1DF922E9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6.08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2.87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2CEE017" w14:textId="6225A7D2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6.65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57783CF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2597E" w:rsidRPr="00C079F9" w14:paraId="2BD3154E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shd w:val="clear" w:color="auto" w:fill="auto"/>
            <w:vAlign w:val="center"/>
          </w:tcPr>
          <w:p w14:paraId="5FF8B710" w14:textId="03AB673C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each hospitalization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393CB6F" w14:textId="6CDB1DC2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6.56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5.29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F04D5F" w14:textId="164682B4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4.93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8D50C82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04D8648" w14:textId="67D9E8C6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2.80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4.73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2554B1" w14:textId="4C57E920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4.32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82EF0A8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A244B6" w:rsidRPr="00C079F9" w14:paraId="02AE1D07" w14:textId="77777777" w:rsidTr="0062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shd w:val="clear" w:color="auto" w:fill="auto"/>
            <w:vAlign w:val="center"/>
          </w:tcPr>
          <w:p w14:paraId="5BE5149F" w14:textId="3E86639A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annual outpatient care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E54F5F1" w14:textId="759C803C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581.0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513.0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C6C2B1E" w14:textId="175E005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553.0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521.1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CBEEE71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3CE6F5E" w14:textId="0556B405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425.5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511.3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1934EF9" w14:textId="6CC51845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431.1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470.5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B49A0E3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62597E" w:rsidRPr="00C079F9" w14:paraId="3207B8C6" w14:textId="77777777" w:rsidTr="0062597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C530F" w14:textId="3A7241B5" w:rsidR="006B45F8" w:rsidRPr="00C079F9" w:rsidRDefault="00840B92" w:rsidP="00A244B6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annual hospitalizations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4529" w14:textId="25622A9B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12.13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9173A" w14:textId="79FBAFD4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5.24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10.63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CE409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5108C" w14:textId="46E4D3FC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3.97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7.81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8BE8C" w14:textId="074E6F5B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3.26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7.81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2EC16" w14:textId="77777777" w:rsidR="006B45F8" w:rsidRPr="00C079F9" w:rsidRDefault="00840B92" w:rsidP="00A244B6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14:paraId="6D4840EB" w14:textId="5DDC69BC" w:rsidR="00A244B6" w:rsidRDefault="00840B92" w:rsidP="00C079F9">
      <w:pPr>
        <w:widowControl/>
        <w:contextualSpacing/>
        <w:rPr>
          <w:rFonts w:ascii="Times New Roman" w:eastAsia="Calibri" w:hAnsi="Times New Roman" w:cs="Times New Roman"/>
        </w:rPr>
      </w:pPr>
      <w:r w:rsidRPr="00A244B6">
        <w:rPr>
          <w:rFonts w:ascii="Times New Roman" w:eastAsia="Times New Roman" w:hAnsi="Times New Roman" w:cs="Times New Roman"/>
          <w:bCs/>
        </w:rPr>
        <w:t xml:space="preserve">Abbreviation: </w:t>
      </w:r>
      <w:r w:rsidRPr="00A244B6">
        <w:rPr>
          <w:rFonts w:ascii="Times New Roman" w:eastAsia="Calibri" w:hAnsi="Times New Roman" w:cs="Times New Roman"/>
          <w:bCs/>
        </w:rPr>
        <w:t>N</w:t>
      </w:r>
      <w:r w:rsidRPr="00C079F9">
        <w:rPr>
          <w:rFonts w:ascii="Times New Roman" w:eastAsia="Calibri" w:hAnsi="Times New Roman" w:cs="Times New Roman"/>
        </w:rPr>
        <w:t>TD: New Taiwan dollars</w:t>
      </w:r>
    </w:p>
    <w:p w14:paraId="6BD13E77" w14:textId="77777777" w:rsidR="00A244B6" w:rsidRDefault="00A244B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7B289CD1" w14:textId="34FEF3D6" w:rsidR="006B45F8" w:rsidRPr="00C079F9" w:rsidRDefault="00AA4A2F" w:rsidP="00C079F9">
      <w:pPr>
        <w:widowControl/>
        <w:contextualSpacing/>
        <w:rPr>
          <w:rFonts w:ascii="Times New Roman" w:hAnsi="Times New Roman" w:cs="Times New Roman"/>
        </w:rPr>
      </w:pPr>
      <w:r w:rsidRPr="00C079F9">
        <w:rPr>
          <w:rFonts w:ascii="Times New Roman" w:eastAsia="Times New Roman" w:hAnsi="Times New Roman" w:cs="Times New Roman"/>
          <w:b/>
          <w:bCs/>
        </w:rPr>
        <w:lastRenderedPageBreak/>
        <w:t>Table S5.</w:t>
      </w:r>
      <w:r w:rsidRPr="00C079F9">
        <w:rPr>
          <w:rFonts w:ascii="Times New Roman" w:eastAsia="Times New Roman" w:hAnsi="Times New Roman" w:cs="Times New Roman"/>
        </w:rPr>
        <w:t xml:space="preserve"> Change in health care utilization of patients </w:t>
      </w:r>
      <w:r w:rsidRPr="0062597E">
        <w:rPr>
          <w:rFonts w:ascii="Times New Roman" w:eastAsia="Times New Roman" w:hAnsi="Times New Roman" w:cs="Times New Roman"/>
        </w:rPr>
        <w:t xml:space="preserve">aged </w:t>
      </w:r>
      <w:r w:rsidR="0062597E" w:rsidRPr="0062597E">
        <w:rPr>
          <w:rFonts w:ascii="Times New Roman" w:eastAsia="新細明體" w:hAnsi="Times New Roman" w:cs="Times New Roman"/>
        </w:rPr>
        <w:t>≥</w:t>
      </w:r>
      <w:r w:rsidRPr="0062597E">
        <w:rPr>
          <w:rFonts w:ascii="Times New Roman" w:eastAsia="Times New Roman" w:hAnsi="Times New Roman" w:cs="Times New Roman"/>
        </w:rPr>
        <w:t>80 years</w:t>
      </w:r>
    </w:p>
    <w:tbl>
      <w:tblPr>
        <w:tblStyle w:val="af1"/>
        <w:tblW w:w="5000" w:type="pct"/>
        <w:tblInd w:w="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708"/>
        <w:gridCol w:w="1759"/>
        <w:gridCol w:w="787"/>
        <w:gridCol w:w="1695"/>
        <w:gridCol w:w="1731"/>
        <w:gridCol w:w="787"/>
      </w:tblGrid>
      <w:tr w:rsidR="0062597E" w:rsidRPr="00C079F9" w14:paraId="27F8D335" w14:textId="77777777" w:rsidTr="0091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tcBorders>
              <w:bottom w:val="nil"/>
            </w:tcBorders>
            <w:shd w:val="clear" w:color="auto" w:fill="auto"/>
          </w:tcPr>
          <w:p w14:paraId="11B458AF" w14:textId="798F8F62" w:rsidR="006B45F8" w:rsidRPr="00C079F9" w:rsidRDefault="006B45F8" w:rsidP="0062597E">
            <w:pPr>
              <w:widowControl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gridSpan w:val="3"/>
            <w:tcBorders>
              <w:bottom w:val="nil"/>
            </w:tcBorders>
            <w:shd w:val="clear" w:color="auto" w:fill="auto"/>
          </w:tcPr>
          <w:p w14:paraId="4EBAE0DA" w14:textId="137CA953" w:rsidR="006B45F8" w:rsidRPr="00C079F9" w:rsidRDefault="00840B92" w:rsidP="0062597E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First year</w:t>
            </w:r>
          </w:p>
        </w:tc>
        <w:tc>
          <w:tcPr>
            <w:tcW w:w="1509" w:type="pct"/>
            <w:gridSpan w:val="3"/>
            <w:tcBorders>
              <w:bottom w:val="nil"/>
            </w:tcBorders>
            <w:shd w:val="clear" w:color="auto" w:fill="auto"/>
          </w:tcPr>
          <w:p w14:paraId="7250FCA2" w14:textId="48D6432C" w:rsidR="006B45F8" w:rsidRPr="00C079F9" w:rsidRDefault="00840B92" w:rsidP="0062597E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Second year</w:t>
            </w:r>
          </w:p>
        </w:tc>
      </w:tr>
      <w:tr w:rsidR="00427575" w:rsidRPr="00C079F9" w14:paraId="1F483D21" w14:textId="77777777" w:rsidTr="009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B5194" w14:textId="77777777" w:rsidR="006B45F8" w:rsidRPr="00C079F9" w:rsidRDefault="006B45F8" w:rsidP="0062597E">
            <w:pPr>
              <w:widowControl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054C86" w14:textId="5EDBD6FC" w:rsidR="006B45F8" w:rsidRPr="0062597E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Geri-OPD</w:t>
            </w:r>
          </w:p>
          <w:p w14:paraId="1455552C" w14:textId="466C0100" w:rsidR="006B45F8" w:rsidRPr="0062597E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712)</w:t>
            </w:r>
          </w:p>
        </w:tc>
        <w:tc>
          <w:tcPr>
            <w:tcW w:w="63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B13E12" w14:textId="32D35FE2" w:rsidR="006B45F8" w:rsidRPr="0062597E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Non-Geri-OPD</w:t>
            </w:r>
          </w:p>
          <w:p w14:paraId="32A6FE26" w14:textId="1F2CF58B" w:rsidR="006B45F8" w:rsidRPr="0062597E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2916)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70C7D4" w14:textId="7F1E4432" w:rsidR="006B45F8" w:rsidRPr="0062597E" w:rsidRDefault="0062597E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AEE98E" w14:textId="72122EE0" w:rsidR="006B45F8" w:rsidRPr="0062597E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Geri-OPD</w:t>
            </w:r>
          </w:p>
          <w:p w14:paraId="1142C8C0" w14:textId="6B6E7263" w:rsidR="006B45F8" w:rsidRPr="0062597E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694)</w:t>
            </w:r>
          </w:p>
        </w:tc>
        <w:tc>
          <w:tcPr>
            <w:tcW w:w="62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1C3143" w14:textId="3E9D360B" w:rsidR="006B45F8" w:rsidRPr="0062597E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Non-Geri-OPD</w:t>
            </w:r>
          </w:p>
          <w:p w14:paraId="369AA411" w14:textId="060C77DC" w:rsidR="006B45F8" w:rsidRPr="0062597E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</w:t>
            </w:r>
            <w:r w:rsid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=</w:t>
            </w:r>
            <w:r w:rsid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59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2827)</w:t>
            </w:r>
          </w:p>
        </w:tc>
        <w:tc>
          <w:tcPr>
            <w:tcW w:w="2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94FA03" w14:textId="608862B0" w:rsidR="006B45F8" w:rsidRPr="0062597E" w:rsidRDefault="0062597E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</w:t>
            </w:r>
          </w:p>
        </w:tc>
      </w:tr>
      <w:tr w:rsidR="00427575" w:rsidRPr="00C079F9" w14:paraId="681B9FFF" w14:textId="77777777" w:rsidTr="00912FE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DCE04" w14:textId="50BFACCC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Annual outpatient department visits (mean</w:t>
            </w:r>
            <w:r w:rsid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53DAD" w14:textId="27D1CCC5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-17.75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51.94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C07F7" w14:textId="1DEA8239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4.33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30.66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A5AC8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99282" w14:textId="3A7D622E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-12.69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32.76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655A0" w14:textId="7B39CBCC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-5.42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36.51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FB124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27575" w:rsidRPr="00C079F9" w14:paraId="0B6F49F6" w14:textId="77777777" w:rsidTr="009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shd w:val="clear" w:color="auto" w:fill="auto"/>
            <w:vAlign w:val="center"/>
          </w:tcPr>
          <w:p w14:paraId="06D5E576" w14:textId="505CCCE1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Annual emergency room visits (mean</w:t>
            </w:r>
            <w:r w:rsid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6D0A1F4" w14:textId="36114129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6.93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CE1EF6D" w14:textId="704CA3FC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4.02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2AADDA6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005F3DD" w14:textId="63B06241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-1.58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6.74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F690E7F" w14:textId="69771698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5.14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C5DF43C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27575" w:rsidRPr="00C079F9" w14:paraId="562DC158" w14:textId="77777777" w:rsidTr="00912FE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shd w:val="clear" w:color="auto" w:fill="auto"/>
            <w:vAlign w:val="center"/>
          </w:tcPr>
          <w:p w14:paraId="477523A1" w14:textId="67879E59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Number of drugs (mean</w:t>
            </w:r>
            <w:r w:rsid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3E4B957" w14:textId="22D4DC4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-5.79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10.87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8A7475A" w14:textId="101C1C4E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10.44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4690E34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3D52B7CF" w14:textId="5FA84B81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-1.74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8.91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9624EA7" w14:textId="0EF18440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10.40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B7016F6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27575" w:rsidRPr="00C079F9" w14:paraId="06E4DE29" w14:textId="77777777" w:rsidTr="009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shd w:val="clear" w:color="auto" w:fill="auto"/>
            <w:vAlign w:val="center"/>
          </w:tcPr>
          <w:p w14:paraId="345F2EFA" w14:textId="4A8E11FF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Annual hospitalizations (mean</w:t>
            </w:r>
            <w:r w:rsid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299F6C6" w14:textId="2C6EFFA2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1.26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79CEE7C" w14:textId="0C2CE442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0.90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A75DBBF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267BF9EB" w14:textId="1DBA4285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-0.48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1.09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D2F6371" w14:textId="687E6E6A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0.89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E06D34C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27575" w:rsidRPr="00C079F9" w14:paraId="3F3F11BB" w14:textId="77777777" w:rsidTr="00912FE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shd w:val="clear" w:color="auto" w:fill="auto"/>
            <w:vAlign w:val="center"/>
          </w:tcPr>
          <w:p w14:paraId="152B6C51" w14:textId="77777777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Length of hospital stay (days/year)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DE7135A" w14:textId="2D4E8D9C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21.25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4DE38D0" w14:textId="17D9E63C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12.91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C366A97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EA3F355" w14:textId="6013503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-6.90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17.89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2BABA80" w14:textId="79533D1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-0.38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12.78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091AA4D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27575" w:rsidRPr="00C079F9" w14:paraId="1FC27491" w14:textId="77777777" w:rsidTr="009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shd w:val="clear" w:color="auto" w:fill="auto"/>
            <w:vAlign w:val="center"/>
          </w:tcPr>
          <w:p w14:paraId="719810E4" w14:textId="18046A60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Cost of each clinic visit (log NTD, mean</w:t>
            </w:r>
            <w:r w:rsid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1CCF27C" w14:textId="2DD75BE5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-1.27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2.85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E7F8265" w14:textId="58C1C5A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CBA4690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131F566" w14:textId="513B93F3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-1.30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3.36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4A04A42" w14:textId="3CA16C78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3.41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44D97B9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27575" w:rsidRPr="00C079F9" w14:paraId="64CC78A9" w14:textId="77777777" w:rsidTr="00912FE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shd w:val="clear" w:color="auto" w:fill="auto"/>
            <w:vAlign w:val="center"/>
          </w:tcPr>
          <w:p w14:paraId="01FEA8C9" w14:textId="610A47CB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Cost of each hospitalization (log NTD, mean</w:t>
            </w:r>
            <w:r w:rsid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19DCCC9" w14:textId="27D24DF1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6.69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DC6037A" w14:textId="35C434D6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5.30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0804299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387DB46" w14:textId="001B3796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-3.06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6.37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DF3D14B" w14:textId="63112140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-0.06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5.25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DB0DAF3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27575" w:rsidRPr="00C079F9" w14:paraId="450EE26B" w14:textId="77777777" w:rsidTr="0091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shd w:val="clear" w:color="auto" w:fill="auto"/>
            <w:vAlign w:val="center"/>
          </w:tcPr>
          <w:p w14:paraId="133DEA2D" w14:textId="58B84162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Cost of annual outpatient care (log NTD, mean</w:t>
            </w:r>
            <w:r w:rsid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94D80B6" w14:textId="39C092DD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-143.9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423.3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D4FA115" w14:textId="3C443D52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31.54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252.2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2E369BD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95C3999" w14:textId="619D2A9C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-96.37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262.2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21A766D" w14:textId="5DDF9622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-41.53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293.2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C3E1741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427575" w:rsidRPr="00C079F9" w14:paraId="71B1E683" w14:textId="77777777" w:rsidTr="00912FE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pct"/>
            <w:shd w:val="clear" w:color="auto" w:fill="auto"/>
            <w:vAlign w:val="center"/>
          </w:tcPr>
          <w:p w14:paraId="6710F97C" w14:textId="4F92A2A3" w:rsidR="006B45F8" w:rsidRPr="00C079F9" w:rsidRDefault="00840B92" w:rsidP="0062597E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>Cost of annual hospitalizations (log NTD, mean</w:t>
            </w:r>
            <w:r w:rsid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140095A" w14:textId="1C688A88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13.54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0B38C79" w14:textId="55379EB3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9.80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320E26F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F9BAC6A" w14:textId="35CFA790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-5.22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11.71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2325486" w14:textId="3A437E95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-0.20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9.65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FE14F74" w14:textId="77777777" w:rsidR="006B45F8" w:rsidRPr="00C079F9" w:rsidRDefault="00840B92" w:rsidP="0062597E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14:paraId="50E51378" w14:textId="5FB83F99" w:rsidR="00A244B6" w:rsidRDefault="00840B92" w:rsidP="00C079F9">
      <w:pPr>
        <w:widowControl/>
        <w:contextualSpacing/>
        <w:rPr>
          <w:rFonts w:ascii="Times New Roman" w:eastAsia="Times New Roman" w:hAnsi="Times New Roman" w:cs="Times New Roman"/>
          <w:b/>
        </w:rPr>
      </w:pPr>
      <w:r w:rsidRPr="0062597E">
        <w:rPr>
          <w:rFonts w:ascii="Times New Roman" w:eastAsia="Times New Roman" w:hAnsi="Times New Roman" w:cs="Times New Roman"/>
          <w:bCs/>
        </w:rPr>
        <w:t>Abbreviation:</w:t>
      </w:r>
      <w:r w:rsidRPr="00C079F9">
        <w:rPr>
          <w:rFonts w:ascii="Times New Roman" w:eastAsia="Times New Roman" w:hAnsi="Times New Roman" w:cs="Times New Roman"/>
          <w:b/>
        </w:rPr>
        <w:t xml:space="preserve"> </w:t>
      </w:r>
      <w:r w:rsidRPr="00C079F9">
        <w:rPr>
          <w:rFonts w:ascii="Times New Roman" w:eastAsia="Calibri" w:hAnsi="Times New Roman" w:cs="Times New Roman"/>
        </w:rPr>
        <w:t>NTD: New Taiwan dollar</w:t>
      </w:r>
      <w:r w:rsidRPr="00C079F9">
        <w:rPr>
          <w:rFonts w:ascii="Times New Roman" w:eastAsia="Times New Roman" w:hAnsi="Times New Roman" w:cs="Times New Roman"/>
          <w:b/>
        </w:rPr>
        <w:t>s</w:t>
      </w:r>
    </w:p>
    <w:p w14:paraId="3A6CA8A0" w14:textId="77777777" w:rsidR="00A244B6" w:rsidRDefault="00A244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938CDDE" w14:textId="11DC63FB" w:rsidR="00D278B2" w:rsidRPr="00C079F9" w:rsidRDefault="006B3BB9" w:rsidP="00CC6EEA">
      <w:pPr>
        <w:widowControl/>
        <w:contextualSpacing/>
        <w:rPr>
          <w:rFonts w:ascii="Times New Roman" w:hAnsi="Times New Roman" w:cs="Times New Roman"/>
          <w:b/>
        </w:rPr>
      </w:pPr>
      <w:r w:rsidRPr="00C079F9">
        <w:rPr>
          <w:rFonts w:ascii="Times New Roman" w:eastAsia="Times New Roman" w:hAnsi="Times New Roman" w:cs="Times New Roman"/>
          <w:b/>
          <w:bCs/>
        </w:rPr>
        <w:lastRenderedPageBreak/>
        <w:t>Table S6.</w:t>
      </w:r>
      <w:r w:rsidRPr="00C079F9">
        <w:rPr>
          <w:rFonts w:ascii="Times New Roman" w:eastAsia="Times New Roman" w:hAnsi="Times New Roman" w:cs="Times New Roman"/>
        </w:rPr>
        <w:t xml:space="preserve"> Change in health care utilization of patients with </w:t>
      </w:r>
      <w:r w:rsidRPr="00CC6EEA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CC6EEA">
        <w:rPr>
          <w:rFonts w:ascii="Times New Roman" w:eastAsia="Times New Roman" w:hAnsi="Times New Roman" w:cs="Times New Roman"/>
        </w:rPr>
        <w:t>Charlson</w:t>
      </w:r>
      <w:proofErr w:type="spellEnd"/>
      <w:r w:rsidRPr="00CC6EEA">
        <w:rPr>
          <w:rFonts w:ascii="Times New Roman" w:eastAsia="Times New Roman" w:hAnsi="Times New Roman" w:cs="Times New Roman"/>
        </w:rPr>
        <w:t xml:space="preserve"> comorbidity index </w:t>
      </w:r>
      <w:r w:rsidR="00CC6EEA" w:rsidRPr="00CC6EEA">
        <w:rPr>
          <w:rFonts w:ascii="Times New Roman" w:eastAsia="新細明體" w:hAnsi="Times New Roman" w:cs="Times New Roman"/>
        </w:rPr>
        <w:t>≥</w:t>
      </w:r>
      <w:r w:rsidRPr="00CC6EEA">
        <w:rPr>
          <w:rFonts w:ascii="Times New Roman" w:eastAsia="Times New Roman" w:hAnsi="Times New Roman" w:cs="Times New Roman"/>
        </w:rPr>
        <w:t>2</w:t>
      </w:r>
    </w:p>
    <w:tbl>
      <w:tblPr>
        <w:tblStyle w:val="af2"/>
        <w:tblW w:w="5000" w:type="pct"/>
        <w:tblInd w:w="0" w:type="dxa"/>
        <w:tblLook w:val="04A0" w:firstRow="1" w:lastRow="0" w:firstColumn="1" w:lastColumn="0" w:noHBand="0" w:noVBand="1"/>
      </w:tblPr>
      <w:tblGrid>
        <w:gridCol w:w="5310"/>
        <w:gridCol w:w="1798"/>
        <w:gridCol w:w="1756"/>
        <w:gridCol w:w="787"/>
        <w:gridCol w:w="1789"/>
        <w:gridCol w:w="1731"/>
        <w:gridCol w:w="787"/>
      </w:tblGrid>
      <w:tr w:rsidR="00CC6EEA" w:rsidRPr="00C079F9" w14:paraId="3D039124" w14:textId="77777777" w:rsidTr="00CC6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tcBorders>
              <w:top w:val="single" w:sz="4" w:space="0" w:color="auto"/>
            </w:tcBorders>
            <w:shd w:val="clear" w:color="auto" w:fill="auto"/>
          </w:tcPr>
          <w:p w14:paraId="373E54D3" w14:textId="171D84D6" w:rsidR="00052D19" w:rsidRPr="00C079F9" w:rsidRDefault="00052D19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48EB55" w14:textId="5F29FD78" w:rsidR="00052D19" w:rsidRPr="00C079F9" w:rsidRDefault="00840B92" w:rsidP="00CC6EEA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First year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791411" w14:textId="68EDBCB5" w:rsidR="00052D19" w:rsidRPr="00C079F9" w:rsidRDefault="00840B92" w:rsidP="00CC6EEA">
            <w:pPr>
              <w:widowControl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Second year</w:t>
            </w:r>
          </w:p>
        </w:tc>
      </w:tr>
      <w:tr w:rsidR="00CC6EEA" w:rsidRPr="00C079F9" w14:paraId="10FA9C58" w14:textId="77777777" w:rsidTr="00CC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tcBorders>
              <w:bottom w:val="single" w:sz="4" w:space="0" w:color="auto"/>
            </w:tcBorders>
            <w:shd w:val="clear" w:color="auto" w:fill="auto"/>
          </w:tcPr>
          <w:p w14:paraId="4CE3D810" w14:textId="77777777" w:rsidR="00052D19" w:rsidRPr="00C079F9" w:rsidRDefault="00052D19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14:paraId="5BE4AA50" w14:textId="036D5CF9" w:rsidR="00052D19" w:rsidRPr="00CC6EEA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eastAsia="Times New Roman" w:hAnsi="Times New Roman" w:cs="Times New Roman"/>
                <w:sz w:val="24"/>
                <w:szCs w:val="24"/>
              </w:rPr>
              <w:t>Geri-OPD</w:t>
            </w:r>
          </w:p>
          <w:p w14:paraId="6E66AA5B" w14:textId="1722C0C7" w:rsidR="00052D19" w:rsidRPr="00CC6EEA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(N</w:t>
            </w:r>
            <w:r w:rsidR="00CC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CC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529)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73A26974" w14:textId="1594818B" w:rsidR="00052D19" w:rsidRPr="00CC6EEA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eastAsia="Times New Roman" w:hAnsi="Times New Roman" w:cs="Times New Roman"/>
                <w:sz w:val="24"/>
                <w:szCs w:val="24"/>
              </w:rPr>
              <w:t>Non-Geri-OPD</w:t>
            </w:r>
          </w:p>
          <w:p w14:paraId="38B485D8" w14:textId="5E23A88D" w:rsidR="00052D19" w:rsidRPr="00CC6EEA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(N</w:t>
            </w:r>
            <w:r w:rsidR="00CC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CC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1797)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007F8F4E" w14:textId="38AEA1D3" w:rsidR="00052D19" w:rsidRPr="00CC6EEA" w:rsidRDefault="00CC6EEA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14:paraId="38A96307" w14:textId="7D3A771A" w:rsidR="00052D19" w:rsidRPr="00CC6EEA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eastAsia="Times New Roman" w:hAnsi="Times New Roman" w:cs="Times New Roman"/>
                <w:sz w:val="24"/>
                <w:szCs w:val="24"/>
              </w:rPr>
              <w:t>Geri-OPD</w:t>
            </w:r>
          </w:p>
          <w:p w14:paraId="5548C628" w14:textId="1A8A4221" w:rsidR="00052D19" w:rsidRPr="00CC6EEA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(N</w:t>
            </w:r>
            <w:r w:rsidR="00CC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CC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512)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14:paraId="63E6BDD4" w14:textId="46F816D5" w:rsidR="00052D19" w:rsidRPr="00CC6EEA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eastAsia="Times New Roman" w:hAnsi="Times New Roman" w:cs="Times New Roman"/>
                <w:sz w:val="24"/>
                <w:szCs w:val="24"/>
              </w:rPr>
              <w:t>Non-Geri-OPD</w:t>
            </w:r>
          </w:p>
          <w:p w14:paraId="260D4AEE" w14:textId="371F4076" w:rsidR="00052D19" w:rsidRPr="00CC6EEA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(N</w:t>
            </w:r>
            <w:r w:rsidR="00CC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CC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EEA">
              <w:rPr>
                <w:rFonts w:ascii="Times New Roman" w:eastAsia="Calibri" w:hAnsi="Times New Roman" w:cs="Times New Roman"/>
                <w:sz w:val="24"/>
                <w:szCs w:val="24"/>
              </w:rPr>
              <w:t>1745)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670048ED" w14:textId="20B79875" w:rsidR="00052D19" w:rsidRPr="00CC6EEA" w:rsidRDefault="00CC6EEA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</w:t>
            </w:r>
          </w:p>
        </w:tc>
      </w:tr>
      <w:tr w:rsidR="00CC6EEA" w:rsidRPr="00C079F9" w14:paraId="118BE5FE" w14:textId="77777777" w:rsidTr="00CC6E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C9330" w14:textId="435DD1C4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outpatient department visits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793A0" w14:textId="576667EC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-7.56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55.95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705EA" w14:textId="37E0ABEB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39.85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AC2F7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65938" w14:textId="6CBFA6F0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-20.80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43.92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98ADD" w14:textId="7A0FC513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-15.61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44.58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1321A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CC6EEA" w:rsidRPr="00C079F9" w14:paraId="4547AB3C" w14:textId="77777777" w:rsidTr="00CC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shd w:val="clear" w:color="auto" w:fill="auto"/>
            <w:vAlign w:val="center"/>
          </w:tcPr>
          <w:p w14:paraId="3F02ECE2" w14:textId="4011FD2C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emergency room visits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E466900" w14:textId="2EB42DC3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8.17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E37091B" w14:textId="7B44A9F5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5.24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0651E0F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23F09B5" w14:textId="6E328C9E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-1.73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641994" w14:textId="3039F86C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-0.67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6.40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6361EC7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CC6EEA" w:rsidRPr="00C079F9" w14:paraId="3755B27C" w14:textId="77777777" w:rsidTr="00CC6E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shd w:val="clear" w:color="auto" w:fill="auto"/>
            <w:vAlign w:val="center"/>
          </w:tcPr>
          <w:p w14:paraId="6980E8B2" w14:textId="715D77CF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Number of drugs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16BF4F2" w14:textId="4F68DD5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-1.49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7.34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5A09A30" w14:textId="71FB0B7D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2.58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8.96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D481F12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2DCC44A" w14:textId="357CCCA6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-2.62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8.72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A63210D" w14:textId="64ADD5A0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-1.89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7.88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7F7C537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CC6EEA" w:rsidRPr="00C079F9" w14:paraId="7E9212A1" w14:textId="77777777" w:rsidTr="00CC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shd w:val="clear" w:color="auto" w:fill="auto"/>
            <w:vAlign w:val="center"/>
          </w:tcPr>
          <w:p w14:paraId="6DAD2147" w14:textId="3CB018C2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Annual hospitalizations (mean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5E27FA7" w14:textId="3F31AD4F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1.33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D480201" w14:textId="7B55006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1.09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E81E67C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8740247" w14:textId="459E6244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-0.62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1.19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58858D3" w14:textId="11EDEE7A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-0.18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AC47A3C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C6EEA" w:rsidRPr="00C079F9" w14:paraId="6EAF30A8" w14:textId="77777777" w:rsidTr="00CC6E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shd w:val="clear" w:color="auto" w:fill="auto"/>
            <w:vAlign w:val="center"/>
          </w:tcPr>
          <w:p w14:paraId="44E1AB97" w14:textId="77777777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Length of hospital stay (days/year)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080987F" w14:textId="5C5CDA7B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2.53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23.56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0671569" w14:textId="524C353F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17.28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DAD0562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1B448D6" w14:textId="2F9594D4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-8.65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19.95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C5AFF7B" w14:textId="4C08B138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-2.45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15.91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A07F784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C6EEA" w:rsidRPr="00C079F9" w14:paraId="458A7153" w14:textId="77777777" w:rsidTr="00CC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shd w:val="clear" w:color="auto" w:fill="auto"/>
            <w:vAlign w:val="center"/>
          </w:tcPr>
          <w:p w14:paraId="51EA9597" w14:textId="467C505E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each clinic visit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F79A5BC" w14:textId="3F743D5D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-0.35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1.31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8D7FC01" w14:textId="11735349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2.57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0EBA2FB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AD85140" w14:textId="3C918A7F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-1.18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2.86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B1C477" w14:textId="25D07C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-0.78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9CAD643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CC6EEA" w:rsidRPr="00C079F9" w14:paraId="41230778" w14:textId="77777777" w:rsidTr="00CC6E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shd w:val="clear" w:color="auto" w:fill="auto"/>
            <w:vAlign w:val="center"/>
          </w:tcPr>
          <w:p w14:paraId="6B2A64B3" w14:textId="1DF77211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each hospitalization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4662847" w14:textId="789BB06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1.99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6.59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E24125E" w14:textId="218A583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6.04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8E19389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0E5E47C" w14:textId="31BD3525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-3.76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6.38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E7B2A50" w14:textId="74E404C8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-0.96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5.96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612FA8F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CC6EEA" w:rsidRPr="00C079F9" w14:paraId="5C1CFCB5" w14:textId="77777777" w:rsidTr="00CC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shd w:val="clear" w:color="auto" w:fill="auto"/>
            <w:vAlign w:val="center"/>
          </w:tcPr>
          <w:p w14:paraId="77E25BAC" w14:textId="736CF2E9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annual outpatient care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1E3CC2C" w14:textId="35D2F72A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-71.44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460.10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B1C8308" w14:textId="115A3519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72.82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343.00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FDBBBF2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BC61E49" w14:textId="25FEFAFC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-155.6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346.4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A84BB99" w14:textId="15A8A7A5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-121.9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363.8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311DB7B2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CC6EEA" w:rsidRPr="00C079F9" w14:paraId="632D1B7E" w14:textId="77777777" w:rsidTr="00CC6EE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78BCF" w14:textId="25BBB9F9" w:rsidR="00052D19" w:rsidRPr="00C079F9" w:rsidRDefault="00840B92" w:rsidP="00CC6EEA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Cost of annual hospitalizations (log NTD, mean</w:t>
            </w:r>
            <w:r w:rsid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SD)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B7F29" w14:textId="2B19EB38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2.58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14.43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9FE25" w14:textId="6795C8B8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1.60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11.98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79866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E5B6C" w14:textId="1CC3D0DB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-6.78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12.87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F3F6" w14:textId="16EDDA8B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-1.98</w:t>
            </w:r>
            <w:r w:rsid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±</w:t>
            </w: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11.54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E0EA" w14:textId="77777777" w:rsidR="00052D19" w:rsidRPr="00C079F9" w:rsidRDefault="00840B92" w:rsidP="00CC6EEA">
            <w:pPr>
              <w:widowControl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F9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</w:tr>
    </w:tbl>
    <w:p w14:paraId="7C0D50FF" w14:textId="3E5B77F8" w:rsidR="00F0271C" w:rsidRPr="00C079F9" w:rsidRDefault="00840B92" w:rsidP="00CC6EEA">
      <w:pPr>
        <w:widowControl/>
        <w:contextualSpacing/>
        <w:rPr>
          <w:rFonts w:ascii="Times New Roman" w:hAnsi="Times New Roman" w:cs="Times New Roman"/>
        </w:rPr>
      </w:pPr>
      <w:r w:rsidRPr="00CC6EEA">
        <w:rPr>
          <w:rFonts w:ascii="Times New Roman" w:eastAsia="Times New Roman" w:hAnsi="Times New Roman" w:cs="Times New Roman"/>
          <w:bCs/>
        </w:rPr>
        <w:t>Abbreviation:</w:t>
      </w:r>
      <w:r w:rsidRPr="00C079F9">
        <w:rPr>
          <w:rFonts w:ascii="Times New Roman" w:eastAsia="Calibri" w:hAnsi="Times New Roman" w:cs="Times New Roman"/>
        </w:rPr>
        <w:t xml:space="preserve"> NTD: New Taiwan </w:t>
      </w:r>
      <w:bookmarkStart w:id="1" w:name="_gjdgxs" w:colFirst="0" w:colLast="0"/>
      <w:bookmarkEnd w:id="1"/>
      <w:r w:rsidRPr="00C079F9">
        <w:rPr>
          <w:rFonts w:ascii="Times New Roman" w:eastAsia="Calibri" w:hAnsi="Times New Roman" w:cs="Times New Roman"/>
        </w:rPr>
        <w:t>dollars</w:t>
      </w:r>
    </w:p>
    <w:sectPr w:rsidR="00F0271C" w:rsidRPr="00C079F9" w:rsidSect="00A244B6">
      <w:pgSz w:w="16838" w:h="11906" w:orient="landscape" w:code="9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07AE" w14:textId="77777777" w:rsidR="006E6444" w:rsidRDefault="006E6444" w:rsidP="009A2C43">
      <w:r>
        <w:separator/>
      </w:r>
    </w:p>
  </w:endnote>
  <w:endnote w:type="continuationSeparator" w:id="0">
    <w:p w14:paraId="7BA4EDA6" w14:textId="77777777" w:rsidR="006E6444" w:rsidRDefault="006E6444" w:rsidP="009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9DEA" w14:textId="1C2AD4CB" w:rsidR="009A2C43" w:rsidRDefault="009A2C43" w:rsidP="00C079F9">
    <w:pPr>
      <w:pStyle w:val="a6"/>
      <w:spacing w:line="480" w:lineRule="auto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DE48" w14:textId="77777777" w:rsidR="006E6444" w:rsidRDefault="006E6444" w:rsidP="009A2C43">
      <w:r>
        <w:separator/>
      </w:r>
    </w:p>
  </w:footnote>
  <w:footnote w:type="continuationSeparator" w:id="0">
    <w:p w14:paraId="2D4EA326" w14:textId="77777777" w:rsidR="006E6444" w:rsidRDefault="006E6444" w:rsidP="009A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F8"/>
    <w:rsid w:val="00052D19"/>
    <w:rsid w:val="000902D1"/>
    <w:rsid w:val="0016163F"/>
    <w:rsid w:val="001807B5"/>
    <w:rsid w:val="001E75B9"/>
    <w:rsid w:val="002503C0"/>
    <w:rsid w:val="0028245E"/>
    <w:rsid w:val="00314BAE"/>
    <w:rsid w:val="0038209F"/>
    <w:rsid w:val="003A1822"/>
    <w:rsid w:val="00427575"/>
    <w:rsid w:val="00482FEF"/>
    <w:rsid w:val="004D3055"/>
    <w:rsid w:val="00550066"/>
    <w:rsid w:val="0057228A"/>
    <w:rsid w:val="005767CB"/>
    <w:rsid w:val="00580032"/>
    <w:rsid w:val="00583C44"/>
    <w:rsid w:val="005E24BA"/>
    <w:rsid w:val="005F7D10"/>
    <w:rsid w:val="0062597E"/>
    <w:rsid w:val="00665862"/>
    <w:rsid w:val="006B1A13"/>
    <w:rsid w:val="006B3BB9"/>
    <w:rsid w:val="006B45F8"/>
    <w:rsid w:val="006E6444"/>
    <w:rsid w:val="007071CD"/>
    <w:rsid w:val="00741BA8"/>
    <w:rsid w:val="00746BA1"/>
    <w:rsid w:val="00750BA5"/>
    <w:rsid w:val="00761EDB"/>
    <w:rsid w:val="00837F6F"/>
    <w:rsid w:val="00840B92"/>
    <w:rsid w:val="00894314"/>
    <w:rsid w:val="00912FE5"/>
    <w:rsid w:val="00966C59"/>
    <w:rsid w:val="009A2C43"/>
    <w:rsid w:val="00A2009D"/>
    <w:rsid w:val="00A244B6"/>
    <w:rsid w:val="00A67169"/>
    <w:rsid w:val="00AA4A2F"/>
    <w:rsid w:val="00AA6A77"/>
    <w:rsid w:val="00AC49EC"/>
    <w:rsid w:val="00C0178D"/>
    <w:rsid w:val="00C04276"/>
    <w:rsid w:val="00C079F9"/>
    <w:rsid w:val="00C5090C"/>
    <w:rsid w:val="00CC6EEA"/>
    <w:rsid w:val="00D25EBE"/>
    <w:rsid w:val="00D278B2"/>
    <w:rsid w:val="00D835BB"/>
    <w:rsid w:val="00D87FA6"/>
    <w:rsid w:val="00E17C69"/>
    <w:rsid w:val="00EA2929"/>
    <w:rsid w:val="00EF37A2"/>
    <w:rsid w:val="00F0271C"/>
    <w:rsid w:val="00F20926"/>
    <w:rsid w:val="00F741CE"/>
    <w:rsid w:val="00F77309"/>
    <w:rsid w:val="00F80B22"/>
    <w:rsid w:val="00F935B0"/>
    <w:rsid w:val="00FF2745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7D3C"/>
  <w15:docId w15:val="{5652933F-4640-43E1-91DB-804AD9BF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21"/>
    <w:rPr>
      <w:lang w:val="en-GB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11">
    <w:name w:val="純表格 11"/>
    <w:basedOn w:val="a1"/>
    <w:next w:val="10"/>
    <w:uiPriority w:val="41"/>
    <w:rsid w:val="00BF0B21"/>
    <w:rPr>
      <w:rFonts w:cs="Times New Roman"/>
      <w:sz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">
    <w:name w:val="純表格 41"/>
    <w:basedOn w:val="a1"/>
    <w:next w:val="40"/>
    <w:uiPriority w:val="44"/>
    <w:rsid w:val="00BF0B21"/>
    <w:rPr>
      <w:rFonts w:cs="Times New Roman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1">
    <w:name w:val="純表格 111"/>
    <w:basedOn w:val="a1"/>
    <w:next w:val="10"/>
    <w:uiPriority w:val="41"/>
    <w:rsid w:val="00BF0B21"/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2">
    <w:name w:val="純表格 112"/>
    <w:basedOn w:val="a1"/>
    <w:next w:val="10"/>
    <w:uiPriority w:val="41"/>
    <w:rsid w:val="00BF0B21"/>
    <w:rPr>
      <w:rFonts w:cs="Times New Roman"/>
      <w:sz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BF0B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0">
    <w:name w:val="Plain Table 4"/>
    <w:basedOn w:val="a1"/>
    <w:uiPriority w:val="44"/>
    <w:rsid w:val="00BF0B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D2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2C43"/>
    <w:pPr>
      <w:tabs>
        <w:tab w:val="center" w:pos="4153"/>
        <w:tab w:val="right" w:pos="8306"/>
      </w:tabs>
      <w:snapToGrid w:val="0"/>
    </w:pPr>
    <w:rPr>
      <w:rFonts w:ascii="Times New Roman" w:hAnsi="Times New Roman"/>
      <w:szCs w:val="20"/>
    </w:rPr>
  </w:style>
  <w:style w:type="character" w:customStyle="1" w:styleId="a7">
    <w:name w:val="頁尾 字元"/>
    <w:basedOn w:val="a0"/>
    <w:link w:val="a6"/>
    <w:uiPriority w:val="99"/>
    <w:rsid w:val="009A2C43"/>
    <w:rPr>
      <w:rFonts w:ascii="Times New Roman" w:hAnsi="Times New Roman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07D7B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customStyle="1" w:styleId="a9">
    <w:name w:val="註解方塊文字 字元"/>
    <w:basedOn w:val="a0"/>
    <w:link w:val="a8"/>
    <w:uiPriority w:val="99"/>
    <w:semiHidden/>
    <w:rsid w:val="00D07D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name w:val="ab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name w:val="ac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d">
    <w:name w:val="ad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e">
    <w:name w:val="ae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">
    <w:name w:val="af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0">
    <w:name w:val="af0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1">
    <w:name w:val="af1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2">
    <w:name w:val="af2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f3">
    <w:name w:val="af3"/>
    <w:basedOn w:val="TableNormal0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af4">
    <w:name w:val="annotation reference"/>
    <w:basedOn w:val="a0"/>
    <w:uiPriority w:val="99"/>
    <w:rsid w:val="000F3DF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f5">
    <w:name w:val="annotation text"/>
    <w:basedOn w:val="a"/>
    <w:link w:val="af6"/>
    <w:uiPriority w:val="99"/>
    <w:semiHidden/>
    <w:unhideWhenUsed/>
    <w:rPr>
      <w:rFonts w:ascii="Tahoma" w:hAnsi="Tahoma" w:cs="Tahoma"/>
      <w:sz w:val="16"/>
      <w:szCs w:val="20"/>
      <w:lang w:val="en-US"/>
    </w:rPr>
  </w:style>
  <w:style w:type="character" w:customStyle="1" w:styleId="af6">
    <w:name w:val="註解文字 字元"/>
    <w:basedOn w:val="a0"/>
    <w:link w:val="af5"/>
    <w:uiPriority w:val="99"/>
    <w:semiHidden/>
    <w:rPr>
      <w:rFonts w:ascii="Tahoma" w:hAnsi="Tahoma" w:cs="Tahoma"/>
      <w:sz w:val="16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0B92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840B92"/>
    <w:rPr>
      <w:rFonts w:ascii="Tahoma" w:hAnsi="Tahoma" w:cs="Tahoma"/>
      <w:b/>
      <w:bCs/>
      <w:sz w:val="16"/>
      <w:szCs w:val="20"/>
    </w:rPr>
  </w:style>
  <w:style w:type="character" w:styleId="af9">
    <w:name w:val="line number"/>
    <w:basedOn w:val="a0"/>
    <w:uiPriority w:val="99"/>
    <w:semiHidden/>
    <w:unhideWhenUsed/>
    <w:rsid w:val="009A2C4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4979-2013-42A5-B0B5-E9957805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2</cp:revision>
  <cp:lastPrinted>2020-01-06T08:31:00Z</cp:lastPrinted>
  <dcterms:created xsi:type="dcterms:W3CDTF">2020-07-02T15:49:00Z</dcterms:created>
  <dcterms:modified xsi:type="dcterms:W3CDTF">2020-07-02T15:49:00Z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435</vt:i4>
  </property>
  <property fmtid="{D5CDD505-2E9C-101B-9397-08002B2CF9AE}" pid="3" name="EditTotal">
    <vt:i4>994</vt:i4>
  </property>
  <property fmtid="{D5CDD505-2E9C-101B-9397-08002B2CF9AE}" pid="4" name="UseTimer">
    <vt:bool>false</vt:bool>
  </property>
  <property fmtid="{D5CDD505-2E9C-101B-9397-08002B2CF9AE}" pid="5" name="LastTick">
    <vt:r8>44014.3847569444</vt:r8>
  </property>
</Properties>
</file>