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8C" w:rsidRPr="00796713" w:rsidRDefault="00796713" w:rsidP="00F13E92">
      <w:pPr>
        <w:spacing w:line="300" w:lineRule="auto"/>
        <w:ind w:left="-1276" w:right="-127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Comparison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B31A5">
        <w:rPr>
          <w:sz w:val="24"/>
          <w:szCs w:val="24"/>
        </w:rPr>
        <w:t>study</w:t>
      </w:r>
      <w:proofErr w:type="spellEnd"/>
      <w:r w:rsidR="00AB31A5">
        <w:rPr>
          <w:sz w:val="24"/>
          <w:szCs w:val="24"/>
        </w:rPr>
        <w:t xml:space="preserve"> </w:t>
      </w:r>
      <w:proofErr w:type="spellStart"/>
      <w:r w:rsidR="00AB31A5">
        <w:rPr>
          <w:sz w:val="24"/>
          <w:szCs w:val="24"/>
        </w:rPr>
        <w:t>groups</w:t>
      </w:r>
      <w:proofErr w:type="spellEnd"/>
      <w:r w:rsidR="00AB31A5">
        <w:rPr>
          <w:sz w:val="24"/>
          <w:szCs w:val="24"/>
        </w:rPr>
        <w:t xml:space="preserve"> </w:t>
      </w:r>
      <w:proofErr w:type="spellStart"/>
      <w:r w:rsidR="00AB31A5"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entire</w:t>
      </w:r>
      <w:proofErr w:type="spellEnd"/>
      <w:r>
        <w:rPr>
          <w:sz w:val="24"/>
          <w:szCs w:val="24"/>
        </w:rPr>
        <w:t xml:space="preserve"> RA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patients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terms</w:t>
      </w:r>
      <w:proofErr w:type="spellEnd"/>
      <w:r>
        <w:rPr>
          <w:sz w:val="24"/>
          <w:szCs w:val="24"/>
        </w:rPr>
        <w:t xml:space="preserve"> of </w:t>
      </w:r>
      <w:proofErr w:type="spellStart"/>
      <w:r w:rsidR="00AB31A5">
        <w:rPr>
          <w:color w:val="000000" w:themeColor="text1"/>
          <w:sz w:val="24"/>
          <w:szCs w:val="24"/>
        </w:rPr>
        <w:t>d</w:t>
      </w:r>
      <w:r w:rsidRPr="008017C7">
        <w:rPr>
          <w:color w:val="000000" w:themeColor="text1"/>
          <w:sz w:val="24"/>
          <w:szCs w:val="24"/>
        </w:rPr>
        <w:t>emographic</w:t>
      </w:r>
      <w:proofErr w:type="spellEnd"/>
      <w:r w:rsidRPr="008017C7">
        <w:rPr>
          <w:color w:val="000000" w:themeColor="text1"/>
          <w:sz w:val="24"/>
          <w:szCs w:val="24"/>
        </w:rPr>
        <w:t xml:space="preserve"> data, </w:t>
      </w:r>
      <w:proofErr w:type="spellStart"/>
      <w:r w:rsidRPr="008017C7">
        <w:rPr>
          <w:color w:val="000000" w:themeColor="text1"/>
          <w:sz w:val="24"/>
          <w:szCs w:val="24"/>
        </w:rPr>
        <w:t>disease</w:t>
      </w:r>
      <w:proofErr w:type="spellEnd"/>
      <w:r w:rsidRPr="008017C7">
        <w:rPr>
          <w:color w:val="000000" w:themeColor="text1"/>
          <w:sz w:val="24"/>
          <w:szCs w:val="24"/>
        </w:rPr>
        <w:t>-</w:t>
      </w:r>
      <w:proofErr w:type="spellStart"/>
      <w:r w:rsidRPr="008017C7">
        <w:rPr>
          <w:color w:val="000000" w:themeColor="text1"/>
          <w:sz w:val="24"/>
          <w:szCs w:val="24"/>
        </w:rPr>
        <w:t>related</w:t>
      </w:r>
      <w:proofErr w:type="spellEnd"/>
      <w:r w:rsidRPr="008017C7">
        <w:rPr>
          <w:color w:val="000000" w:themeColor="text1"/>
          <w:sz w:val="24"/>
          <w:szCs w:val="24"/>
        </w:rPr>
        <w:t xml:space="preserve"> </w:t>
      </w:r>
      <w:proofErr w:type="spellStart"/>
      <w:r w:rsidRPr="008017C7">
        <w:rPr>
          <w:color w:val="000000" w:themeColor="text1"/>
          <w:sz w:val="24"/>
          <w:szCs w:val="24"/>
        </w:rPr>
        <w:t>features</w:t>
      </w:r>
      <w:proofErr w:type="spellEnd"/>
      <w:r w:rsidRPr="008017C7">
        <w:rPr>
          <w:color w:val="000000" w:themeColor="text1"/>
          <w:sz w:val="24"/>
          <w:szCs w:val="24"/>
        </w:rPr>
        <w:t xml:space="preserve">, TST </w:t>
      </w:r>
      <w:proofErr w:type="spellStart"/>
      <w:r w:rsidRPr="008017C7">
        <w:rPr>
          <w:color w:val="000000" w:themeColor="text1"/>
          <w:sz w:val="24"/>
          <w:szCs w:val="24"/>
        </w:rPr>
        <w:t>and</w:t>
      </w:r>
      <w:proofErr w:type="spellEnd"/>
      <w:r w:rsidRPr="008017C7">
        <w:rPr>
          <w:color w:val="000000" w:themeColor="text1"/>
          <w:sz w:val="24"/>
          <w:szCs w:val="24"/>
        </w:rPr>
        <w:t xml:space="preserve"> QFT-GIT </w:t>
      </w:r>
      <w:proofErr w:type="spellStart"/>
      <w:r w:rsidRPr="008017C7">
        <w:rPr>
          <w:color w:val="000000" w:themeColor="text1"/>
          <w:sz w:val="24"/>
          <w:szCs w:val="24"/>
        </w:rPr>
        <w:t>re</w:t>
      </w:r>
      <w:r w:rsidR="00AB31A5">
        <w:rPr>
          <w:color w:val="000000" w:themeColor="text1"/>
          <w:sz w:val="24"/>
          <w:szCs w:val="24"/>
        </w:rPr>
        <w:t>sults</w:t>
      </w:r>
      <w:proofErr w:type="spellEnd"/>
      <w:r w:rsidRPr="008017C7">
        <w:rPr>
          <w:color w:val="000000" w:themeColor="text1"/>
          <w:sz w:val="24"/>
          <w:szCs w:val="24"/>
        </w:rPr>
        <w:t xml:space="preserve">, </w:t>
      </w:r>
      <w:proofErr w:type="spellStart"/>
      <w:r w:rsidRPr="008017C7">
        <w:rPr>
          <w:color w:val="000000" w:themeColor="text1"/>
          <w:sz w:val="24"/>
          <w:szCs w:val="24"/>
        </w:rPr>
        <w:t>and</w:t>
      </w:r>
      <w:proofErr w:type="spellEnd"/>
      <w:r w:rsidRPr="008017C7">
        <w:rPr>
          <w:color w:val="000000" w:themeColor="text1"/>
          <w:sz w:val="24"/>
          <w:szCs w:val="24"/>
        </w:rPr>
        <w:t xml:space="preserve"> LTBI </w:t>
      </w:r>
      <w:proofErr w:type="spellStart"/>
      <w:r w:rsidRPr="008017C7">
        <w:rPr>
          <w:color w:val="000000" w:themeColor="text1"/>
          <w:sz w:val="24"/>
          <w:szCs w:val="24"/>
        </w:rPr>
        <w:t>treatment</w:t>
      </w:r>
      <w:proofErr w:type="spellEnd"/>
      <w:r w:rsidRPr="008017C7">
        <w:rPr>
          <w:color w:val="000000" w:themeColor="text1"/>
          <w:sz w:val="24"/>
          <w:szCs w:val="24"/>
        </w:rPr>
        <w:t xml:space="preserve"> rates</w:t>
      </w:r>
    </w:p>
    <w:tbl>
      <w:tblPr>
        <w:tblStyle w:val="TabloKlavuzu"/>
        <w:tblW w:w="11624" w:type="dxa"/>
        <w:tblInd w:w="-11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0"/>
        <w:gridCol w:w="1985"/>
        <w:gridCol w:w="1843"/>
        <w:gridCol w:w="850"/>
        <w:gridCol w:w="1843"/>
        <w:gridCol w:w="1701"/>
        <w:gridCol w:w="992"/>
      </w:tblGrid>
      <w:tr w:rsidR="00C07D11" w:rsidRPr="00C07D11" w:rsidTr="005B694C">
        <w:tc>
          <w:tcPr>
            <w:tcW w:w="2410" w:type="dxa"/>
          </w:tcPr>
          <w:p w:rsidR="00C07D11" w:rsidRPr="00C07D11" w:rsidRDefault="00C07D11" w:rsidP="005B04A4">
            <w:pPr>
              <w:spacing w:line="300" w:lineRule="auto"/>
            </w:pP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C07D11" w:rsidRPr="00C07D11" w:rsidRDefault="00C07D11" w:rsidP="005B04A4">
            <w:pPr>
              <w:spacing w:line="30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Rheumatoid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Arthritis</w:t>
            </w:r>
            <w:proofErr w:type="spellEnd"/>
          </w:p>
        </w:tc>
        <w:tc>
          <w:tcPr>
            <w:tcW w:w="850" w:type="dxa"/>
          </w:tcPr>
          <w:p w:rsidR="00C07D11" w:rsidRPr="00C07D11" w:rsidRDefault="00C07D11" w:rsidP="005B04A4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C07D11" w:rsidRPr="00C07D11" w:rsidRDefault="00C07D11" w:rsidP="005B04A4">
            <w:pPr>
              <w:spacing w:line="30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Spondyloarthritis</w:t>
            </w:r>
            <w:proofErr w:type="spellEnd"/>
          </w:p>
        </w:tc>
        <w:tc>
          <w:tcPr>
            <w:tcW w:w="992" w:type="dxa"/>
          </w:tcPr>
          <w:p w:rsidR="00C07D11" w:rsidRPr="00C07D11" w:rsidRDefault="00C07D11" w:rsidP="005B04A4">
            <w:pPr>
              <w:spacing w:line="300" w:lineRule="auto"/>
              <w:jc w:val="center"/>
              <w:rPr>
                <w:b/>
              </w:rPr>
            </w:pPr>
          </w:p>
        </w:tc>
      </w:tr>
      <w:tr w:rsidR="00786518" w:rsidRPr="00C07D11" w:rsidTr="005B694C">
        <w:tc>
          <w:tcPr>
            <w:tcW w:w="2410" w:type="dxa"/>
          </w:tcPr>
          <w:p w:rsidR="00C07D11" w:rsidRPr="00C07D11" w:rsidRDefault="00C07D11" w:rsidP="005B04A4">
            <w:pPr>
              <w:spacing w:line="300" w:lineRule="auto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07D11" w:rsidRDefault="00C07D11" w:rsidP="005B04A4">
            <w:pPr>
              <w:spacing w:line="30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Group</w:t>
            </w:r>
            <w:proofErr w:type="spellEnd"/>
          </w:p>
          <w:p w:rsidR="00C07D11" w:rsidRPr="00C07D11" w:rsidRDefault="00C07D11" w:rsidP="005B04A4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(n=</w:t>
            </w:r>
            <w:r w:rsidR="00202A81">
              <w:rPr>
                <w:b/>
              </w:rPr>
              <w:t>206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7D11" w:rsidRDefault="00C07D11" w:rsidP="005B04A4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C07D11" w:rsidRPr="00C07D11" w:rsidRDefault="00C07D11" w:rsidP="005B04A4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(n=</w:t>
            </w:r>
            <w:r w:rsidR="00CF335D">
              <w:rPr>
                <w:b/>
              </w:rPr>
              <w:t>2690</w:t>
            </w:r>
            <w:r>
              <w:rPr>
                <w:b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07D11" w:rsidRPr="00C07D11" w:rsidRDefault="00C07D11" w:rsidP="005B04A4">
            <w:pPr>
              <w:spacing w:line="300" w:lineRule="auto"/>
              <w:jc w:val="center"/>
              <w:rPr>
                <w:b/>
              </w:rPr>
            </w:pPr>
          </w:p>
          <w:p w:rsidR="00C07D11" w:rsidRPr="00C07D11" w:rsidRDefault="00C07D11" w:rsidP="005B04A4">
            <w:pPr>
              <w:spacing w:line="300" w:lineRule="auto"/>
              <w:jc w:val="center"/>
              <w:rPr>
                <w:b/>
              </w:rPr>
            </w:pPr>
            <w:proofErr w:type="gramStart"/>
            <w:r w:rsidRPr="00C07D11">
              <w:rPr>
                <w:b/>
              </w:rPr>
              <w:t>p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7D11" w:rsidRDefault="00C07D11" w:rsidP="005B04A4">
            <w:pPr>
              <w:spacing w:line="30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Group</w:t>
            </w:r>
            <w:proofErr w:type="spellEnd"/>
          </w:p>
          <w:p w:rsidR="00C07D11" w:rsidRPr="00C07D11" w:rsidRDefault="00C07D11" w:rsidP="005B04A4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(n=</w:t>
            </w:r>
            <w:r w:rsidR="00202A81">
              <w:rPr>
                <w:b/>
              </w:rPr>
              <w:t>392</w:t>
            </w:r>
            <w:r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7D11" w:rsidRDefault="00C07D11" w:rsidP="005B04A4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C07D11" w:rsidRPr="00C07D11" w:rsidRDefault="00C07D11" w:rsidP="005B04A4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(n=</w:t>
            </w:r>
            <w:r w:rsidR="00CF335D">
              <w:rPr>
                <w:b/>
              </w:rPr>
              <w:t>4995</w:t>
            </w:r>
            <w:r>
              <w:rPr>
                <w:b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7D11" w:rsidRPr="00C07D11" w:rsidRDefault="00C07D11" w:rsidP="005B04A4">
            <w:pPr>
              <w:spacing w:line="300" w:lineRule="auto"/>
              <w:jc w:val="center"/>
              <w:rPr>
                <w:b/>
              </w:rPr>
            </w:pPr>
          </w:p>
          <w:p w:rsidR="00C07D11" w:rsidRPr="00C07D11" w:rsidRDefault="00C07D11" w:rsidP="005B04A4">
            <w:pPr>
              <w:spacing w:line="300" w:lineRule="auto"/>
              <w:jc w:val="center"/>
              <w:rPr>
                <w:b/>
              </w:rPr>
            </w:pPr>
            <w:proofErr w:type="gramStart"/>
            <w:r w:rsidRPr="00C07D11">
              <w:rPr>
                <w:b/>
              </w:rPr>
              <w:t>p</w:t>
            </w:r>
            <w:proofErr w:type="gramEnd"/>
          </w:p>
        </w:tc>
      </w:tr>
      <w:tr w:rsidR="00786518" w:rsidRPr="00C07D11" w:rsidTr="005B694C">
        <w:tc>
          <w:tcPr>
            <w:tcW w:w="2410" w:type="dxa"/>
          </w:tcPr>
          <w:p w:rsidR="002D2158" w:rsidRPr="00C07D11" w:rsidRDefault="002D2158" w:rsidP="005B04A4">
            <w:pPr>
              <w:spacing w:line="300" w:lineRule="auto"/>
              <w:rPr>
                <w:b/>
              </w:rPr>
            </w:pPr>
            <w:proofErr w:type="spellStart"/>
            <w:r w:rsidRPr="00C07D11">
              <w:rPr>
                <w:b/>
              </w:rPr>
              <w:t>Female</w:t>
            </w:r>
            <w:proofErr w:type="spellEnd"/>
            <w:r w:rsidRPr="00C07D11">
              <w:rPr>
                <w:b/>
              </w:rPr>
              <w:t xml:space="preserve"> </w:t>
            </w:r>
            <w:proofErr w:type="spellStart"/>
            <w:r w:rsidRPr="00C07D11">
              <w:rPr>
                <w:b/>
              </w:rPr>
              <w:t>sex</w:t>
            </w:r>
            <w:proofErr w:type="spellEnd"/>
            <w:r w:rsidRPr="00C07D11">
              <w:rPr>
                <w:b/>
              </w:rPr>
              <w:t>, %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D2158" w:rsidRPr="00C07D11" w:rsidRDefault="00447D97" w:rsidP="005B04A4">
            <w:pPr>
              <w:spacing w:line="300" w:lineRule="auto"/>
              <w:jc w:val="center"/>
            </w:pPr>
            <w:r>
              <w:t>77.7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2158" w:rsidRPr="00C07D11" w:rsidRDefault="00447D97" w:rsidP="005B04A4">
            <w:pPr>
              <w:spacing w:line="300" w:lineRule="auto"/>
              <w:jc w:val="center"/>
            </w:pPr>
            <w:r>
              <w:t>79.3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2158" w:rsidRPr="00C07D11" w:rsidRDefault="00447D97" w:rsidP="005B04A4">
            <w:pPr>
              <w:spacing w:line="300" w:lineRule="auto"/>
              <w:jc w:val="center"/>
            </w:pPr>
            <w:r>
              <w:t>0.602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2158" w:rsidRPr="00C07D11" w:rsidRDefault="001B29D6" w:rsidP="005B04A4">
            <w:pPr>
              <w:spacing w:line="300" w:lineRule="auto"/>
              <w:jc w:val="center"/>
            </w:pPr>
            <w:r>
              <w:t>39.3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2158" w:rsidRPr="00C07D11" w:rsidRDefault="001B29D6" w:rsidP="005B04A4">
            <w:pPr>
              <w:spacing w:line="300" w:lineRule="auto"/>
              <w:jc w:val="center"/>
            </w:pPr>
            <w:r>
              <w:t>43.8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2158" w:rsidRPr="00C07D11" w:rsidRDefault="001B29D6" w:rsidP="005B04A4">
            <w:pPr>
              <w:spacing w:line="300" w:lineRule="auto"/>
              <w:jc w:val="center"/>
            </w:pPr>
            <w:r>
              <w:t>0.08</w:t>
            </w:r>
            <w:r w:rsidR="0087164B">
              <w:t>6</w:t>
            </w:r>
          </w:p>
        </w:tc>
      </w:tr>
      <w:tr w:rsidR="00786518" w:rsidRPr="00C07D11" w:rsidTr="005B694C">
        <w:tc>
          <w:tcPr>
            <w:tcW w:w="2410" w:type="dxa"/>
          </w:tcPr>
          <w:p w:rsidR="002D2158" w:rsidRPr="00C07D11" w:rsidRDefault="002D2158" w:rsidP="005B04A4">
            <w:pPr>
              <w:spacing w:line="300" w:lineRule="auto"/>
              <w:rPr>
                <w:b/>
              </w:rPr>
            </w:pPr>
            <w:proofErr w:type="spellStart"/>
            <w:r w:rsidRPr="00C07D11">
              <w:rPr>
                <w:b/>
              </w:rPr>
              <w:t>Age</w:t>
            </w:r>
            <w:proofErr w:type="spellEnd"/>
            <w:r w:rsidRPr="00C07D11">
              <w:rPr>
                <w:b/>
              </w:rPr>
              <w:t xml:space="preserve">, </w:t>
            </w:r>
            <w:proofErr w:type="spellStart"/>
            <w:r w:rsidRPr="00C07D11">
              <w:rPr>
                <w:b/>
              </w:rPr>
              <w:t>years</w:t>
            </w:r>
            <w:proofErr w:type="spellEnd"/>
          </w:p>
        </w:tc>
        <w:tc>
          <w:tcPr>
            <w:tcW w:w="1985" w:type="dxa"/>
          </w:tcPr>
          <w:p w:rsidR="002D2158" w:rsidRPr="00C07D11" w:rsidRDefault="00666111" w:rsidP="005B04A4">
            <w:pPr>
              <w:spacing w:line="300" w:lineRule="auto"/>
              <w:jc w:val="center"/>
            </w:pPr>
            <w:r>
              <w:t>49</w:t>
            </w:r>
            <w:r w:rsidRPr="008017C7">
              <w:rPr>
                <w:rFonts w:cstheme="minorHAnsi"/>
                <w:color w:val="000000" w:themeColor="text1"/>
              </w:rPr>
              <w:t>±</w:t>
            </w:r>
            <w:r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1843" w:type="dxa"/>
          </w:tcPr>
          <w:p w:rsidR="002D2158" w:rsidRPr="00C07D11" w:rsidRDefault="007C177C" w:rsidP="005B04A4">
            <w:pPr>
              <w:spacing w:line="300" w:lineRule="auto"/>
              <w:jc w:val="center"/>
            </w:pPr>
            <w:r>
              <w:t>53</w:t>
            </w:r>
            <w:r w:rsidRPr="008017C7">
              <w:rPr>
                <w:rFonts w:cstheme="minorHAnsi"/>
                <w:color w:val="000000" w:themeColor="text1"/>
              </w:rPr>
              <w:t>±</w:t>
            </w:r>
            <w:r>
              <w:t>14</w:t>
            </w:r>
          </w:p>
        </w:tc>
        <w:tc>
          <w:tcPr>
            <w:tcW w:w="850" w:type="dxa"/>
          </w:tcPr>
          <w:p w:rsidR="002D2158" w:rsidRPr="00184A78" w:rsidRDefault="00184A78" w:rsidP="005B04A4">
            <w:pPr>
              <w:spacing w:line="300" w:lineRule="auto"/>
              <w:jc w:val="center"/>
              <w:rPr>
                <w:b/>
              </w:rPr>
            </w:pPr>
            <w:r w:rsidRPr="00184A78">
              <w:rPr>
                <w:b/>
              </w:rPr>
              <w:t>0.002</w:t>
            </w:r>
          </w:p>
        </w:tc>
        <w:tc>
          <w:tcPr>
            <w:tcW w:w="1843" w:type="dxa"/>
          </w:tcPr>
          <w:p w:rsidR="002D2158" w:rsidRPr="00C07D11" w:rsidRDefault="008B51C5" w:rsidP="005B04A4">
            <w:pPr>
              <w:spacing w:line="300" w:lineRule="auto"/>
              <w:jc w:val="center"/>
            </w:pPr>
            <w:r>
              <w:t>43</w:t>
            </w:r>
            <w:r w:rsidRPr="008017C7">
              <w:rPr>
                <w:rFonts w:cstheme="minorHAnsi"/>
                <w:color w:val="000000" w:themeColor="text1"/>
              </w:rPr>
              <w:t>±</w:t>
            </w:r>
            <w:r>
              <w:t>11</w:t>
            </w:r>
          </w:p>
        </w:tc>
        <w:tc>
          <w:tcPr>
            <w:tcW w:w="1701" w:type="dxa"/>
          </w:tcPr>
          <w:p w:rsidR="002D2158" w:rsidRPr="00C07D11" w:rsidRDefault="008B51C5" w:rsidP="005B04A4">
            <w:pPr>
              <w:spacing w:line="300" w:lineRule="auto"/>
              <w:jc w:val="center"/>
            </w:pPr>
            <w:r>
              <w:t>43</w:t>
            </w:r>
            <w:r w:rsidRPr="008017C7">
              <w:rPr>
                <w:rFonts w:cstheme="minorHAnsi"/>
                <w:color w:val="000000" w:themeColor="text1"/>
              </w:rPr>
              <w:t>±</w:t>
            </w:r>
            <w:r>
              <w:t>12</w:t>
            </w:r>
          </w:p>
        </w:tc>
        <w:tc>
          <w:tcPr>
            <w:tcW w:w="992" w:type="dxa"/>
          </w:tcPr>
          <w:p w:rsidR="002D2158" w:rsidRPr="00C07D11" w:rsidRDefault="008B51C5" w:rsidP="005B04A4">
            <w:pPr>
              <w:spacing w:line="300" w:lineRule="auto"/>
              <w:jc w:val="center"/>
            </w:pPr>
            <w:r>
              <w:t>0.348</w:t>
            </w:r>
          </w:p>
        </w:tc>
      </w:tr>
      <w:tr w:rsidR="00786518" w:rsidRPr="00C07D11" w:rsidTr="005B694C">
        <w:tc>
          <w:tcPr>
            <w:tcW w:w="2410" w:type="dxa"/>
          </w:tcPr>
          <w:p w:rsidR="002D2158" w:rsidRDefault="002D2158" w:rsidP="005B04A4">
            <w:pPr>
              <w:spacing w:line="300" w:lineRule="auto"/>
              <w:rPr>
                <w:b/>
              </w:rPr>
            </w:pPr>
            <w:proofErr w:type="spellStart"/>
            <w:r w:rsidRPr="00C07D11">
              <w:rPr>
                <w:b/>
              </w:rPr>
              <w:t>Education</w:t>
            </w:r>
            <w:proofErr w:type="spellEnd"/>
            <w:r w:rsidRPr="00C07D11">
              <w:rPr>
                <w:b/>
              </w:rPr>
              <w:t xml:space="preserve"> </w:t>
            </w:r>
            <w:proofErr w:type="spellStart"/>
            <w:r w:rsidRPr="00C07D11">
              <w:rPr>
                <w:b/>
              </w:rPr>
              <w:t>status</w:t>
            </w:r>
            <w:proofErr w:type="spellEnd"/>
            <w:r w:rsidRPr="00C07D11">
              <w:rPr>
                <w:b/>
              </w:rPr>
              <w:t>, %</w:t>
            </w:r>
          </w:p>
          <w:p w:rsidR="005B04A4" w:rsidRPr="00044745" w:rsidRDefault="00044745" w:rsidP="005B04A4">
            <w:pPr>
              <w:spacing w:line="300" w:lineRule="auto"/>
            </w:pPr>
            <w:r>
              <w:rPr>
                <w:b/>
              </w:rPr>
              <w:t xml:space="preserve">   </w:t>
            </w: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lower</w:t>
            </w:r>
            <w:proofErr w:type="spellEnd"/>
          </w:p>
          <w:p w:rsidR="005B04A4" w:rsidRPr="00044745" w:rsidRDefault="00044745" w:rsidP="005B04A4">
            <w:pPr>
              <w:spacing w:line="300" w:lineRule="auto"/>
            </w:pPr>
            <w:r>
              <w:rPr>
                <w:b/>
              </w:rPr>
              <w:t xml:space="preserve">  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1985" w:type="dxa"/>
          </w:tcPr>
          <w:p w:rsidR="002D2158" w:rsidRDefault="002D2158" w:rsidP="005B04A4">
            <w:pPr>
              <w:spacing w:line="300" w:lineRule="auto"/>
              <w:jc w:val="center"/>
            </w:pPr>
          </w:p>
          <w:p w:rsidR="00184A78" w:rsidRDefault="00757EDF" w:rsidP="005B04A4">
            <w:pPr>
              <w:spacing w:line="300" w:lineRule="auto"/>
              <w:jc w:val="center"/>
            </w:pPr>
            <w:r>
              <w:t>45.2</w:t>
            </w:r>
          </w:p>
          <w:p w:rsidR="00184A78" w:rsidRPr="00C07D11" w:rsidRDefault="00757EDF" w:rsidP="005B04A4">
            <w:pPr>
              <w:spacing w:line="300" w:lineRule="auto"/>
              <w:jc w:val="center"/>
            </w:pPr>
            <w:r>
              <w:t>54.8</w:t>
            </w:r>
          </w:p>
        </w:tc>
        <w:tc>
          <w:tcPr>
            <w:tcW w:w="1843" w:type="dxa"/>
          </w:tcPr>
          <w:p w:rsidR="002D2158" w:rsidRDefault="002D2158" w:rsidP="005B04A4">
            <w:pPr>
              <w:spacing w:line="300" w:lineRule="auto"/>
              <w:jc w:val="center"/>
            </w:pPr>
          </w:p>
          <w:p w:rsidR="00184A78" w:rsidRDefault="00684376" w:rsidP="005B04A4">
            <w:pPr>
              <w:spacing w:line="300" w:lineRule="auto"/>
              <w:jc w:val="center"/>
            </w:pPr>
            <w:r>
              <w:t>53</w:t>
            </w:r>
          </w:p>
          <w:p w:rsidR="00184A78" w:rsidRPr="00C07D11" w:rsidRDefault="00684376" w:rsidP="005B04A4">
            <w:pPr>
              <w:spacing w:line="300" w:lineRule="auto"/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2D2158" w:rsidRPr="00684376" w:rsidRDefault="00B01429" w:rsidP="005B04A4">
            <w:pPr>
              <w:spacing w:line="300" w:lineRule="auto"/>
              <w:jc w:val="center"/>
              <w:rPr>
                <w:b/>
              </w:rPr>
            </w:pPr>
            <w:r w:rsidRPr="00684376">
              <w:rPr>
                <w:b/>
              </w:rPr>
              <w:t>0.</w:t>
            </w:r>
            <w:r w:rsidR="00684376" w:rsidRPr="00684376">
              <w:rPr>
                <w:b/>
              </w:rPr>
              <w:t>043</w:t>
            </w:r>
          </w:p>
        </w:tc>
        <w:tc>
          <w:tcPr>
            <w:tcW w:w="1843" w:type="dxa"/>
          </w:tcPr>
          <w:p w:rsidR="00F65D33" w:rsidRDefault="00F65D33" w:rsidP="005B04A4">
            <w:pPr>
              <w:spacing w:line="300" w:lineRule="auto"/>
              <w:jc w:val="center"/>
            </w:pPr>
          </w:p>
          <w:p w:rsidR="002D2158" w:rsidRDefault="00F65D33" w:rsidP="005B04A4">
            <w:pPr>
              <w:spacing w:line="300" w:lineRule="auto"/>
              <w:jc w:val="center"/>
            </w:pPr>
            <w:r>
              <w:t>22.4</w:t>
            </w:r>
          </w:p>
          <w:p w:rsidR="00F65D33" w:rsidRPr="00C07D11" w:rsidRDefault="00F65D33" w:rsidP="005B04A4">
            <w:pPr>
              <w:spacing w:line="300" w:lineRule="auto"/>
              <w:jc w:val="center"/>
            </w:pPr>
            <w:r>
              <w:t>77.6</w:t>
            </w:r>
          </w:p>
        </w:tc>
        <w:tc>
          <w:tcPr>
            <w:tcW w:w="1701" w:type="dxa"/>
          </w:tcPr>
          <w:p w:rsidR="002D2158" w:rsidRDefault="002D2158" w:rsidP="005B04A4">
            <w:pPr>
              <w:spacing w:line="300" w:lineRule="auto"/>
              <w:jc w:val="center"/>
            </w:pPr>
          </w:p>
          <w:p w:rsidR="00F65D33" w:rsidRDefault="00F65D33" w:rsidP="005B04A4">
            <w:pPr>
              <w:spacing w:line="300" w:lineRule="auto"/>
              <w:jc w:val="center"/>
            </w:pPr>
            <w:r>
              <w:t>25.2</w:t>
            </w:r>
          </w:p>
          <w:p w:rsidR="00F65D33" w:rsidRPr="00C07D11" w:rsidRDefault="00F65D33" w:rsidP="005B04A4">
            <w:pPr>
              <w:spacing w:line="300" w:lineRule="auto"/>
              <w:jc w:val="center"/>
            </w:pPr>
            <w:r>
              <w:t>74.8</w:t>
            </w:r>
          </w:p>
        </w:tc>
        <w:tc>
          <w:tcPr>
            <w:tcW w:w="992" w:type="dxa"/>
          </w:tcPr>
          <w:p w:rsidR="002D2158" w:rsidRPr="00C07D11" w:rsidRDefault="00F65D33" w:rsidP="005B04A4">
            <w:pPr>
              <w:spacing w:line="300" w:lineRule="auto"/>
              <w:jc w:val="center"/>
            </w:pPr>
            <w:r>
              <w:t>0.222</w:t>
            </w:r>
          </w:p>
        </w:tc>
      </w:tr>
      <w:tr w:rsidR="00786518" w:rsidRPr="00C07D11" w:rsidTr="005B694C">
        <w:tc>
          <w:tcPr>
            <w:tcW w:w="2410" w:type="dxa"/>
          </w:tcPr>
          <w:p w:rsidR="002D2158" w:rsidRDefault="002D2158" w:rsidP="005B04A4">
            <w:pPr>
              <w:spacing w:line="300" w:lineRule="auto"/>
              <w:rPr>
                <w:b/>
              </w:rPr>
            </w:pPr>
            <w:proofErr w:type="spellStart"/>
            <w:r w:rsidRPr="00C07D11">
              <w:rPr>
                <w:b/>
              </w:rPr>
              <w:t>Smoking</w:t>
            </w:r>
            <w:proofErr w:type="spellEnd"/>
            <w:r w:rsidRPr="00C07D11">
              <w:rPr>
                <w:b/>
              </w:rPr>
              <w:t xml:space="preserve"> </w:t>
            </w:r>
            <w:proofErr w:type="spellStart"/>
            <w:r w:rsidRPr="00C07D11">
              <w:rPr>
                <w:b/>
              </w:rPr>
              <w:t>status</w:t>
            </w:r>
            <w:proofErr w:type="spellEnd"/>
            <w:r w:rsidRPr="00C07D11">
              <w:rPr>
                <w:b/>
              </w:rPr>
              <w:t>, %</w:t>
            </w:r>
          </w:p>
          <w:p w:rsidR="005B04A4" w:rsidRPr="00044745" w:rsidRDefault="00044745" w:rsidP="005B04A4">
            <w:pPr>
              <w:spacing w:line="300" w:lineRule="auto"/>
            </w:pPr>
            <w:r>
              <w:t xml:space="preserve">   </w:t>
            </w:r>
            <w:proofErr w:type="spellStart"/>
            <w:r>
              <w:t>Never</w:t>
            </w:r>
            <w:proofErr w:type="spellEnd"/>
            <w:r>
              <w:t xml:space="preserve"> </w:t>
            </w:r>
            <w:proofErr w:type="spellStart"/>
            <w:r>
              <w:t>smoked</w:t>
            </w:r>
            <w:proofErr w:type="spellEnd"/>
          </w:p>
          <w:p w:rsidR="005B04A4" w:rsidRPr="00044745" w:rsidRDefault="00044745" w:rsidP="005B04A4">
            <w:pPr>
              <w:spacing w:line="300" w:lineRule="auto"/>
            </w:pPr>
            <w:r>
              <w:t xml:space="preserve">   </w:t>
            </w:r>
            <w:proofErr w:type="spellStart"/>
            <w:r>
              <w:t>Ex</w:t>
            </w:r>
            <w:proofErr w:type="spellEnd"/>
            <w:r>
              <w:t>-</w:t>
            </w:r>
            <w:proofErr w:type="spellStart"/>
            <w:r>
              <w:t>smoker</w:t>
            </w:r>
            <w:proofErr w:type="spellEnd"/>
          </w:p>
          <w:p w:rsidR="005B04A4" w:rsidRPr="00044745" w:rsidRDefault="00044745" w:rsidP="005B04A4">
            <w:pPr>
              <w:spacing w:line="300" w:lineRule="auto"/>
            </w:pPr>
            <w:r>
              <w:rPr>
                <w:b/>
              </w:rPr>
              <w:t xml:space="preserve">   </w:t>
            </w:r>
            <w:proofErr w:type="spellStart"/>
            <w:r w:rsidRPr="00044745">
              <w:t>Active</w:t>
            </w:r>
            <w:proofErr w:type="spellEnd"/>
            <w:r w:rsidRPr="00044745">
              <w:t xml:space="preserve"> </w:t>
            </w:r>
            <w:proofErr w:type="spellStart"/>
            <w:r w:rsidRPr="00044745">
              <w:t>smoker</w:t>
            </w:r>
            <w:proofErr w:type="spellEnd"/>
          </w:p>
        </w:tc>
        <w:tc>
          <w:tcPr>
            <w:tcW w:w="1985" w:type="dxa"/>
          </w:tcPr>
          <w:p w:rsidR="002D2158" w:rsidRDefault="002D2158" w:rsidP="005B04A4">
            <w:pPr>
              <w:spacing w:line="300" w:lineRule="auto"/>
              <w:jc w:val="center"/>
            </w:pPr>
          </w:p>
          <w:p w:rsidR="00AE74B8" w:rsidRDefault="00094BCB" w:rsidP="005B04A4">
            <w:pPr>
              <w:spacing w:line="300" w:lineRule="auto"/>
              <w:jc w:val="center"/>
            </w:pPr>
            <w:r>
              <w:t>64.4</w:t>
            </w:r>
          </w:p>
          <w:p w:rsidR="00AE74B8" w:rsidRDefault="00094BCB" w:rsidP="005B04A4">
            <w:pPr>
              <w:spacing w:line="300" w:lineRule="auto"/>
              <w:jc w:val="center"/>
            </w:pPr>
            <w:r>
              <w:t>17.3</w:t>
            </w:r>
          </w:p>
          <w:p w:rsidR="00AE74B8" w:rsidRPr="00C07D11" w:rsidRDefault="00094BCB" w:rsidP="005B04A4">
            <w:pPr>
              <w:spacing w:line="300" w:lineRule="auto"/>
              <w:jc w:val="center"/>
            </w:pPr>
            <w:r>
              <w:t>18.3</w:t>
            </w:r>
          </w:p>
        </w:tc>
        <w:tc>
          <w:tcPr>
            <w:tcW w:w="1843" w:type="dxa"/>
          </w:tcPr>
          <w:p w:rsidR="002D2158" w:rsidRDefault="002D2158" w:rsidP="005B04A4">
            <w:pPr>
              <w:spacing w:line="300" w:lineRule="auto"/>
              <w:jc w:val="center"/>
            </w:pPr>
          </w:p>
          <w:p w:rsidR="00FF7223" w:rsidRDefault="00094BCB" w:rsidP="005B04A4">
            <w:pPr>
              <w:spacing w:line="300" w:lineRule="auto"/>
              <w:jc w:val="center"/>
            </w:pPr>
            <w:r>
              <w:t>58.9</w:t>
            </w:r>
          </w:p>
          <w:p w:rsidR="00FF7223" w:rsidRDefault="00094BCB" w:rsidP="005B04A4">
            <w:pPr>
              <w:spacing w:line="300" w:lineRule="auto"/>
              <w:jc w:val="center"/>
            </w:pPr>
            <w:r>
              <w:t>17.9</w:t>
            </w:r>
          </w:p>
          <w:p w:rsidR="00FF7223" w:rsidRPr="00C07D11" w:rsidRDefault="00094BCB" w:rsidP="005B04A4">
            <w:pPr>
              <w:spacing w:line="300" w:lineRule="auto"/>
              <w:jc w:val="center"/>
            </w:pPr>
            <w:r>
              <w:t>23.2</w:t>
            </w:r>
          </w:p>
        </w:tc>
        <w:tc>
          <w:tcPr>
            <w:tcW w:w="850" w:type="dxa"/>
          </w:tcPr>
          <w:p w:rsidR="002D2158" w:rsidRPr="00C07D11" w:rsidRDefault="009D02DB" w:rsidP="005B04A4">
            <w:pPr>
              <w:spacing w:line="300" w:lineRule="auto"/>
              <w:jc w:val="center"/>
            </w:pPr>
            <w:r>
              <w:t>0.260</w:t>
            </w:r>
          </w:p>
        </w:tc>
        <w:tc>
          <w:tcPr>
            <w:tcW w:w="1843" w:type="dxa"/>
          </w:tcPr>
          <w:p w:rsidR="002D2158" w:rsidRDefault="002D2158" w:rsidP="005B04A4">
            <w:pPr>
              <w:spacing w:line="300" w:lineRule="auto"/>
              <w:jc w:val="center"/>
            </w:pPr>
          </w:p>
          <w:p w:rsidR="00A733D0" w:rsidRDefault="00A733D0" w:rsidP="005B04A4">
            <w:pPr>
              <w:spacing w:line="300" w:lineRule="auto"/>
              <w:jc w:val="center"/>
            </w:pPr>
            <w:r>
              <w:t>41.7</w:t>
            </w:r>
          </w:p>
          <w:p w:rsidR="00A733D0" w:rsidRDefault="00A733D0" w:rsidP="005B04A4">
            <w:pPr>
              <w:spacing w:line="300" w:lineRule="auto"/>
              <w:jc w:val="center"/>
            </w:pPr>
            <w:r>
              <w:t>17.1</w:t>
            </w:r>
          </w:p>
          <w:p w:rsidR="00A733D0" w:rsidRPr="00C07D11" w:rsidRDefault="00A733D0" w:rsidP="005B04A4">
            <w:pPr>
              <w:spacing w:line="300" w:lineRule="auto"/>
              <w:jc w:val="center"/>
            </w:pPr>
            <w:r>
              <w:t>41.2</w:t>
            </w:r>
          </w:p>
        </w:tc>
        <w:tc>
          <w:tcPr>
            <w:tcW w:w="1701" w:type="dxa"/>
          </w:tcPr>
          <w:p w:rsidR="002D2158" w:rsidRDefault="002D2158" w:rsidP="005B04A4">
            <w:pPr>
              <w:spacing w:line="300" w:lineRule="auto"/>
              <w:jc w:val="center"/>
            </w:pPr>
          </w:p>
          <w:p w:rsidR="00A733D0" w:rsidRDefault="00A733D0" w:rsidP="005B04A4">
            <w:pPr>
              <w:spacing w:line="300" w:lineRule="auto"/>
              <w:jc w:val="center"/>
            </w:pPr>
            <w:r>
              <w:t>39.8</w:t>
            </w:r>
          </w:p>
          <w:p w:rsidR="00A733D0" w:rsidRDefault="00A733D0" w:rsidP="005B04A4">
            <w:pPr>
              <w:spacing w:line="300" w:lineRule="auto"/>
              <w:jc w:val="center"/>
            </w:pPr>
            <w:r>
              <w:t>19.4</w:t>
            </w:r>
          </w:p>
          <w:p w:rsidR="00A733D0" w:rsidRPr="00C07D11" w:rsidRDefault="00A733D0" w:rsidP="005B04A4">
            <w:pPr>
              <w:spacing w:line="300" w:lineRule="auto"/>
              <w:jc w:val="center"/>
            </w:pPr>
            <w:r>
              <w:t>40.8</w:t>
            </w:r>
          </w:p>
        </w:tc>
        <w:tc>
          <w:tcPr>
            <w:tcW w:w="992" w:type="dxa"/>
          </w:tcPr>
          <w:p w:rsidR="002D2158" w:rsidRPr="00C07D11" w:rsidRDefault="00BE4372" w:rsidP="005B04A4">
            <w:pPr>
              <w:spacing w:line="300" w:lineRule="auto"/>
              <w:jc w:val="center"/>
            </w:pPr>
            <w:r>
              <w:t>0.514</w:t>
            </w:r>
          </w:p>
        </w:tc>
      </w:tr>
      <w:tr w:rsidR="00786518" w:rsidRPr="00C07D11" w:rsidTr="005B694C">
        <w:tc>
          <w:tcPr>
            <w:tcW w:w="2410" w:type="dxa"/>
          </w:tcPr>
          <w:p w:rsidR="002D2158" w:rsidRPr="00C07D11" w:rsidRDefault="002D2158" w:rsidP="005B04A4">
            <w:pPr>
              <w:spacing w:line="300" w:lineRule="auto"/>
              <w:rPr>
                <w:b/>
              </w:rPr>
            </w:pPr>
            <w:proofErr w:type="spellStart"/>
            <w:r w:rsidRPr="00C07D11">
              <w:rPr>
                <w:b/>
              </w:rPr>
              <w:t>Disease</w:t>
            </w:r>
            <w:proofErr w:type="spellEnd"/>
            <w:r w:rsidRPr="00C07D11">
              <w:rPr>
                <w:b/>
              </w:rPr>
              <w:t xml:space="preserve"> </w:t>
            </w:r>
            <w:proofErr w:type="spellStart"/>
            <w:r w:rsidRPr="00C07D11">
              <w:rPr>
                <w:b/>
              </w:rPr>
              <w:t>duration</w:t>
            </w:r>
            <w:proofErr w:type="spellEnd"/>
            <w:r w:rsidRPr="00C07D11">
              <w:rPr>
                <w:b/>
              </w:rPr>
              <w:t xml:space="preserve">, </w:t>
            </w:r>
            <w:proofErr w:type="spellStart"/>
            <w:r w:rsidRPr="00C07D11">
              <w:rPr>
                <w:b/>
              </w:rPr>
              <w:t>years</w:t>
            </w:r>
            <w:proofErr w:type="spellEnd"/>
          </w:p>
        </w:tc>
        <w:tc>
          <w:tcPr>
            <w:tcW w:w="1985" w:type="dxa"/>
          </w:tcPr>
          <w:p w:rsidR="002D2158" w:rsidRPr="00C07D11" w:rsidRDefault="00C24897" w:rsidP="005B04A4">
            <w:pPr>
              <w:spacing w:line="300" w:lineRule="auto"/>
              <w:jc w:val="center"/>
            </w:pPr>
            <w:r>
              <w:t>11.8</w:t>
            </w:r>
            <w:r w:rsidRPr="008017C7">
              <w:rPr>
                <w:rFonts w:cstheme="minorHAnsi"/>
                <w:color w:val="000000" w:themeColor="text1"/>
              </w:rPr>
              <w:t>±</w:t>
            </w:r>
            <w:r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2D2158" w:rsidRPr="00C07D11" w:rsidRDefault="00C24897" w:rsidP="005B04A4">
            <w:pPr>
              <w:spacing w:line="300" w:lineRule="auto"/>
              <w:jc w:val="center"/>
            </w:pPr>
            <w:r>
              <w:t>12</w:t>
            </w:r>
            <w:r w:rsidRPr="008017C7">
              <w:rPr>
                <w:rFonts w:cstheme="minorHAnsi"/>
                <w:color w:val="000000" w:themeColor="text1"/>
              </w:rPr>
              <w:t>±</w:t>
            </w:r>
            <w:r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850" w:type="dxa"/>
          </w:tcPr>
          <w:p w:rsidR="002D2158" w:rsidRPr="00C07D11" w:rsidRDefault="00AF3EFD" w:rsidP="005B04A4">
            <w:pPr>
              <w:spacing w:line="300" w:lineRule="auto"/>
              <w:jc w:val="center"/>
            </w:pPr>
            <w:r>
              <w:t>0.718</w:t>
            </w:r>
          </w:p>
        </w:tc>
        <w:tc>
          <w:tcPr>
            <w:tcW w:w="1843" w:type="dxa"/>
          </w:tcPr>
          <w:p w:rsidR="002D2158" w:rsidRPr="00C07D11" w:rsidRDefault="009A46F3" w:rsidP="005B04A4">
            <w:pPr>
              <w:spacing w:line="300" w:lineRule="auto"/>
              <w:jc w:val="center"/>
            </w:pPr>
            <w:r>
              <w:t>8.7</w:t>
            </w:r>
            <w:r w:rsidRPr="008017C7">
              <w:rPr>
                <w:rFonts w:cstheme="minorHAnsi"/>
                <w:color w:val="000000" w:themeColor="text1"/>
              </w:rPr>
              <w:t>±</w:t>
            </w: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2D2158" w:rsidRPr="00C07D11" w:rsidRDefault="009A46F3" w:rsidP="005B04A4">
            <w:pPr>
              <w:spacing w:line="300" w:lineRule="auto"/>
              <w:jc w:val="center"/>
            </w:pPr>
            <w:r>
              <w:t>9</w:t>
            </w:r>
            <w:r w:rsidRPr="008017C7">
              <w:rPr>
                <w:rFonts w:cstheme="minorHAnsi"/>
                <w:color w:val="000000" w:themeColor="text1"/>
              </w:rPr>
              <w:t>±</w:t>
            </w:r>
            <w:r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:rsidR="002D2158" w:rsidRPr="00C07D11" w:rsidRDefault="00152536" w:rsidP="005B04A4">
            <w:pPr>
              <w:spacing w:line="300" w:lineRule="auto"/>
              <w:jc w:val="center"/>
            </w:pPr>
            <w:r>
              <w:t>0.675</w:t>
            </w:r>
          </w:p>
        </w:tc>
      </w:tr>
      <w:tr w:rsidR="00786518" w:rsidRPr="00C07D11" w:rsidTr="005B694C">
        <w:tc>
          <w:tcPr>
            <w:tcW w:w="2410" w:type="dxa"/>
          </w:tcPr>
          <w:p w:rsidR="002D2158" w:rsidRPr="00C07D11" w:rsidRDefault="002D2158" w:rsidP="005B04A4">
            <w:pPr>
              <w:spacing w:line="300" w:lineRule="auto"/>
              <w:rPr>
                <w:b/>
              </w:rPr>
            </w:pPr>
            <w:proofErr w:type="spellStart"/>
            <w:r w:rsidRPr="00C07D11">
              <w:rPr>
                <w:b/>
              </w:rPr>
              <w:t>Systemic</w:t>
            </w:r>
            <w:proofErr w:type="spellEnd"/>
            <w:r w:rsidRPr="00C07D11">
              <w:rPr>
                <w:b/>
              </w:rPr>
              <w:t xml:space="preserve"> </w:t>
            </w:r>
            <w:proofErr w:type="spellStart"/>
            <w:r w:rsidRPr="00C07D11">
              <w:rPr>
                <w:b/>
              </w:rPr>
              <w:t>steroid</w:t>
            </w:r>
            <w:proofErr w:type="spellEnd"/>
            <w:r w:rsidRPr="00C07D11">
              <w:rPr>
                <w:b/>
              </w:rPr>
              <w:t xml:space="preserve"> </w:t>
            </w:r>
            <w:proofErr w:type="spellStart"/>
            <w:r w:rsidRPr="00C07D11">
              <w:rPr>
                <w:b/>
              </w:rPr>
              <w:t>use</w:t>
            </w:r>
            <w:proofErr w:type="spellEnd"/>
            <w:r w:rsidRPr="00C07D11">
              <w:rPr>
                <w:b/>
              </w:rPr>
              <w:t>, %</w:t>
            </w:r>
          </w:p>
        </w:tc>
        <w:tc>
          <w:tcPr>
            <w:tcW w:w="1985" w:type="dxa"/>
          </w:tcPr>
          <w:p w:rsidR="002D2158" w:rsidRPr="00C07D11" w:rsidRDefault="00E25899" w:rsidP="005B04A4">
            <w:pPr>
              <w:spacing w:line="300" w:lineRule="auto"/>
              <w:jc w:val="center"/>
            </w:pPr>
            <w:r>
              <w:t>54.9</w:t>
            </w:r>
          </w:p>
        </w:tc>
        <w:tc>
          <w:tcPr>
            <w:tcW w:w="1843" w:type="dxa"/>
          </w:tcPr>
          <w:p w:rsidR="002D2158" w:rsidRPr="00C07D11" w:rsidRDefault="00E25899" w:rsidP="005B04A4">
            <w:pPr>
              <w:spacing w:line="300" w:lineRule="auto"/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2D2158" w:rsidRPr="00E25899" w:rsidRDefault="00E25899" w:rsidP="005B04A4">
            <w:pPr>
              <w:spacing w:line="300" w:lineRule="auto"/>
              <w:jc w:val="center"/>
              <w:rPr>
                <w:b/>
              </w:rPr>
            </w:pPr>
            <w:r w:rsidRPr="00E25899">
              <w:rPr>
                <w:b/>
              </w:rPr>
              <w:t>0.012</w:t>
            </w:r>
          </w:p>
        </w:tc>
        <w:tc>
          <w:tcPr>
            <w:tcW w:w="1843" w:type="dxa"/>
          </w:tcPr>
          <w:p w:rsidR="002D2158" w:rsidRPr="00C07D11" w:rsidRDefault="00B20E75" w:rsidP="005B04A4">
            <w:pPr>
              <w:spacing w:line="300" w:lineRule="auto"/>
              <w:jc w:val="center"/>
            </w:pPr>
            <w:r>
              <w:t>18.6</w:t>
            </w:r>
          </w:p>
        </w:tc>
        <w:tc>
          <w:tcPr>
            <w:tcW w:w="1701" w:type="dxa"/>
          </w:tcPr>
          <w:p w:rsidR="002D2158" w:rsidRPr="00C07D11" w:rsidRDefault="00B20E75" w:rsidP="005B04A4">
            <w:pPr>
              <w:spacing w:line="300" w:lineRule="auto"/>
              <w:jc w:val="center"/>
            </w:pPr>
            <w:r>
              <w:t>23.9</w:t>
            </w:r>
          </w:p>
        </w:tc>
        <w:tc>
          <w:tcPr>
            <w:tcW w:w="992" w:type="dxa"/>
          </w:tcPr>
          <w:p w:rsidR="002D2158" w:rsidRPr="00B20E75" w:rsidRDefault="00B20E75" w:rsidP="005B04A4">
            <w:pPr>
              <w:spacing w:line="300" w:lineRule="auto"/>
              <w:jc w:val="center"/>
              <w:rPr>
                <w:b/>
              </w:rPr>
            </w:pPr>
            <w:r w:rsidRPr="00B20E75">
              <w:rPr>
                <w:b/>
              </w:rPr>
              <w:t>0.019</w:t>
            </w:r>
          </w:p>
        </w:tc>
      </w:tr>
      <w:tr w:rsidR="00786518" w:rsidRPr="00C07D11" w:rsidTr="005B694C">
        <w:tc>
          <w:tcPr>
            <w:tcW w:w="2410" w:type="dxa"/>
          </w:tcPr>
          <w:p w:rsidR="002D2158" w:rsidRDefault="002D2158" w:rsidP="005B04A4">
            <w:pPr>
              <w:spacing w:line="300" w:lineRule="auto"/>
              <w:rPr>
                <w:b/>
              </w:rPr>
            </w:pPr>
            <w:proofErr w:type="spellStart"/>
            <w:r w:rsidRPr="00C07D11">
              <w:rPr>
                <w:b/>
              </w:rPr>
              <w:t>cDMARD</w:t>
            </w:r>
            <w:proofErr w:type="spellEnd"/>
            <w:r w:rsidRPr="00C07D11">
              <w:rPr>
                <w:b/>
              </w:rPr>
              <w:t xml:space="preserve"> </w:t>
            </w:r>
            <w:proofErr w:type="spellStart"/>
            <w:r w:rsidRPr="00C07D11">
              <w:rPr>
                <w:b/>
              </w:rPr>
              <w:t>use</w:t>
            </w:r>
            <w:proofErr w:type="spellEnd"/>
            <w:r w:rsidRPr="00C07D11">
              <w:rPr>
                <w:b/>
              </w:rPr>
              <w:t>, %</w:t>
            </w:r>
          </w:p>
          <w:p w:rsidR="005B04A4" w:rsidRPr="00044745" w:rsidRDefault="00044745" w:rsidP="005B04A4">
            <w:pPr>
              <w:spacing w:line="300" w:lineRule="auto"/>
            </w:pPr>
            <w:r>
              <w:t xml:space="preserve">   </w:t>
            </w:r>
            <w:proofErr w:type="spellStart"/>
            <w:r>
              <w:t>Methotrexate</w:t>
            </w:r>
            <w:proofErr w:type="spellEnd"/>
          </w:p>
          <w:p w:rsidR="005B04A4" w:rsidRPr="00044745" w:rsidRDefault="00044745" w:rsidP="005B04A4">
            <w:pPr>
              <w:spacing w:line="300" w:lineRule="auto"/>
            </w:pPr>
            <w:r>
              <w:t xml:space="preserve">   </w:t>
            </w:r>
            <w:proofErr w:type="spellStart"/>
            <w:r>
              <w:t>Hydroxychloroquine</w:t>
            </w:r>
            <w:proofErr w:type="spellEnd"/>
          </w:p>
          <w:p w:rsidR="005B04A4" w:rsidRPr="00044745" w:rsidRDefault="00044745" w:rsidP="005B04A4">
            <w:pPr>
              <w:spacing w:line="300" w:lineRule="auto"/>
            </w:pPr>
            <w:r>
              <w:t xml:space="preserve">   </w:t>
            </w:r>
            <w:proofErr w:type="spellStart"/>
            <w:r>
              <w:t>Sulfasalazine</w:t>
            </w:r>
            <w:proofErr w:type="spellEnd"/>
          </w:p>
          <w:p w:rsidR="005B04A4" w:rsidRPr="00044745" w:rsidRDefault="00044745" w:rsidP="005B04A4">
            <w:pPr>
              <w:spacing w:line="300" w:lineRule="auto"/>
            </w:pPr>
            <w:r>
              <w:rPr>
                <w:b/>
              </w:rPr>
              <w:t xml:space="preserve">  </w:t>
            </w:r>
            <w:r w:rsidRPr="00044745">
              <w:t xml:space="preserve"> </w:t>
            </w:r>
            <w:proofErr w:type="spellStart"/>
            <w:r w:rsidRPr="00044745">
              <w:t>Leflunomide</w:t>
            </w:r>
            <w:proofErr w:type="spellEnd"/>
          </w:p>
        </w:tc>
        <w:tc>
          <w:tcPr>
            <w:tcW w:w="1985" w:type="dxa"/>
          </w:tcPr>
          <w:p w:rsidR="002D2158" w:rsidRDefault="00E06271" w:rsidP="005B04A4">
            <w:pPr>
              <w:spacing w:line="300" w:lineRule="auto"/>
              <w:jc w:val="center"/>
            </w:pPr>
            <w:r>
              <w:t>83.5</w:t>
            </w:r>
          </w:p>
          <w:p w:rsidR="005B5A9F" w:rsidRDefault="00687FAD" w:rsidP="005B04A4">
            <w:pPr>
              <w:spacing w:line="300" w:lineRule="auto"/>
              <w:jc w:val="center"/>
            </w:pPr>
            <w:r>
              <w:t>66.5</w:t>
            </w:r>
          </w:p>
          <w:p w:rsidR="005B5A9F" w:rsidRDefault="00FD00B1" w:rsidP="005B04A4">
            <w:pPr>
              <w:spacing w:line="300" w:lineRule="auto"/>
              <w:jc w:val="center"/>
            </w:pPr>
            <w:r>
              <w:t>45.1</w:t>
            </w:r>
          </w:p>
          <w:p w:rsidR="005B5A9F" w:rsidRDefault="00C4775F" w:rsidP="005B04A4">
            <w:pPr>
              <w:spacing w:line="300" w:lineRule="auto"/>
              <w:jc w:val="center"/>
            </w:pPr>
            <w:r>
              <w:t>53.4</w:t>
            </w:r>
          </w:p>
          <w:p w:rsidR="005B5A9F" w:rsidRPr="00C07D11" w:rsidRDefault="00C65CDD" w:rsidP="005B04A4">
            <w:pPr>
              <w:spacing w:line="300" w:lineRule="auto"/>
              <w:jc w:val="center"/>
            </w:pPr>
            <w:r>
              <w:t>36.9</w:t>
            </w:r>
          </w:p>
        </w:tc>
        <w:tc>
          <w:tcPr>
            <w:tcW w:w="1843" w:type="dxa"/>
          </w:tcPr>
          <w:p w:rsidR="005B5A9F" w:rsidRDefault="00E06271" w:rsidP="005B04A4">
            <w:pPr>
              <w:spacing w:line="300" w:lineRule="auto"/>
              <w:jc w:val="center"/>
            </w:pPr>
            <w:r>
              <w:t>82</w:t>
            </w:r>
          </w:p>
          <w:p w:rsidR="00FD00B1" w:rsidRDefault="00687FAD" w:rsidP="005B04A4">
            <w:pPr>
              <w:spacing w:line="300" w:lineRule="auto"/>
              <w:jc w:val="center"/>
            </w:pPr>
            <w:r>
              <w:t>70.5</w:t>
            </w:r>
          </w:p>
          <w:p w:rsidR="005B5A9F" w:rsidRDefault="00FD00B1" w:rsidP="005B04A4">
            <w:pPr>
              <w:spacing w:line="300" w:lineRule="auto"/>
              <w:jc w:val="center"/>
            </w:pPr>
            <w:r>
              <w:t>58</w:t>
            </w:r>
          </w:p>
          <w:p w:rsidR="005B5A9F" w:rsidRDefault="00C4775F" w:rsidP="005B04A4">
            <w:pPr>
              <w:spacing w:line="300" w:lineRule="auto"/>
              <w:jc w:val="center"/>
            </w:pPr>
            <w:r>
              <w:t>45.9</w:t>
            </w:r>
          </w:p>
          <w:p w:rsidR="005B5A9F" w:rsidRPr="00C07D11" w:rsidRDefault="00C65CDD" w:rsidP="005B04A4">
            <w:pPr>
              <w:spacing w:line="300" w:lineRule="auto"/>
              <w:jc w:val="center"/>
            </w:pPr>
            <w:r>
              <w:t>45.9</w:t>
            </w:r>
          </w:p>
        </w:tc>
        <w:tc>
          <w:tcPr>
            <w:tcW w:w="850" w:type="dxa"/>
          </w:tcPr>
          <w:p w:rsidR="002D2158" w:rsidRDefault="00E06271" w:rsidP="005B04A4">
            <w:pPr>
              <w:spacing w:line="300" w:lineRule="auto"/>
              <w:jc w:val="center"/>
            </w:pPr>
            <w:r>
              <w:t>0.600</w:t>
            </w:r>
          </w:p>
          <w:p w:rsidR="00CC239C" w:rsidRDefault="00687FAD" w:rsidP="005B04A4">
            <w:pPr>
              <w:spacing w:line="300" w:lineRule="auto"/>
              <w:jc w:val="center"/>
            </w:pPr>
            <w:r>
              <w:t>0.252</w:t>
            </w:r>
          </w:p>
          <w:p w:rsidR="00CC239C" w:rsidRPr="00687FAD" w:rsidRDefault="008733A5" w:rsidP="005B04A4">
            <w:pPr>
              <w:spacing w:line="300" w:lineRule="auto"/>
              <w:jc w:val="center"/>
              <w:rPr>
                <w:b/>
              </w:rPr>
            </w:pPr>
            <w:r w:rsidRPr="00687FAD">
              <w:rPr>
                <w:b/>
              </w:rPr>
              <w:t>0.001</w:t>
            </w:r>
          </w:p>
          <w:p w:rsidR="00CC239C" w:rsidRPr="005F7557" w:rsidRDefault="005F7557" w:rsidP="005B04A4">
            <w:pPr>
              <w:spacing w:line="300" w:lineRule="auto"/>
              <w:jc w:val="center"/>
              <w:rPr>
                <w:b/>
              </w:rPr>
            </w:pPr>
            <w:r w:rsidRPr="005F7557">
              <w:rPr>
                <w:b/>
              </w:rPr>
              <w:t>0.045</w:t>
            </w:r>
          </w:p>
          <w:p w:rsidR="00CC239C" w:rsidRPr="00C65CDD" w:rsidRDefault="00C65CDD" w:rsidP="005B04A4">
            <w:pPr>
              <w:spacing w:line="300" w:lineRule="auto"/>
              <w:jc w:val="center"/>
              <w:rPr>
                <w:b/>
              </w:rPr>
            </w:pPr>
            <w:r w:rsidRPr="00C65CDD">
              <w:rPr>
                <w:b/>
              </w:rPr>
              <w:t>0.017</w:t>
            </w:r>
          </w:p>
        </w:tc>
        <w:tc>
          <w:tcPr>
            <w:tcW w:w="1843" w:type="dxa"/>
          </w:tcPr>
          <w:p w:rsidR="002D2158" w:rsidRDefault="009F2CFB" w:rsidP="005B04A4">
            <w:pPr>
              <w:spacing w:line="300" w:lineRule="auto"/>
              <w:jc w:val="center"/>
            </w:pPr>
            <w:r>
              <w:t>62.5</w:t>
            </w:r>
          </w:p>
          <w:p w:rsidR="00F92D8F" w:rsidRDefault="00CC44A6" w:rsidP="005B04A4">
            <w:pPr>
              <w:spacing w:line="300" w:lineRule="auto"/>
              <w:jc w:val="center"/>
            </w:pPr>
            <w:r>
              <w:t>22.7</w:t>
            </w:r>
          </w:p>
          <w:p w:rsidR="00F92D8F" w:rsidRDefault="00CC44A6" w:rsidP="005B04A4">
            <w:pPr>
              <w:spacing w:line="300" w:lineRule="auto"/>
              <w:jc w:val="center"/>
            </w:pPr>
            <w:r>
              <w:t>9.7</w:t>
            </w:r>
          </w:p>
          <w:p w:rsidR="00F92D8F" w:rsidRDefault="00CC44A6" w:rsidP="005B04A4">
            <w:pPr>
              <w:spacing w:line="300" w:lineRule="auto"/>
              <w:jc w:val="center"/>
            </w:pPr>
            <w:r>
              <w:t>55.4</w:t>
            </w:r>
          </w:p>
          <w:p w:rsidR="00F92D8F" w:rsidRPr="00C07D11" w:rsidRDefault="00CC44A6" w:rsidP="005B04A4">
            <w:pPr>
              <w:spacing w:line="300" w:lineRule="auto"/>
              <w:jc w:val="center"/>
            </w:pPr>
            <w:r>
              <w:t>4.6</w:t>
            </w:r>
          </w:p>
        </w:tc>
        <w:tc>
          <w:tcPr>
            <w:tcW w:w="1701" w:type="dxa"/>
          </w:tcPr>
          <w:p w:rsidR="002D2158" w:rsidRDefault="009F2CFB" w:rsidP="005B04A4">
            <w:pPr>
              <w:spacing w:line="300" w:lineRule="auto"/>
              <w:jc w:val="center"/>
            </w:pPr>
            <w:r>
              <w:t>66</w:t>
            </w:r>
          </w:p>
          <w:p w:rsidR="00F92D8F" w:rsidRDefault="001C4A13" w:rsidP="005B04A4">
            <w:pPr>
              <w:spacing w:line="300" w:lineRule="auto"/>
              <w:jc w:val="center"/>
            </w:pPr>
            <w:r>
              <w:t>27.9</w:t>
            </w:r>
          </w:p>
          <w:p w:rsidR="00F92D8F" w:rsidRDefault="001C4A13" w:rsidP="005B04A4">
            <w:pPr>
              <w:spacing w:line="300" w:lineRule="auto"/>
              <w:jc w:val="center"/>
            </w:pPr>
            <w:r>
              <w:t>11.6</w:t>
            </w:r>
          </w:p>
          <w:p w:rsidR="00F92D8F" w:rsidRDefault="001C4A13" w:rsidP="005B04A4">
            <w:pPr>
              <w:spacing w:line="300" w:lineRule="auto"/>
              <w:jc w:val="center"/>
            </w:pPr>
            <w:r>
              <w:t>58.1</w:t>
            </w:r>
          </w:p>
          <w:p w:rsidR="00F92D8F" w:rsidRPr="00C07D11" w:rsidRDefault="004B179E" w:rsidP="005B04A4">
            <w:pPr>
              <w:spacing w:line="300" w:lineRule="auto"/>
              <w:jc w:val="center"/>
            </w:pPr>
            <w:r>
              <w:t>6.9</w:t>
            </w:r>
          </w:p>
        </w:tc>
        <w:tc>
          <w:tcPr>
            <w:tcW w:w="992" w:type="dxa"/>
          </w:tcPr>
          <w:p w:rsidR="002D2158" w:rsidRDefault="009F2CFB" w:rsidP="005B04A4">
            <w:pPr>
              <w:spacing w:line="300" w:lineRule="auto"/>
              <w:jc w:val="center"/>
            </w:pPr>
            <w:r>
              <w:t>0.164</w:t>
            </w:r>
          </w:p>
          <w:p w:rsidR="001C4A13" w:rsidRPr="001C4A13" w:rsidRDefault="001C4A13" w:rsidP="005B04A4">
            <w:pPr>
              <w:spacing w:line="300" w:lineRule="auto"/>
              <w:jc w:val="center"/>
              <w:rPr>
                <w:b/>
              </w:rPr>
            </w:pPr>
            <w:r w:rsidRPr="001C4A13">
              <w:rPr>
                <w:b/>
              </w:rPr>
              <w:t>0.026</w:t>
            </w:r>
          </w:p>
          <w:p w:rsidR="001C4A13" w:rsidRDefault="001C4A13" w:rsidP="005B04A4">
            <w:pPr>
              <w:spacing w:line="300" w:lineRule="auto"/>
              <w:jc w:val="center"/>
            </w:pPr>
            <w:r>
              <w:t>0.265</w:t>
            </w:r>
          </w:p>
          <w:p w:rsidR="001C4A13" w:rsidRDefault="001C4A13" w:rsidP="005B04A4">
            <w:pPr>
              <w:spacing w:line="300" w:lineRule="auto"/>
              <w:jc w:val="center"/>
            </w:pPr>
            <w:r>
              <w:t>0.301</w:t>
            </w:r>
          </w:p>
          <w:p w:rsidR="001C4A13" w:rsidRPr="00C07D11" w:rsidRDefault="004B179E" w:rsidP="005B04A4">
            <w:pPr>
              <w:spacing w:line="300" w:lineRule="auto"/>
              <w:jc w:val="center"/>
            </w:pPr>
            <w:r>
              <w:t>0.085</w:t>
            </w:r>
          </w:p>
        </w:tc>
      </w:tr>
      <w:tr w:rsidR="00786518" w:rsidRPr="00C07D11" w:rsidTr="005B694C">
        <w:tc>
          <w:tcPr>
            <w:tcW w:w="2410" w:type="dxa"/>
          </w:tcPr>
          <w:p w:rsidR="002D2158" w:rsidRPr="00C07D11" w:rsidRDefault="002D2158" w:rsidP="005B04A4">
            <w:pPr>
              <w:spacing w:line="300" w:lineRule="auto"/>
              <w:rPr>
                <w:b/>
              </w:rPr>
            </w:pPr>
            <w:r w:rsidRPr="00C07D11">
              <w:rPr>
                <w:b/>
              </w:rPr>
              <w:t>TST, mm</w:t>
            </w:r>
          </w:p>
        </w:tc>
        <w:tc>
          <w:tcPr>
            <w:tcW w:w="1985" w:type="dxa"/>
          </w:tcPr>
          <w:p w:rsidR="002D2158" w:rsidRPr="00C07D11" w:rsidRDefault="000E63BD" w:rsidP="005B04A4">
            <w:pPr>
              <w:spacing w:line="300" w:lineRule="auto"/>
              <w:jc w:val="center"/>
            </w:pPr>
            <w:r>
              <w:t>5.7</w:t>
            </w:r>
            <w:r w:rsidRPr="008017C7">
              <w:rPr>
                <w:rFonts w:cstheme="minorHAnsi"/>
                <w:color w:val="000000" w:themeColor="text1"/>
              </w:rPr>
              <w:t>±</w:t>
            </w:r>
            <w:proofErr w:type="gramStart"/>
            <w:r>
              <w:rPr>
                <w:rFonts w:cstheme="minorHAnsi"/>
                <w:color w:val="000000" w:themeColor="text1"/>
              </w:rPr>
              <w:t>5.8</w:t>
            </w:r>
            <w:proofErr w:type="gramEnd"/>
          </w:p>
        </w:tc>
        <w:tc>
          <w:tcPr>
            <w:tcW w:w="1843" w:type="dxa"/>
          </w:tcPr>
          <w:p w:rsidR="002D2158" w:rsidRPr="00C07D11" w:rsidRDefault="00F14437" w:rsidP="005B04A4">
            <w:pPr>
              <w:spacing w:line="300" w:lineRule="auto"/>
              <w:jc w:val="center"/>
            </w:pPr>
            <w:r>
              <w:t>6.7</w:t>
            </w:r>
            <w:r w:rsidR="000E63BD" w:rsidRPr="008017C7">
              <w:rPr>
                <w:rFonts w:cstheme="minorHAnsi"/>
                <w:color w:val="000000" w:themeColor="text1"/>
              </w:rPr>
              <w:t>±</w:t>
            </w:r>
            <w:proofErr w:type="gramStart"/>
            <w:r>
              <w:rPr>
                <w:rFonts w:cstheme="minorHAnsi"/>
                <w:color w:val="000000" w:themeColor="text1"/>
              </w:rPr>
              <w:t>6.9</w:t>
            </w:r>
            <w:proofErr w:type="gramEnd"/>
          </w:p>
        </w:tc>
        <w:tc>
          <w:tcPr>
            <w:tcW w:w="850" w:type="dxa"/>
          </w:tcPr>
          <w:p w:rsidR="002D2158" w:rsidRPr="00C07D11" w:rsidRDefault="000E63BD" w:rsidP="005B04A4">
            <w:pPr>
              <w:spacing w:line="300" w:lineRule="auto"/>
              <w:jc w:val="center"/>
            </w:pPr>
            <w:r>
              <w:t>0.164</w:t>
            </w:r>
          </w:p>
        </w:tc>
        <w:tc>
          <w:tcPr>
            <w:tcW w:w="1843" w:type="dxa"/>
          </w:tcPr>
          <w:p w:rsidR="002D2158" w:rsidRPr="00C07D11" w:rsidRDefault="00135688" w:rsidP="005B04A4">
            <w:pPr>
              <w:spacing w:line="300" w:lineRule="auto"/>
              <w:jc w:val="center"/>
            </w:pPr>
            <w:r>
              <w:t>9.3</w:t>
            </w:r>
            <w:r w:rsidRPr="008017C7">
              <w:rPr>
                <w:rFonts w:cstheme="minorHAnsi"/>
                <w:color w:val="000000" w:themeColor="text1"/>
              </w:rPr>
              <w:t>±</w:t>
            </w:r>
            <w:proofErr w:type="gramStart"/>
            <w:r>
              <w:t>6.4</w:t>
            </w:r>
            <w:proofErr w:type="gramEnd"/>
          </w:p>
        </w:tc>
        <w:tc>
          <w:tcPr>
            <w:tcW w:w="1701" w:type="dxa"/>
          </w:tcPr>
          <w:p w:rsidR="002D2158" w:rsidRPr="00C07D11" w:rsidRDefault="006D72EC" w:rsidP="005B04A4">
            <w:pPr>
              <w:spacing w:line="300" w:lineRule="auto"/>
              <w:jc w:val="center"/>
            </w:pPr>
            <w:r>
              <w:t>10</w:t>
            </w:r>
            <w:r w:rsidR="007152AD">
              <w:t>.2</w:t>
            </w:r>
            <w:r w:rsidRPr="008017C7">
              <w:rPr>
                <w:rFonts w:cstheme="minorHAnsi"/>
                <w:color w:val="000000" w:themeColor="text1"/>
              </w:rPr>
              <w:t>±</w:t>
            </w:r>
            <w:r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:rsidR="002D2158" w:rsidRPr="006D72EC" w:rsidRDefault="006D72EC" w:rsidP="005B04A4">
            <w:pPr>
              <w:spacing w:line="300" w:lineRule="auto"/>
              <w:jc w:val="center"/>
              <w:rPr>
                <w:b/>
              </w:rPr>
            </w:pPr>
            <w:r w:rsidRPr="006D72EC">
              <w:rPr>
                <w:b/>
              </w:rPr>
              <w:t>0.015</w:t>
            </w:r>
          </w:p>
        </w:tc>
      </w:tr>
      <w:tr w:rsidR="005713B1" w:rsidRPr="00C07D11" w:rsidTr="005B694C">
        <w:tc>
          <w:tcPr>
            <w:tcW w:w="2410" w:type="dxa"/>
          </w:tcPr>
          <w:p w:rsidR="005713B1" w:rsidRDefault="005713B1" w:rsidP="005B04A4">
            <w:pPr>
              <w:spacing w:line="300" w:lineRule="auto"/>
              <w:rPr>
                <w:b/>
              </w:rPr>
            </w:pPr>
            <w:r>
              <w:rPr>
                <w:b/>
              </w:rPr>
              <w:t>TST, %</w:t>
            </w:r>
          </w:p>
          <w:p w:rsidR="005713B1" w:rsidRPr="00044745" w:rsidRDefault="00044745" w:rsidP="005B04A4">
            <w:pPr>
              <w:spacing w:line="300" w:lineRule="auto"/>
            </w:pPr>
            <w:r w:rsidRPr="00044745">
              <w:t xml:space="preserve">   =0 mm</w:t>
            </w:r>
          </w:p>
          <w:p w:rsidR="005713B1" w:rsidRPr="00044745" w:rsidRDefault="00044745" w:rsidP="005B04A4">
            <w:pPr>
              <w:spacing w:line="300" w:lineRule="auto"/>
            </w:pPr>
            <w:r>
              <w:t xml:space="preserve">   </w:t>
            </w:r>
            <w:r w:rsidRPr="008017C7">
              <w:rPr>
                <w:rFonts w:cstheme="minorHAnsi"/>
                <w:color w:val="000000" w:themeColor="text1"/>
              </w:rPr>
              <w:t>≥</w:t>
            </w:r>
            <w:r>
              <w:rPr>
                <w:rFonts w:cstheme="minorHAnsi"/>
                <w:color w:val="000000" w:themeColor="text1"/>
              </w:rPr>
              <w:t>5 mm</w:t>
            </w:r>
          </w:p>
          <w:p w:rsidR="005713B1" w:rsidRPr="00044745" w:rsidRDefault="00044745" w:rsidP="005B04A4">
            <w:pPr>
              <w:spacing w:line="300" w:lineRule="auto"/>
            </w:pPr>
            <w:r>
              <w:t xml:space="preserve">   </w:t>
            </w:r>
            <w:r w:rsidRPr="008017C7">
              <w:rPr>
                <w:rFonts w:cstheme="minorHAnsi"/>
                <w:color w:val="000000" w:themeColor="text1"/>
              </w:rPr>
              <w:t>≥</w:t>
            </w:r>
            <w:r>
              <w:rPr>
                <w:rFonts w:cstheme="minorHAnsi"/>
                <w:color w:val="000000" w:themeColor="text1"/>
              </w:rPr>
              <w:t>10 mm</w:t>
            </w:r>
          </w:p>
          <w:p w:rsidR="005713B1" w:rsidRPr="00C07D11" w:rsidRDefault="00044745" w:rsidP="005B04A4">
            <w:pPr>
              <w:spacing w:line="30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8017C7">
              <w:rPr>
                <w:rFonts w:cstheme="minorHAnsi"/>
                <w:color w:val="000000" w:themeColor="text1"/>
              </w:rPr>
              <w:t>≥</w:t>
            </w:r>
            <w:r>
              <w:rPr>
                <w:rFonts w:cstheme="minorHAnsi"/>
                <w:color w:val="000000" w:themeColor="text1"/>
              </w:rPr>
              <w:t>15 mm</w:t>
            </w:r>
          </w:p>
        </w:tc>
        <w:tc>
          <w:tcPr>
            <w:tcW w:w="1985" w:type="dxa"/>
          </w:tcPr>
          <w:p w:rsidR="005713B1" w:rsidRDefault="005713B1" w:rsidP="005B04A4">
            <w:pPr>
              <w:spacing w:line="300" w:lineRule="auto"/>
              <w:jc w:val="center"/>
            </w:pPr>
          </w:p>
          <w:p w:rsidR="008C4824" w:rsidRDefault="0050609E" w:rsidP="005B04A4">
            <w:pPr>
              <w:spacing w:line="300" w:lineRule="auto"/>
              <w:jc w:val="center"/>
            </w:pPr>
            <w:r>
              <w:t>28.6</w:t>
            </w:r>
          </w:p>
          <w:p w:rsidR="008C4824" w:rsidRDefault="0050609E" w:rsidP="005B04A4">
            <w:pPr>
              <w:spacing w:line="300" w:lineRule="auto"/>
              <w:jc w:val="center"/>
            </w:pPr>
            <w:r>
              <w:t>44.2</w:t>
            </w:r>
          </w:p>
          <w:p w:rsidR="008C4824" w:rsidRDefault="0050609E" w:rsidP="005B04A4">
            <w:pPr>
              <w:spacing w:line="300" w:lineRule="auto"/>
              <w:jc w:val="center"/>
            </w:pPr>
            <w:r>
              <w:t>18.4</w:t>
            </w:r>
          </w:p>
          <w:p w:rsidR="008C4824" w:rsidRPr="00C07D11" w:rsidRDefault="0050609E" w:rsidP="005B04A4">
            <w:pPr>
              <w:spacing w:line="300" w:lineRule="auto"/>
              <w:jc w:val="center"/>
            </w:pPr>
            <w:r>
              <w:t>7.8</w:t>
            </w:r>
          </w:p>
        </w:tc>
        <w:tc>
          <w:tcPr>
            <w:tcW w:w="1843" w:type="dxa"/>
          </w:tcPr>
          <w:p w:rsidR="005713B1" w:rsidRDefault="005713B1" w:rsidP="005B04A4">
            <w:pPr>
              <w:spacing w:line="300" w:lineRule="auto"/>
              <w:jc w:val="center"/>
            </w:pPr>
          </w:p>
          <w:p w:rsidR="008C4824" w:rsidRDefault="00113A0A" w:rsidP="005B04A4">
            <w:pPr>
              <w:spacing w:line="300" w:lineRule="auto"/>
              <w:jc w:val="center"/>
            </w:pPr>
            <w:r>
              <w:t>28.8</w:t>
            </w:r>
          </w:p>
          <w:p w:rsidR="008C4824" w:rsidRDefault="00113A0A" w:rsidP="005B04A4">
            <w:pPr>
              <w:spacing w:line="300" w:lineRule="auto"/>
              <w:jc w:val="center"/>
            </w:pPr>
            <w:r>
              <w:t>47.9</w:t>
            </w:r>
          </w:p>
          <w:p w:rsidR="008C4824" w:rsidRDefault="00113A0A" w:rsidP="005B04A4">
            <w:pPr>
              <w:spacing w:line="300" w:lineRule="auto"/>
              <w:jc w:val="center"/>
            </w:pPr>
            <w:r>
              <w:t>28.3</w:t>
            </w:r>
          </w:p>
          <w:p w:rsidR="008C4824" w:rsidRPr="00C07D11" w:rsidRDefault="00113A0A" w:rsidP="005B04A4">
            <w:pPr>
              <w:spacing w:line="300" w:lineRule="auto"/>
              <w:jc w:val="center"/>
            </w:pPr>
            <w:r>
              <w:t>11.7</w:t>
            </w:r>
          </w:p>
        </w:tc>
        <w:tc>
          <w:tcPr>
            <w:tcW w:w="850" w:type="dxa"/>
          </w:tcPr>
          <w:p w:rsidR="005713B1" w:rsidRDefault="005713B1" w:rsidP="005B04A4">
            <w:pPr>
              <w:spacing w:line="300" w:lineRule="auto"/>
              <w:jc w:val="center"/>
            </w:pPr>
          </w:p>
          <w:p w:rsidR="008C4824" w:rsidRDefault="00C4153F" w:rsidP="005B04A4">
            <w:pPr>
              <w:spacing w:line="300" w:lineRule="auto"/>
              <w:jc w:val="center"/>
            </w:pPr>
            <w:r>
              <w:t>0.970</w:t>
            </w:r>
          </w:p>
          <w:p w:rsidR="00C4153F" w:rsidRDefault="00C4153F" w:rsidP="005B04A4">
            <w:pPr>
              <w:spacing w:line="300" w:lineRule="auto"/>
              <w:jc w:val="center"/>
            </w:pPr>
            <w:r>
              <w:t>0.384</w:t>
            </w:r>
          </w:p>
          <w:p w:rsidR="008C4824" w:rsidRPr="00C4153F" w:rsidRDefault="00C4153F" w:rsidP="005B04A4">
            <w:pPr>
              <w:spacing w:line="300" w:lineRule="auto"/>
              <w:jc w:val="center"/>
              <w:rPr>
                <w:b/>
              </w:rPr>
            </w:pPr>
            <w:r w:rsidRPr="00C4153F">
              <w:rPr>
                <w:b/>
              </w:rPr>
              <w:t>0.008</w:t>
            </w:r>
          </w:p>
          <w:p w:rsidR="008C4824" w:rsidRPr="00C07D11" w:rsidRDefault="00C4153F" w:rsidP="005B04A4">
            <w:pPr>
              <w:spacing w:line="300" w:lineRule="auto"/>
              <w:jc w:val="center"/>
            </w:pPr>
            <w:r>
              <w:t>0.164</w:t>
            </w:r>
          </w:p>
        </w:tc>
        <w:tc>
          <w:tcPr>
            <w:tcW w:w="1843" w:type="dxa"/>
          </w:tcPr>
          <w:p w:rsidR="005713B1" w:rsidRDefault="005713B1" w:rsidP="005B04A4">
            <w:pPr>
              <w:spacing w:line="300" w:lineRule="auto"/>
              <w:jc w:val="center"/>
            </w:pPr>
          </w:p>
          <w:p w:rsidR="006D72EC" w:rsidRDefault="001F6946" w:rsidP="005B04A4">
            <w:pPr>
              <w:spacing w:line="300" w:lineRule="auto"/>
              <w:jc w:val="center"/>
            </w:pPr>
            <w:r>
              <w:t>11</w:t>
            </w:r>
          </w:p>
          <w:p w:rsidR="006D72EC" w:rsidRDefault="001F6946" w:rsidP="005B04A4">
            <w:pPr>
              <w:spacing w:line="300" w:lineRule="auto"/>
              <w:jc w:val="center"/>
            </w:pPr>
            <w:r>
              <w:t>69.1</w:t>
            </w:r>
          </w:p>
          <w:p w:rsidR="006D72EC" w:rsidRDefault="001F6946" w:rsidP="005B04A4">
            <w:pPr>
              <w:spacing w:line="300" w:lineRule="auto"/>
              <w:jc w:val="center"/>
            </w:pPr>
            <w:r>
              <w:t>39.3</w:t>
            </w:r>
          </w:p>
          <w:p w:rsidR="006D72EC" w:rsidRPr="00C07D11" w:rsidRDefault="001F6946" w:rsidP="005B04A4">
            <w:pPr>
              <w:spacing w:line="300" w:lineRule="auto"/>
              <w:jc w:val="center"/>
            </w:pPr>
            <w:r>
              <w:t>15.3</w:t>
            </w:r>
          </w:p>
        </w:tc>
        <w:tc>
          <w:tcPr>
            <w:tcW w:w="1701" w:type="dxa"/>
          </w:tcPr>
          <w:p w:rsidR="005713B1" w:rsidRDefault="005713B1" w:rsidP="005B04A4">
            <w:pPr>
              <w:spacing w:line="300" w:lineRule="auto"/>
              <w:jc w:val="center"/>
            </w:pPr>
          </w:p>
          <w:p w:rsidR="006D72EC" w:rsidRDefault="001F6946" w:rsidP="005B04A4">
            <w:pPr>
              <w:spacing w:line="300" w:lineRule="auto"/>
              <w:jc w:val="center"/>
            </w:pPr>
            <w:r>
              <w:t>11.5</w:t>
            </w:r>
          </w:p>
          <w:p w:rsidR="006D72EC" w:rsidRDefault="001F6946" w:rsidP="005B04A4">
            <w:pPr>
              <w:spacing w:line="300" w:lineRule="auto"/>
              <w:jc w:val="center"/>
            </w:pPr>
            <w:r>
              <w:t>72.7</w:t>
            </w:r>
          </w:p>
          <w:p w:rsidR="006D72EC" w:rsidRDefault="001F6946" w:rsidP="005B04A4">
            <w:pPr>
              <w:spacing w:line="300" w:lineRule="auto"/>
              <w:jc w:val="center"/>
            </w:pPr>
            <w:r>
              <w:t>45.4</w:t>
            </w:r>
          </w:p>
          <w:p w:rsidR="006D72EC" w:rsidRPr="00C07D11" w:rsidRDefault="001F6946" w:rsidP="005B04A4">
            <w:pPr>
              <w:spacing w:line="300" w:lineRule="auto"/>
              <w:jc w:val="center"/>
            </w:pPr>
            <w:r>
              <w:t>18.6</w:t>
            </w:r>
          </w:p>
        </w:tc>
        <w:tc>
          <w:tcPr>
            <w:tcW w:w="992" w:type="dxa"/>
          </w:tcPr>
          <w:p w:rsidR="005713B1" w:rsidRDefault="005713B1" w:rsidP="005B04A4">
            <w:pPr>
              <w:spacing w:line="300" w:lineRule="auto"/>
              <w:jc w:val="center"/>
            </w:pPr>
          </w:p>
          <w:p w:rsidR="001F6946" w:rsidRDefault="001F6946" w:rsidP="005B04A4">
            <w:pPr>
              <w:spacing w:line="300" w:lineRule="auto"/>
              <w:jc w:val="center"/>
            </w:pPr>
            <w:r>
              <w:t>0.782</w:t>
            </w:r>
          </w:p>
          <w:p w:rsidR="001F6946" w:rsidRDefault="001F6946" w:rsidP="005B04A4">
            <w:pPr>
              <w:spacing w:line="300" w:lineRule="auto"/>
              <w:jc w:val="center"/>
            </w:pPr>
            <w:r>
              <w:t>0.156</w:t>
            </w:r>
          </w:p>
          <w:p w:rsidR="001F6946" w:rsidRPr="00DC1612" w:rsidRDefault="00DC1612" w:rsidP="005B04A4">
            <w:pPr>
              <w:spacing w:line="300" w:lineRule="auto"/>
              <w:jc w:val="center"/>
              <w:rPr>
                <w:b/>
              </w:rPr>
            </w:pPr>
            <w:r w:rsidRPr="00DC1612">
              <w:rPr>
                <w:b/>
              </w:rPr>
              <w:t>0.027</w:t>
            </w:r>
          </w:p>
          <w:p w:rsidR="001F6946" w:rsidRPr="00C07D11" w:rsidRDefault="00DC1612" w:rsidP="005B04A4">
            <w:pPr>
              <w:spacing w:line="300" w:lineRule="auto"/>
              <w:jc w:val="center"/>
            </w:pPr>
            <w:r>
              <w:t>0.120</w:t>
            </w:r>
          </w:p>
        </w:tc>
      </w:tr>
      <w:tr w:rsidR="00786518" w:rsidRPr="00C07D11" w:rsidTr="005B694C">
        <w:tc>
          <w:tcPr>
            <w:tcW w:w="2410" w:type="dxa"/>
          </w:tcPr>
          <w:p w:rsidR="002D2158" w:rsidRDefault="00A07AE3" w:rsidP="005B04A4">
            <w:pPr>
              <w:spacing w:line="300" w:lineRule="auto"/>
              <w:rPr>
                <w:b/>
              </w:rPr>
            </w:pPr>
            <w:r>
              <w:rPr>
                <w:b/>
              </w:rPr>
              <w:t>QFT-GIT</w:t>
            </w:r>
            <w:r w:rsidR="002D2158" w:rsidRPr="00C07D11">
              <w:rPr>
                <w:b/>
              </w:rPr>
              <w:t>, %</w:t>
            </w:r>
          </w:p>
          <w:p w:rsidR="00786518" w:rsidRPr="00786518" w:rsidRDefault="00786518" w:rsidP="005B04A4">
            <w:pPr>
              <w:spacing w:line="300" w:lineRule="auto"/>
            </w:pPr>
            <w:r w:rsidRPr="00786518">
              <w:t xml:space="preserve">   </w:t>
            </w:r>
            <w:proofErr w:type="spellStart"/>
            <w:r w:rsidRPr="00786518">
              <w:t>Positive</w:t>
            </w:r>
            <w:proofErr w:type="spellEnd"/>
          </w:p>
          <w:p w:rsidR="005B04A4" w:rsidRPr="00786518" w:rsidRDefault="00786518" w:rsidP="005B04A4">
            <w:pPr>
              <w:spacing w:line="300" w:lineRule="auto"/>
            </w:pPr>
            <w:r w:rsidRPr="00786518">
              <w:t xml:space="preserve">   </w:t>
            </w:r>
            <w:proofErr w:type="spellStart"/>
            <w:r w:rsidRPr="00786518">
              <w:t>Neg</w:t>
            </w:r>
            <w:r w:rsidR="00B87F0C">
              <w:t>a</w:t>
            </w:r>
            <w:r w:rsidRPr="00786518">
              <w:t>tive</w:t>
            </w:r>
            <w:proofErr w:type="spellEnd"/>
          </w:p>
          <w:p w:rsidR="005B04A4" w:rsidRPr="00C07D11" w:rsidRDefault="00786518" w:rsidP="005B04A4">
            <w:pPr>
              <w:spacing w:line="300" w:lineRule="auto"/>
              <w:rPr>
                <w:b/>
              </w:rPr>
            </w:pPr>
            <w:r w:rsidRPr="00786518">
              <w:t xml:space="preserve">   </w:t>
            </w:r>
            <w:proofErr w:type="spellStart"/>
            <w:r w:rsidRPr="00786518">
              <w:t>Indeterminate</w:t>
            </w:r>
            <w:proofErr w:type="spellEnd"/>
          </w:p>
        </w:tc>
        <w:tc>
          <w:tcPr>
            <w:tcW w:w="1985" w:type="dxa"/>
          </w:tcPr>
          <w:p w:rsidR="002D2158" w:rsidRDefault="002D2158" w:rsidP="005B04A4">
            <w:pPr>
              <w:spacing w:line="300" w:lineRule="auto"/>
              <w:jc w:val="center"/>
            </w:pPr>
          </w:p>
          <w:p w:rsidR="00E913B2" w:rsidRDefault="007B1C63" w:rsidP="005B04A4">
            <w:pPr>
              <w:spacing w:line="300" w:lineRule="auto"/>
              <w:jc w:val="center"/>
            </w:pPr>
            <w:r>
              <w:t>9.7</w:t>
            </w:r>
          </w:p>
          <w:p w:rsidR="00E913B2" w:rsidRDefault="007B1C63" w:rsidP="005B04A4">
            <w:pPr>
              <w:spacing w:line="300" w:lineRule="auto"/>
              <w:jc w:val="center"/>
            </w:pPr>
            <w:r>
              <w:t>89.8</w:t>
            </w:r>
          </w:p>
          <w:p w:rsidR="00E913B2" w:rsidRPr="00C07D11" w:rsidRDefault="007B1C63" w:rsidP="005B04A4">
            <w:pPr>
              <w:spacing w:line="300" w:lineRule="auto"/>
              <w:jc w:val="center"/>
            </w:pPr>
            <w:r>
              <w:t>0.5</w:t>
            </w:r>
          </w:p>
        </w:tc>
        <w:tc>
          <w:tcPr>
            <w:tcW w:w="1843" w:type="dxa"/>
          </w:tcPr>
          <w:p w:rsidR="002D2158" w:rsidRDefault="002D2158" w:rsidP="005B04A4">
            <w:pPr>
              <w:spacing w:line="300" w:lineRule="auto"/>
              <w:jc w:val="center"/>
            </w:pPr>
          </w:p>
          <w:p w:rsidR="00E913B2" w:rsidRDefault="007D505E" w:rsidP="005B04A4">
            <w:pPr>
              <w:spacing w:line="300" w:lineRule="auto"/>
              <w:jc w:val="center"/>
            </w:pPr>
            <w:r>
              <w:t>1</w:t>
            </w:r>
            <w:r w:rsidR="00F362DB">
              <w:t>0.</w:t>
            </w:r>
            <w:r>
              <w:t>8</w:t>
            </w:r>
          </w:p>
          <w:p w:rsidR="00E913B2" w:rsidRDefault="00A07D71" w:rsidP="005B04A4">
            <w:pPr>
              <w:spacing w:line="300" w:lineRule="auto"/>
              <w:jc w:val="center"/>
            </w:pPr>
            <w:r>
              <w:t>88.8</w:t>
            </w:r>
          </w:p>
          <w:p w:rsidR="00E913B2" w:rsidRPr="00C07D11" w:rsidRDefault="007D505E" w:rsidP="005B04A4">
            <w:pPr>
              <w:spacing w:line="300" w:lineRule="auto"/>
              <w:jc w:val="center"/>
            </w:pPr>
            <w:r>
              <w:t>0.4</w:t>
            </w:r>
          </w:p>
        </w:tc>
        <w:tc>
          <w:tcPr>
            <w:tcW w:w="850" w:type="dxa"/>
          </w:tcPr>
          <w:p w:rsidR="002D2158" w:rsidRPr="00FB7056" w:rsidRDefault="007B1C63" w:rsidP="005B04A4">
            <w:pPr>
              <w:spacing w:line="300" w:lineRule="auto"/>
              <w:jc w:val="center"/>
            </w:pPr>
            <w:r w:rsidRPr="00FB7056">
              <w:t>0.</w:t>
            </w:r>
            <w:r w:rsidR="00FB7056" w:rsidRPr="00FB7056">
              <w:t>250</w:t>
            </w:r>
          </w:p>
        </w:tc>
        <w:tc>
          <w:tcPr>
            <w:tcW w:w="1843" w:type="dxa"/>
          </w:tcPr>
          <w:p w:rsidR="002D2158" w:rsidRDefault="002D2158" w:rsidP="005B04A4">
            <w:pPr>
              <w:spacing w:line="300" w:lineRule="auto"/>
              <w:jc w:val="center"/>
            </w:pPr>
          </w:p>
          <w:p w:rsidR="00DC1612" w:rsidRDefault="00DC1612" w:rsidP="005B04A4">
            <w:pPr>
              <w:spacing w:line="300" w:lineRule="auto"/>
              <w:jc w:val="center"/>
            </w:pPr>
            <w:r>
              <w:t>15.1</w:t>
            </w:r>
          </w:p>
          <w:p w:rsidR="00DC1612" w:rsidRDefault="00DC1612" w:rsidP="005B04A4">
            <w:pPr>
              <w:spacing w:line="300" w:lineRule="auto"/>
              <w:jc w:val="center"/>
            </w:pPr>
            <w:r>
              <w:t>84.9</w:t>
            </w:r>
          </w:p>
          <w:p w:rsidR="00DC1612" w:rsidRPr="00C07D11" w:rsidRDefault="00DC1612" w:rsidP="005B04A4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D2158" w:rsidRDefault="002D2158" w:rsidP="005B04A4">
            <w:pPr>
              <w:spacing w:line="300" w:lineRule="auto"/>
              <w:jc w:val="center"/>
            </w:pPr>
          </w:p>
          <w:p w:rsidR="00DC1612" w:rsidRDefault="00DC1612" w:rsidP="005B04A4">
            <w:pPr>
              <w:spacing w:line="300" w:lineRule="auto"/>
              <w:jc w:val="center"/>
            </w:pPr>
            <w:r>
              <w:t>17.8</w:t>
            </w:r>
          </w:p>
          <w:p w:rsidR="00DC1612" w:rsidRDefault="00DC1612" w:rsidP="005B04A4">
            <w:pPr>
              <w:spacing w:line="300" w:lineRule="auto"/>
              <w:jc w:val="center"/>
            </w:pPr>
            <w:r>
              <w:t>82.1</w:t>
            </w:r>
          </w:p>
          <w:p w:rsidR="00DC1612" w:rsidRPr="00C07D11" w:rsidRDefault="00DC1612" w:rsidP="005B04A4">
            <w:pPr>
              <w:spacing w:line="300" w:lineRule="auto"/>
              <w:jc w:val="center"/>
            </w:pPr>
            <w:r>
              <w:t>0.1</w:t>
            </w:r>
          </w:p>
        </w:tc>
        <w:tc>
          <w:tcPr>
            <w:tcW w:w="992" w:type="dxa"/>
          </w:tcPr>
          <w:p w:rsidR="002D2158" w:rsidRPr="00C07D11" w:rsidRDefault="00DC1612" w:rsidP="005B04A4">
            <w:pPr>
              <w:spacing w:line="300" w:lineRule="auto"/>
              <w:jc w:val="center"/>
            </w:pPr>
            <w:r>
              <w:t>0.194</w:t>
            </w:r>
          </w:p>
        </w:tc>
      </w:tr>
      <w:tr w:rsidR="00786518" w:rsidRPr="00C07D11" w:rsidTr="005B694C">
        <w:tc>
          <w:tcPr>
            <w:tcW w:w="2410" w:type="dxa"/>
          </w:tcPr>
          <w:p w:rsidR="002D2158" w:rsidRPr="00C07D11" w:rsidRDefault="002D2158" w:rsidP="005B04A4">
            <w:pPr>
              <w:spacing w:line="300" w:lineRule="auto"/>
              <w:rPr>
                <w:b/>
              </w:rPr>
            </w:pPr>
            <w:r w:rsidRPr="00C07D11">
              <w:rPr>
                <w:b/>
              </w:rPr>
              <w:t xml:space="preserve">LTBI </w:t>
            </w:r>
            <w:proofErr w:type="spellStart"/>
            <w:r w:rsidRPr="00C07D11">
              <w:rPr>
                <w:b/>
              </w:rPr>
              <w:t>treatment</w:t>
            </w:r>
            <w:proofErr w:type="spellEnd"/>
            <w:r w:rsidRPr="00C07D11">
              <w:rPr>
                <w:b/>
              </w:rPr>
              <w:t>, %</w:t>
            </w:r>
          </w:p>
        </w:tc>
        <w:tc>
          <w:tcPr>
            <w:tcW w:w="1985" w:type="dxa"/>
          </w:tcPr>
          <w:p w:rsidR="002D2158" w:rsidRPr="00C07D11" w:rsidRDefault="00851416" w:rsidP="005B04A4">
            <w:pPr>
              <w:spacing w:line="300" w:lineRule="auto"/>
              <w:jc w:val="center"/>
            </w:pPr>
            <w:r>
              <w:t>44.7</w:t>
            </w:r>
          </w:p>
        </w:tc>
        <w:tc>
          <w:tcPr>
            <w:tcW w:w="1843" w:type="dxa"/>
          </w:tcPr>
          <w:p w:rsidR="002D2158" w:rsidRPr="00C07D11" w:rsidRDefault="00851416" w:rsidP="005B04A4">
            <w:pPr>
              <w:spacing w:line="300" w:lineRule="auto"/>
              <w:jc w:val="center"/>
            </w:pPr>
            <w:r>
              <w:t>45.8</w:t>
            </w:r>
          </w:p>
        </w:tc>
        <w:tc>
          <w:tcPr>
            <w:tcW w:w="850" w:type="dxa"/>
          </w:tcPr>
          <w:p w:rsidR="002D2158" w:rsidRPr="00C07D11" w:rsidRDefault="00851416" w:rsidP="005B04A4">
            <w:pPr>
              <w:spacing w:line="300" w:lineRule="auto"/>
              <w:jc w:val="center"/>
            </w:pPr>
            <w:r>
              <w:t>0.672</w:t>
            </w:r>
          </w:p>
        </w:tc>
        <w:tc>
          <w:tcPr>
            <w:tcW w:w="1843" w:type="dxa"/>
          </w:tcPr>
          <w:p w:rsidR="002D2158" w:rsidRPr="00C07D11" w:rsidRDefault="005D794C" w:rsidP="005B04A4">
            <w:pPr>
              <w:spacing w:line="300" w:lineRule="auto"/>
              <w:jc w:val="center"/>
            </w:pPr>
            <w:r>
              <w:t>60.2</w:t>
            </w:r>
          </w:p>
        </w:tc>
        <w:tc>
          <w:tcPr>
            <w:tcW w:w="1701" w:type="dxa"/>
          </w:tcPr>
          <w:p w:rsidR="002D2158" w:rsidRPr="00C07D11" w:rsidRDefault="005D794C" w:rsidP="005B04A4">
            <w:pPr>
              <w:spacing w:line="300" w:lineRule="auto"/>
              <w:jc w:val="center"/>
            </w:pPr>
            <w:r>
              <w:t>58.4</w:t>
            </w:r>
          </w:p>
        </w:tc>
        <w:tc>
          <w:tcPr>
            <w:tcW w:w="992" w:type="dxa"/>
          </w:tcPr>
          <w:p w:rsidR="002D2158" w:rsidRPr="00C07D11" w:rsidRDefault="00BC61A8" w:rsidP="005B04A4">
            <w:pPr>
              <w:spacing w:line="300" w:lineRule="auto"/>
              <w:jc w:val="center"/>
            </w:pPr>
            <w:r>
              <w:t>0.</w:t>
            </w:r>
            <w:r w:rsidR="002B7DC4">
              <w:t>529</w:t>
            </w:r>
          </w:p>
        </w:tc>
      </w:tr>
    </w:tbl>
    <w:p w:rsidR="005713B1" w:rsidRPr="009746B5" w:rsidRDefault="000820FD" w:rsidP="009746B5">
      <w:pPr>
        <w:spacing w:after="0" w:line="360" w:lineRule="auto"/>
        <w:ind w:left="-1276" w:right="-1276"/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 w:rsidRPr="008017C7">
        <w:rPr>
          <w:rFonts w:cstheme="minorHAnsi"/>
          <w:color w:val="000000" w:themeColor="text1"/>
          <w:sz w:val="20"/>
          <w:szCs w:val="20"/>
        </w:rPr>
        <w:t>Continuous</w:t>
      </w:r>
      <w:proofErr w:type="spellEnd"/>
      <w:r w:rsidRPr="008017C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8017C7">
        <w:rPr>
          <w:rFonts w:cstheme="minorHAnsi"/>
          <w:color w:val="000000" w:themeColor="text1"/>
          <w:sz w:val="20"/>
          <w:szCs w:val="20"/>
        </w:rPr>
        <w:t>variables</w:t>
      </w:r>
      <w:proofErr w:type="spellEnd"/>
      <w:r w:rsidRPr="008017C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8017C7">
        <w:rPr>
          <w:rFonts w:cstheme="minorHAnsi"/>
          <w:color w:val="000000" w:themeColor="text1"/>
          <w:sz w:val="20"/>
          <w:szCs w:val="20"/>
        </w:rPr>
        <w:t>were</w:t>
      </w:r>
      <w:proofErr w:type="spellEnd"/>
      <w:r w:rsidRPr="008017C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8017C7">
        <w:rPr>
          <w:rFonts w:cstheme="minorHAnsi"/>
          <w:color w:val="000000" w:themeColor="text1"/>
          <w:sz w:val="20"/>
          <w:szCs w:val="20"/>
        </w:rPr>
        <w:t>given</w:t>
      </w:r>
      <w:proofErr w:type="spellEnd"/>
      <w:r w:rsidRPr="008017C7">
        <w:rPr>
          <w:rFonts w:cstheme="minorHAnsi"/>
          <w:color w:val="000000" w:themeColor="text1"/>
          <w:sz w:val="20"/>
          <w:szCs w:val="20"/>
        </w:rPr>
        <w:t xml:space="preserve"> as </w:t>
      </w:r>
      <w:proofErr w:type="spellStart"/>
      <w:r w:rsidRPr="008017C7">
        <w:rPr>
          <w:rFonts w:cstheme="minorHAnsi"/>
          <w:color w:val="000000" w:themeColor="text1"/>
          <w:sz w:val="20"/>
          <w:szCs w:val="20"/>
        </w:rPr>
        <w:t>means</w:t>
      </w:r>
      <w:proofErr w:type="spellEnd"/>
      <w:r w:rsidRPr="008017C7">
        <w:rPr>
          <w:rFonts w:cstheme="minorHAnsi"/>
          <w:color w:val="000000" w:themeColor="text1"/>
          <w:sz w:val="20"/>
          <w:szCs w:val="20"/>
        </w:rPr>
        <w:t xml:space="preserve"> ± </w:t>
      </w:r>
      <w:proofErr w:type="spellStart"/>
      <w:r w:rsidRPr="008017C7">
        <w:rPr>
          <w:rFonts w:cstheme="minorHAnsi"/>
          <w:color w:val="000000" w:themeColor="text1"/>
          <w:sz w:val="20"/>
          <w:szCs w:val="20"/>
        </w:rPr>
        <w:t>standard</w:t>
      </w:r>
      <w:proofErr w:type="spellEnd"/>
      <w:r w:rsidRPr="008017C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8017C7">
        <w:rPr>
          <w:rFonts w:cstheme="minorHAnsi"/>
          <w:color w:val="000000" w:themeColor="text1"/>
          <w:sz w:val="20"/>
          <w:szCs w:val="20"/>
        </w:rPr>
        <w:t>deviations</w:t>
      </w:r>
      <w:proofErr w:type="spellEnd"/>
      <w:r w:rsidRPr="008017C7">
        <w:rPr>
          <w:rFonts w:cstheme="minorHAnsi"/>
          <w:color w:val="000000" w:themeColor="text1"/>
          <w:sz w:val="20"/>
          <w:szCs w:val="20"/>
        </w:rPr>
        <w:t xml:space="preserve">.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n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=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number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 w:rsidRPr="008017C7">
        <w:rPr>
          <w:rFonts w:cstheme="minorHAnsi"/>
          <w:color w:val="000000" w:themeColor="text1"/>
          <w:sz w:val="20"/>
          <w:szCs w:val="20"/>
        </w:rPr>
        <w:t xml:space="preserve"> </w:t>
      </w:r>
      <w:r w:rsidR="00AB31A5" w:rsidRPr="008017C7">
        <w:rPr>
          <w:rFonts w:cstheme="minorHAnsi"/>
          <w:color w:val="000000" w:themeColor="text1"/>
          <w:sz w:val="20"/>
          <w:szCs w:val="20"/>
        </w:rPr>
        <w:t xml:space="preserve">RA = </w:t>
      </w:r>
      <w:proofErr w:type="spellStart"/>
      <w:r w:rsidR="00AB31A5" w:rsidRPr="008017C7">
        <w:rPr>
          <w:rFonts w:cstheme="minorHAnsi"/>
          <w:color w:val="000000" w:themeColor="text1"/>
          <w:sz w:val="20"/>
          <w:szCs w:val="20"/>
        </w:rPr>
        <w:t>rheumatoid</w:t>
      </w:r>
      <w:proofErr w:type="spellEnd"/>
      <w:r w:rsidR="00AB31A5" w:rsidRPr="008017C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AB31A5" w:rsidRPr="008017C7">
        <w:rPr>
          <w:rFonts w:cstheme="minorHAnsi"/>
          <w:color w:val="000000" w:themeColor="text1"/>
          <w:sz w:val="20"/>
          <w:szCs w:val="20"/>
        </w:rPr>
        <w:t>arth</w:t>
      </w:r>
      <w:r w:rsidR="00AB31A5">
        <w:rPr>
          <w:rFonts w:cstheme="minorHAnsi"/>
          <w:color w:val="000000" w:themeColor="text1"/>
          <w:sz w:val="20"/>
          <w:szCs w:val="20"/>
        </w:rPr>
        <w:t>ritis</w:t>
      </w:r>
      <w:proofErr w:type="spellEnd"/>
      <w:r w:rsidR="00AB31A5">
        <w:rPr>
          <w:rFonts w:cstheme="minorHAnsi"/>
          <w:color w:val="000000" w:themeColor="text1"/>
          <w:sz w:val="20"/>
          <w:szCs w:val="20"/>
        </w:rPr>
        <w:t xml:space="preserve">; </w:t>
      </w:r>
      <w:proofErr w:type="spellStart"/>
      <w:r w:rsidR="00AB31A5">
        <w:rPr>
          <w:rFonts w:cstheme="minorHAnsi"/>
          <w:color w:val="000000" w:themeColor="text1"/>
          <w:sz w:val="20"/>
          <w:szCs w:val="20"/>
        </w:rPr>
        <w:t>SpA</w:t>
      </w:r>
      <w:proofErr w:type="spellEnd"/>
      <w:r w:rsidR="00AB31A5">
        <w:rPr>
          <w:rFonts w:cstheme="minorHAnsi"/>
          <w:color w:val="000000" w:themeColor="text1"/>
          <w:sz w:val="20"/>
          <w:szCs w:val="20"/>
        </w:rPr>
        <w:t xml:space="preserve"> = </w:t>
      </w:r>
      <w:proofErr w:type="spellStart"/>
      <w:r w:rsidR="00AB31A5">
        <w:rPr>
          <w:rFonts w:cstheme="minorHAnsi"/>
          <w:color w:val="000000" w:themeColor="text1"/>
          <w:sz w:val="20"/>
          <w:szCs w:val="20"/>
        </w:rPr>
        <w:t>spondyloarthritis</w:t>
      </w:r>
      <w:proofErr w:type="spellEnd"/>
      <w:r w:rsidR="00AB31A5" w:rsidRPr="008017C7">
        <w:rPr>
          <w:rFonts w:cstheme="minorHAnsi"/>
          <w:color w:val="000000" w:themeColor="text1"/>
          <w:sz w:val="20"/>
          <w:szCs w:val="20"/>
        </w:rPr>
        <w:t>;</w:t>
      </w:r>
      <w:r w:rsidR="00AB31A5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8017C7">
        <w:rPr>
          <w:rFonts w:cstheme="minorHAnsi"/>
          <w:color w:val="000000" w:themeColor="text1"/>
          <w:sz w:val="20"/>
          <w:szCs w:val="20"/>
        </w:rPr>
        <w:t>cDMARD</w:t>
      </w:r>
      <w:proofErr w:type="spellEnd"/>
      <w:r w:rsidRPr="008017C7">
        <w:rPr>
          <w:rFonts w:cstheme="minorHAnsi"/>
          <w:color w:val="000000" w:themeColor="text1"/>
          <w:sz w:val="20"/>
          <w:szCs w:val="20"/>
        </w:rPr>
        <w:t xml:space="preserve"> = </w:t>
      </w:r>
      <w:proofErr w:type="spellStart"/>
      <w:r w:rsidRPr="008017C7">
        <w:rPr>
          <w:rFonts w:cstheme="minorHAnsi"/>
          <w:color w:val="000000" w:themeColor="text1"/>
          <w:sz w:val="20"/>
          <w:szCs w:val="20"/>
        </w:rPr>
        <w:t>conventional</w:t>
      </w:r>
      <w:proofErr w:type="spellEnd"/>
      <w:r w:rsidRPr="008017C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8017C7">
        <w:rPr>
          <w:rFonts w:cstheme="minorHAnsi"/>
          <w:color w:val="000000" w:themeColor="text1"/>
          <w:sz w:val="20"/>
          <w:szCs w:val="20"/>
        </w:rPr>
        <w:t>disease</w:t>
      </w:r>
      <w:proofErr w:type="spellEnd"/>
      <w:r w:rsidRPr="008017C7">
        <w:rPr>
          <w:rFonts w:cstheme="minorHAnsi"/>
          <w:color w:val="000000" w:themeColor="text1"/>
          <w:sz w:val="20"/>
          <w:szCs w:val="20"/>
        </w:rPr>
        <w:t>-</w:t>
      </w:r>
      <w:proofErr w:type="spellStart"/>
      <w:r w:rsidRPr="008017C7">
        <w:rPr>
          <w:rFonts w:cstheme="minorHAnsi"/>
          <w:color w:val="000000" w:themeColor="text1"/>
          <w:sz w:val="20"/>
          <w:szCs w:val="20"/>
        </w:rPr>
        <w:t>modifying</w:t>
      </w:r>
      <w:proofErr w:type="spellEnd"/>
      <w:r w:rsidRPr="008017C7">
        <w:rPr>
          <w:rFonts w:cstheme="minorHAnsi"/>
          <w:color w:val="000000" w:themeColor="text1"/>
          <w:sz w:val="20"/>
          <w:szCs w:val="20"/>
        </w:rPr>
        <w:t xml:space="preserve"> anti-</w:t>
      </w:r>
      <w:proofErr w:type="spellStart"/>
      <w:r w:rsidRPr="008017C7">
        <w:rPr>
          <w:rFonts w:cstheme="minorHAnsi"/>
          <w:color w:val="000000" w:themeColor="text1"/>
          <w:sz w:val="20"/>
          <w:szCs w:val="20"/>
        </w:rPr>
        <w:t>rheumatic</w:t>
      </w:r>
      <w:proofErr w:type="spellEnd"/>
      <w:r w:rsidRPr="008017C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8017C7">
        <w:rPr>
          <w:rFonts w:cstheme="minorHAnsi"/>
          <w:color w:val="000000" w:themeColor="text1"/>
          <w:sz w:val="20"/>
          <w:szCs w:val="20"/>
        </w:rPr>
        <w:t>drug</w:t>
      </w:r>
      <w:proofErr w:type="spellEnd"/>
      <w:r w:rsidRPr="008017C7">
        <w:rPr>
          <w:rFonts w:cstheme="minorHAnsi"/>
          <w:color w:val="000000" w:themeColor="text1"/>
          <w:sz w:val="20"/>
          <w:szCs w:val="20"/>
        </w:rPr>
        <w:t xml:space="preserve">; TST = </w:t>
      </w:r>
      <w:proofErr w:type="spellStart"/>
      <w:r w:rsidRPr="008017C7">
        <w:rPr>
          <w:rFonts w:cstheme="minorHAnsi"/>
          <w:color w:val="000000" w:themeColor="text1"/>
          <w:sz w:val="20"/>
          <w:szCs w:val="20"/>
        </w:rPr>
        <w:t>tuberculin</w:t>
      </w:r>
      <w:proofErr w:type="spellEnd"/>
      <w:r w:rsidRPr="008017C7">
        <w:rPr>
          <w:rFonts w:cstheme="minorHAnsi"/>
          <w:color w:val="000000" w:themeColor="text1"/>
          <w:sz w:val="20"/>
          <w:szCs w:val="20"/>
        </w:rPr>
        <w:t xml:space="preserve"> skin test; QFT-GIT = </w:t>
      </w:r>
      <w:proofErr w:type="spellStart"/>
      <w:r w:rsidRPr="008017C7">
        <w:rPr>
          <w:rFonts w:cstheme="minorHAnsi"/>
          <w:color w:val="000000" w:themeColor="text1"/>
          <w:sz w:val="20"/>
          <w:szCs w:val="20"/>
        </w:rPr>
        <w:t>Quantiferon</w:t>
      </w:r>
      <w:proofErr w:type="spellEnd"/>
      <w:r w:rsidRPr="008017C7">
        <w:rPr>
          <w:rFonts w:cstheme="minorHAnsi"/>
          <w:color w:val="000000" w:themeColor="text1"/>
          <w:sz w:val="20"/>
          <w:szCs w:val="20"/>
        </w:rPr>
        <w:t xml:space="preserve">®-TB </w:t>
      </w:r>
      <w:proofErr w:type="spellStart"/>
      <w:r w:rsidRPr="008017C7">
        <w:rPr>
          <w:rFonts w:cstheme="minorHAnsi"/>
          <w:color w:val="000000" w:themeColor="text1"/>
          <w:sz w:val="20"/>
          <w:szCs w:val="20"/>
        </w:rPr>
        <w:t>Gold</w:t>
      </w:r>
      <w:proofErr w:type="spellEnd"/>
      <w:r w:rsidRPr="008017C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8017C7">
        <w:rPr>
          <w:rFonts w:cstheme="minorHAnsi"/>
          <w:color w:val="000000" w:themeColor="text1"/>
          <w:sz w:val="20"/>
          <w:szCs w:val="20"/>
        </w:rPr>
        <w:t>In</w:t>
      </w:r>
      <w:proofErr w:type="spellEnd"/>
      <w:r w:rsidRPr="008017C7">
        <w:rPr>
          <w:rFonts w:cstheme="minorHAnsi"/>
          <w:color w:val="000000" w:themeColor="text1"/>
          <w:sz w:val="20"/>
          <w:szCs w:val="20"/>
        </w:rPr>
        <w:t>-</w:t>
      </w:r>
      <w:proofErr w:type="spellStart"/>
      <w:r w:rsidRPr="008017C7">
        <w:rPr>
          <w:rFonts w:cstheme="minorHAnsi"/>
          <w:color w:val="000000" w:themeColor="text1"/>
          <w:sz w:val="20"/>
          <w:szCs w:val="20"/>
        </w:rPr>
        <w:t>Tube</w:t>
      </w:r>
      <w:proofErr w:type="spellEnd"/>
      <w:r w:rsidRPr="008017C7">
        <w:rPr>
          <w:rFonts w:cstheme="minorHAnsi"/>
          <w:color w:val="000000" w:themeColor="text1"/>
          <w:sz w:val="20"/>
          <w:szCs w:val="20"/>
        </w:rPr>
        <w:t xml:space="preserve">; LTBI = </w:t>
      </w:r>
      <w:proofErr w:type="spellStart"/>
      <w:r w:rsidRPr="008017C7">
        <w:rPr>
          <w:rFonts w:cstheme="minorHAnsi"/>
          <w:color w:val="000000" w:themeColor="text1"/>
          <w:sz w:val="20"/>
          <w:szCs w:val="20"/>
        </w:rPr>
        <w:t>latent</w:t>
      </w:r>
      <w:proofErr w:type="spellEnd"/>
      <w:r w:rsidRPr="008017C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8017C7">
        <w:rPr>
          <w:rFonts w:cstheme="minorHAnsi"/>
          <w:color w:val="000000" w:themeColor="text1"/>
          <w:sz w:val="20"/>
          <w:szCs w:val="20"/>
        </w:rPr>
        <w:t>tuberculosis</w:t>
      </w:r>
      <w:proofErr w:type="spellEnd"/>
      <w:r w:rsidRPr="008017C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8017C7">
        <w:rPr>
          <w:rFonts w:cstheme="minorHAnsi"/>
          <w:color w:val="000000" w:themeColor="text1"/>
          <w:sz w:val="20"/>
          <w:szCs w:val="20"/>
        </w:rPr>
        <w:t>infection</w:t>
      </w:r>
      <w:proofErr w:type="spellEnd"/>
    </w:p>
    <w:sectPr w:rsidR="005713B1" w:rsidRPr="009746B5" w:rsidSect="00E64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50311"/>
    <w:rsid w:val="00044745"/>
    <w:rsid w:val="000820FD"/>
    <w:rsid w:val="00094BCB"/>
    <w:rsid w:val="000E39FE"/>
    <w:rsid w:val="000E63BD"/>
    <w:rsid w:val="00113A0A"/>
    <w:rsid w:val="00135688"/>
    <w:rsid w:val="00152536"/>
    <w:rsid w:val="0016258A"/>
    <w:rsid w:val="00184A78"/>
    <w:rsid w:val="001A3F55"/>
    <w:rsid w:val="001B29D6"/>
    <w:rsid w:val="001C4A13"/>
    <w:rsid w:val="001F6946"/>
    <w:rsid w:val="00202A81"/>
    <w:rsid w:val="002204B1"/>
    <w:rsid w:val="00257CEB"/>
    <w:rsid w:val="002B7DC4"/>
    <w:rsid w:val="002D2158"/>
    <w:rsid w:val="0040350F"/>
    <w:rsid w:val="0042576B"/>
    <w:rsid w:val="004310E5"/>
    <w:rsid w:val="00447D97"/>
    <w:rsid w:val="0049238F"/>
    <w:rsid w:val="004B179E"/>
    <w:rsid w:val="004C2FBB"/>
    <w:rsid w:val="004D14AF"/>
    <w:rsid w:val="004E4232"/>
    <w:rsid w:val="0050609E"/>
    <w:rsid w:val="00510918"/>
    <w:rsid w:val="005713B1"/>
    <w:rsid w:val="005B04A4"/>
    <w:rsid w:val="005B5A9F"/>
    <w:rsid w:val="005B694C"/>
    <w:rsid w:val="005D794C"/>
    <w:rsid w:val="005E6053"/>
    <w:rsid w:val="005E6EF3"/>
    <w:rsid w:val="005F7557"/>
    <w:rsid w:val="00666111"/>
    <w:rsid w:val="00684376"/>
    <w:rsid w:val="00687FAD"/>
    <w:rsid w:val="006A0BD9"/>
    <w:rsid w:val="006A7CA9"/>
    <w:rsid w:val="006D72EC"/>
    <w:rsid w:val="007152AD"/>
    <w:rsid w:val="00723F8C"/>
    <w:rsid w:val="007410D0"/>
    <w:rsid w:val="00746F1D"/>
    <w:rsid w:val="00757EDF"/>
    <w:rsid w:val="00786518"/>
    <w:rsid w:val="00796713"/>
    <w:rsid w:val="007A6F16"/>
    <w:rsid w:val="007B1C63"/>
    <w:rsid w:val="007C06D5"/>
    <w:rsid w:val="007C177C"/>
    <w:rsid w:val="007D505E"/>
    <w:rsid w:val="00851416"/>
    <w:rsid w:val="0087164B"/>
    <w:rsid w:val="008733A5"/>
    <w:rsid w:val="008B51C5"/>
    <w:rsid w:val="008C4824"/>
    <w:rsid w:val="009430A9"/>
    <w:rsid w:val="009746B5"/>
    <w:rsid w:val="0097782D"/>
    <w:rsid w:val="009A46F3"/>
    <w:rsid w:val="009C651A"/>
    <w:rsid w:val="009D02DB"/>
    <w:rsid w:val="009F2CFB"/>
    <w:rsid w:val="00A07AE3"/>
    <w:rsid w:val="00A07D71"/>
    <w:rsid w:val="00A733D0"/>
    <w:rsid w:val="00A94700"/>
    <w:rsid w:val="00AA6046"/>
    <w:rsid w:val="00AB31A5"/>
    <w:rsid w:val="00AE74B8"/>
    <w:rsid w:val="00AF0E01"/>
    <w:rsid w:val="00AF3EFD"/>
    <w:rsid w:val="00B01429"/>
    <w:rsid w:val="00B20E75"/>
    <w:rsid w:val="00B50311"/>
    <w:rsid w:val="00B87F0C"/>
    <w:rsid w:val="00BC61A8"/>
    <w:rsid w:val="00BE4372"/>
    <w:rsid w:val="00C07D11"/>
    <w:rsid w:val="00C11A06"/>
    <w:rsid w:val="00C24897"/>
    <w:rsid w:val="00C4153F"/>
    <w:rsid w:val="00C4775F"/>
    <w:rsid w:val="00C61A03"/>
    <w:rsid w:val="00C65CDD"/>
    <w:rsid w:val="00C759A7"/>
    <w:rsid w:val="00CC22C6"/>
    <w:rsid w:val="00CC239C"/>
    <w:rsid w:val="00CC44A6"/>
    <w:rsid w:val="00CC5E47"/>
    <w:rsid w:val="00CF335D"/>
    <w:rsid w:val="00D06C7C"/>
    <w:rsid w:val="00D30C2F"/>
    <w:rsid w:val="00DC1612"/>
    <w:rsid w:val="00DF4138"/>
    <w:rsid w:val="00E06271"/>
    <w:rsid w:val="00E25899"/>
    <w:rsid w:val="00E64B4E"/>
    <w:rsid w:val="00E913B2"/>
    <w:rsid w:val="00F13E92"/>
    <w:rsid w:val="00F14437"/>
    <w:rsid w:val="00F362DB"/>
    <w:rsid w:val="00F65D33"/>
    <w:rsid w:val="00F71274"/>
    <w:rsid w:val="00F925BA"/>
    <w:rsid w:val="00F92D8F"/>
    <w:rsid w:val="00FB7056"/>
    <w:rsid w:val="00FD00B1"/>
    <w:rsid w:val="00FD0D00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0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132</cp:revision>
  <dcterms:created xsi:type="dcterms:W3CDTF">2020-06-04T03:55:00Z</dcterms:created>
  <dcterms:modified xsi:type="dcterms:W3CDTF">2020-12-02T11:37:00Z</dcterms:modified>
</cp:coreProperties>
</file>