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FC" w:rsidRDefault="00DF09CF" w:rsidP="000B6693">
      <w:pPr>
        <w:spacing w:line="360" w:lineRule="auto"/>
      </w:pPr>
      <w:r w:rsidRPr="00DF09CF">
        <w:rPr>
          <w:rFonts w:ascii="Arial" w:hAnsi="Arial" w:cs="Arial"/>
          <w:b/>
          <w:sz w:val="28"/>
        </w:rPr>
        <w:t>Supplementary Fig. S2</w:t>
      </w:r>
      <w:bookmarkStart w:id="0" w:name="_GoBack"/>
      <w:bookmarkEnd w:id="0"/>
      <w:r w:rsidR="002B2E38">
        <w:rPr>
          <w:noProof/>
          <w:lang w:eastAsia="de-DE"/>
        </w:rPr>
        <w:drawing>
          <wp:inline distT="0" distB="0" distL="0" distR="0" wp14:anchorId="168214DA" wp14:editId="72423D2E">
            <wp:extent cx="9033798" cy="5355338"/>
            <wp:effectExtent l="0" t="0" r="15240" b="1714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D14FC" w:rsidSect="00024B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8C" w:rsidRDefault="00CE658C" w:rsidP="00CE658C">
      <w:pPr>
        <w:spacing w:after="0" w:line="240" w:lineRule="auto"/>
      </w:pPr>
      <w:r>
        <w:separator/>
      </w:r>
    </w:p>
  </w:endnote>
  <w:endnote w:type="continuationSeparator" w:id="0">
    <w:p w:rsidR="00CE658C" w:rsidRDefault="00CE658C" w:rsidP="00CE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8C" w:rsidRDefault="00CE658C" w:rsidP="00CE658C">
      <w:pPr>
        <w:spacing w:after="0" w:line="240" w:lineRule="auto"/>
      </w:pPr>
      <w:r>
        <w:separator/>
      </w:r>
    </w:p>
  </w:footnote>
  <w:footnote w:type="continuationSeparator" w:id="0">
    <w:p w:rsidR="00CE658C" w:rsidRDefault="00CE658C" w:rsidP="00CE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8C"/>
    <w:rsid w:val="00001D14"/>
    <w:rsid w:val="00014997"/>
    <w:rsid w:val="00024B2A"/>
    <w:rsid w:val="00034876"/>
    <w:rsid w:val="00036228"/>
    <w:rsid w:val="000403D4"/>
    <w:rsid w:val="0004045C"/>
    <w:rsid w:val="0006492C"/>
    <w:rsid w:val="000746C9"/>
    <w:rsid w:val="00081C2D"/>
    <w:rsid w:val="000954C9"/>
    <w:rsid w:val="00095D9B"/>
    <w:rsid w:val="000A0A83"/>
    <w:rsid w:val="000A1D8A"/>
    <w:rsid w:val="000B379F"/>
    <w:rsid w:val="000B6693"/>
    <w:rsid w:val="000C14B6"/>
    <w:rsid w:val="000C249A"/>
    <w:rsid w:val="000C5DF9"/>
    <w:rsid w:val="000D219C"/>
    <w:rsid w:val="000E298B"/>
    <w:rsid w:val="000E424C"/>
    <w:rsid w:val="000E4AD9"/>
    <w:rsid w:val="000F4B29"/>
    <w:rsid w:val="000F7284"/>
    <w:rsid w:val="000F72B3"/>
    <w:rsid w:val="001072EB"/>
    <w:rsid w:val="0011405F"/>
    <w:rsid w:val="00114374"/>
    <w:rsid w:val="001232A2"/>
    <w:rsid w:val="00127259"/>
    <w:rsid w:val="00127BA3"/>
    <w:rsid w:val="0015325C"/>
    <w:rsid w:val="00153F03"/>
    <w:rsid w:val="00156D49"/>
    <w:rsid w:val="0016230F"/>
    <w:rsid w:val="001643F2"/>
    <w:rsid w:val="001709EC"/>
    <w:rsid w:val="00172BFA"/>
    <w:rsid w:val="00187D8F"/>
    <w:rsid w:val="0019042D"/>
    <w:rsid w:val="001927A5"/>
    <w:rsid w:val="00193ECC"/>
    <w:rsid w:val="0019734E"/>
    <w:rsid w:val="001A3BED"/>
    <w:rsid w:val="001B2BE8"/>
    <w:rsid w:val="001B3F18"/>
    <w:rsid w:val="001D1BD4"/>
    <w:rsid w:val="001D25B2"/>
    <w:rsid w:val="001F139F"/>
    <w:rsid w:val="001F23E4"/>
    <w:rsid w:val="001F306C"/>
    <w:rsid w:val="001F3C45"/>
    <w:rsid w:val="00201192"/>
    <w:rsid w:val="00203356"/>
    <w:rsid w:val="00212528"/>
    <w:rsid w:val="00216F83"/>
    <w:rsid w:val="0021741B"/>
    <w:rsid w:val="002218D4"/>
    <w:rsid w:val="00232E91"/>
    <w:rsid w:val="00235C86"/>
    <w:rsid w:val="002432B5"/>
    <w:rsid w:val="002451EB"/>
    <w:rsid w:val="00247109"/>
    <w:rsid w:val="00253113"/>
    <w:rsid w:val="0025605A"/>
    <w:rsid w:val="00260E5E"/>
    <w:rsid w:val="002634B9"/>
    <w:rsid w:val="00270F21"/>
    <w:rsid w:val="00273358"/>
    <w:rsid w:val="00273B21"/>
    <w:rsid w:val="002752F5"/>
    <w:rsid w:val="002821AA"/>
    <w:rsid w:val="002834D3"/>
    <w:rsid w:val="00291F0F"/>
    <w:rsid w:val="00294AA0"/>
    <w:rsid w:val="002B073C"/>
    <w:rsid w:val="002B2E38"/>
    <w:rsid w:val="002C3132"/>
    <w:rsid w:val="002C3235"/>
    <w:rsid w:val="002D0DA9"/>
    <w:rsid w:val="002D4691"/>
    <w:rsid w:val="002E064E"/>
    <w:rsid w:val="002E0F41"/>
    <w:rsid w:val="002E550A"/>
    <w:rsid w:val="002F1BEB"/>
    <w:rsid w:val="002F4603"/>
    <w:rsid w:val="002F6320"/>
    <w:rsid w:val="00300F13"/>
    <w:rsid w:val="00315AC8"/>
    <w:rsid w:val="00321928"/>
    <w:rsid w:val="00324BA8"/>
    <w:rsid w:val="00330B0F"/>
    <w:rsid w:val="00340A82"/>
    <w:rsid w:val="00343C9F"/>
    <w:rsid w:val="00351B36"/>
    <w:rsid w:val="0035308D"/>
    <w:rsid w:val="0036259D"/>
    <w:rsid w:val="003627CE"/>
    <w:rsid w:val="003638FD"/>
    <w:rsid w:val="0036495E"/>
    <w:rsid w:val="00370C06"/>
    <w:rsid w:val="00374049"/>
    <w:rsid w:val="003763CC"/>
    <w:rsid w:val="00377B0A"/>
    <w:rsid w:val="003823DA"/>
    <w:rsid w:val="003917EA"/>
    <w:rsid w:val="00393908"/>
    <w:rsid w:val="00395817"/>
    <w:rsid w:val="003A2C9B"/>
    <w:rsid w:val="003A5A8F"/>
    <w:rsid w:val="003A64BC"/>
    <w:rsid w:val="003B16A7"/>
    <w:rsid w:val="003B6C94"/>
    <w:rsid w:val="003D1F39"/>
    <w:rsid w:val="003D23C2"/>
    <w:rsid w:val="003D63EA"/>
    <w:rsid w:val="003D7CA2"/>
    <w:rsid w:val="003E38D2"/>
    <w:rsid w:val="003E7070"/>
    <w:rsid w:val="003F267E"/>
    <w:rsid w:val="003F7CF1"/>
    <w:rsid w:val="00401819"/>
    <w:rsid w:val="00412220"/>
    <w:rsid w:val="004162CC"/>
    <w:rsid w:val="004208C1"/>
    <w:rsid w:val="00421012"/>
    <w:rsid w:val="00422D8D"/>
    <w:rsid w:val="00423B09"/>
    <w:rsid w:val="0042533A"/>
    <w:rsid w:val="004301E9"/>
    <w:rsid w:val="004409C9"/>
    <w:rsid w:val="00441C2F"/>
    <w:rsid w:val="004440EF"/>
    <w:rsid w:val="0045778B"/>
    <w:rsid w:val="00461275"/>
    <w:rsid w:val="00463226"/>
    <w:rsid w:val="00464945"/>
    <w:rsid w:val="00484159"/>
    <w:rsid w:val="00484912"/>
    <w:rsid w:val="00484AB4"/>
    <w:rsid w:val="004912A9"/>
    <w:rsid w:val="004919D3"/>
    <w:rsid w:val="004919F3"/>
    <w:rsid w:val="004A2D4F"/>
    <w:rsid w:val="004A4684"/>
    <w:rsid w:val="004A474C"/>
    <w:rsid w:val="004A4AAB"/>
    <w:rsid w:val="004B1628"/>
    <w:rsid w:val="004B2966"/>
    <w:rsid w:val="004B5146"/>
    <w:rsid w:val="004C24E2"/>
    <w:rsid w:val="004C54EB"/>
    <w:rsid w:val="004D686D"/>
    <w:rsid w:val="004E2746"/>
    <w:rsid w:val="004E2DA3"/>
    <w:rsid w:val="004F056E"/>
    <w:rsid w:val="004F31AE"/>
    <w:rsid w:val="004F79CB"/>
    <w:rsid w:val="00507A85"/>
    <w:rsid w:val="00515FAE"/>
    <w:rsid w:val="00517057"/>
    <w:rsid w:val="005173C1"/>
    <w:rsid w:val="00521320"/>
    <w:rsid w:val="005218C5"/>
    <w:rsid w:val="005256FD"/>
    <w:rsid w:val="0052593E"/>
    <w:rsid w:val="00540FAB"/>
    <w:rsid w:val="005412FA"/>
    <w:rsid w:val="00546226"/>
    <w:rsid w:val="0054633A"/>
    <w:rsid w:val="00552026"/>
    <w:rsid w:val="00552CFB"/>
    <w:rsid w:val="0055458C"/>
    <w:rsid w:val="00557FE3"/>
    <w:rsid w:val="00561B54"/>
    <w:rsid w:val="00565C3D"/>
    <w:rsid w:val="005671F8"/>
    <w:rsid w:val="0058730C"/>
    <w:rsid w:val="00594700"/>
    <w:rsid w:val="00595F9E"/>
    <w:rsid w:val="005A452A"/>
    <w:rsid w:val="005A6174"/>
    <w:rsid w:val="005A6C02"/>
    <w:rsid w:val="005A7662"/>
    <w:rsid w:val="005B3078"/>
    <w:rsid w:val="005B30BA"/>
    <w:rsid w:val="005C4206"/>
    <w:rsid w:val="005C64CB"/>
    <w:rsid w:val="005D6A46"/>
    <w:rsid w:val="005E1586"/>
    <w:rsid w:val="005E5384"/>
    <w:rsid w:val="005E6C33"/>
    <w:rsid w:val="00601F12"/>
    <w:rsid w:val="00606BDB"/>
    <w:rsid w:val="006072F3"/>
    <w:rsid w:val="00614A8C"/>
    <w:rsid w:val="00615ABB"/>
    <w:rsid w:val="00615D13"/>
    <w:rsid w:val="006319DE"/>
    <w:rsid w:val="0063266C"/>
    <w:rsid w:val="00635DE7"/>
    <w:rsid w:val="00636C21"/>
    <w:rsid w:val="00645703"/>
    <w:rsid w:val="006519D0"/>
    <w:rsid w:val="0065233B"/>
    <w:rsid w:val="00657B95"/>
    <w:rsid w:val="0066291F"/>
    <w:rsid w:val="006706D5"/>
    <w:rsid w:val="006743E4"/>
    <w:rsid w:val="00676444"/>
    <w:rsid w:val="00680DC2"/>
    <w:rsid w:val="00682A20"/>
    <w:rsid w:val="00683348"/>
    <w:rsid w:val="00683EC7"/>
    <w:rsid w:val="00684943"/>
    <w:rsid w:val="0068653D"/>
    <w:rsid w:val="006903CB"/>
    <w:rsid w:val="006A18A5"/>
    <w:rsid w:val="006A2CC9"/>
    <w:rsid w:val="006A7B69"/>
    <w:rsid w:val="006B7FB2"/>
    <w:rsid w:val="006C3F85"/>
    <w:rsid w:val="006C46D9"/>
    <w:rsid w:val="006C73FA"/>
    <w:rsid w:val="006D1E62"/>
    <w:rsid w:val="006D2810"/>
    <w:rsid w:val="006D4B24"/>
    <w:rsid w:val="006E07CF"/>
    <w:rsid w:val="006F165D"/>
    <w:rsid w:val="006F2FBC"/>
    <w:rsid w:val="006F51A4"/>
    <w:rsid w:val="006F698D"/>
    <w:rsid w:val="00700C7A"/>
    <w:rsid w:val="00701721"/>
    <w:rsid w:val="0070799B"/>
    <w:rsid w:val="00710BD6"/>
    <w:rsid w:val="00715F4F"/>
    <w:rsid w:val="00722DA4"/>
    <w:rsid w:val="00736907"/>
    <w:rsid w:val="007444BF"/>
    <w:rsid w:val="00752AB6"/>
    <w:rsid w:val="00754C28"/>
    <w:rsid w:val="00761771"/>
    <w:rsid w:val="00770750"/>
    <w:rsid w:val="00783855"/>
    <w:rsid w:val="00791E3D"/>
    <w:rsid w:val="007A06E9"/>
    <w:rsid w:val="007B4BED"/>
    <w:rsid w:val="007C400D"/>
    <w:rsid w:val="007C5F8E"/>
    <w:rsid w:val="007C61D2"/>
    <w:rsid w:val="007C6436"/>
    <w:rsid w:val="007D14FC"/>
    <w:rsid w:val="007D5F23"/>
    <w:rsid w:val="007D6A39"/>
    <w:rsid w:val="007F1917"/>
    <w:rsid w:val="007F4067"/>
    <w:rsid w:val="007F4F3B"/>
    <w:rsid w:val="007F5CB0"/>
    <w:rsid w:val="00805C67"/>
    <w:rsid w:val="00810EA6"/>
    <w:rsid w:val="00811693"/>
    <w:rsid w:val="0082179D"/>
    <w:rsid w:val="00824A11"/>
    <w:rsid w:val="00831CF2"/>
    <w:rsid w:val="00832F58"/>
    <w:rsid w:val="00833830"/>
    <w:rsid w:val="0083712F"/>
    <w:rsid w:val="008421F5"/>
    <w:rsid w:val="00846671"/>
    <w:rsid w:val="008513CE"/>
    <w:rsid w:val="0086394E"/>
    <w:rsid w:val="00872B80"/>
    <w:rsid w:val="00876F92"/>
    <w:rsid w:val="00882E1E"/>
    <w:rsid w:val="0088489C"/>
    <w:rsid w:val="0089466A"/>
    <w:rsid w:val="00894FDE"/>
    <w:rsid w:val="00895097"/>
    <w:rsid w:val="008A0FD7"/>
    <w:rsid w:val="008A7074"/>
    <w:rsid w:val="008A70B6"/>
    <w:rsid w:val="008B18A6"/>
    <w:rsid w:val="008B3704"/>
    <w:rsid w:val="008B38B5"/>
    <w:rsid w:val="008C1939"/>
    <w:rsid w:val="008C5145"/>
    <w:rsid w:val="008C5B7B"/>
    <w:rsid w:val="008D0703"/>
    <w:rsid w:val="008D4206"/>
    <w:rsid w:val="008E7988"/>
    <w:rsid w:val="008F2688"/>
    <w:rsid w:val="008F4860"/>
    <w:rsid w:val="008F72C7"/>
    <w:rsid w:val="00906124"/>
    <w:rsid w:val="009160E8"/>
    <w:rsid w:val="00921B6F"/>
    <w:rsid w:val="00922E01"/>
    <w:rsid w:val="00931229"/>
    <w:rsid w:val="009374C9"/>
    <w:rsid w:val="00944000"/>
    <w:rsid w:val="00944BC4"/>
    <w:rsid w:val="0095203A"/>
    <w:rsid w:val="00952176"/>
    <w:rsid w:val="0096252E"/>
    <w:rsid w:val="009738AC"/>
    <w:rsid w:val="00976BB3"/>
    <w:rsid w:val="00987EAA"/>
    <w:rsid w:val="009919E5"/>
    <w:rsid w:val="009A6144"/>
    <w:rsid w:val="009B62DA"/>
    <w:rsid w:val="009C1A92"/>
    <w:rsid w:val="009D2968"/>
    <w:rsid w:val="009D6244"/>
    <w:rsid w:val="009E2B8A"/>
    <w:rsid w:val="009E372A"/>
    <w:rsid w:val="00A04010"/>
    <w:rsid w:val="00A06DA3"/>
    <w:rsid w:val="00A06E27"/>
    <w:rsid w:val="00A103BA"/>
    <w:rsid w:val="00A10B1C"/>
    <w:rsid w:val="00A1654E"/>
    <w:rsid w:val="00A20216"/>
    <w:rsid w:val="00A22E91"/>
    <w:rsid w:val="00A2302C"/>
    <w:rsid w:val="00A23A05"/>
    <w:rsid w:val="00A25062"/>
    <w:rsid w:val="00A320F5"/>
    <w:rsid w:val="00A347F9"/>
    <w:rsid w:val="00A40669"/>
    <w:rsid w:val="00A40779"/>
    <w:rsid w:val="00A45027"/>
    <w:rsid w:val="00A45353"/>
    <w:rsid w:val="00A5358C"/>
    <w:rsid w:val="00A6129D"/>
    <w:rsid w:val="00A66D2C"/>
    <w:rsid w:val="00A70675"/>
    <w:rsid w:val="00A71682"/>
    <w:rsid w:val="00A72F70"/>
    <w:rsid w:val="00A84581"/>
    <w:rsid w:val="00A910BF"/>
    <w:rsid w:val="00A956A3"/>
    <w:rsid w:val="00A96254"/>
    <w:rsid w:val="00AA5877"/>
    <w:rsid w:val="00AB2DC3"/>
    <w:rsid w:val="00AB4725"/>
    <w:rsid w:val="00AB73F9"/>
    <w:rsid w:val="00AC0DCD"/>
    <w:rsid w:val="00AC1521"/>
    <w:rsid w:val="00AD1D8B"/>
    <w:rsid w:val="00AD620F"/>
    <w:rsid w:val="00AE3C59"/>
    <w:rsid w:val="00AF1A56"/>
    <w:rsid w:val="00AF2AAC"/>
    <w:rsid w:val="00AF3400"/>
    <w:rsid w:val="00AF4111"/>
    <w:rsid w:val="00B062E7"/>
    <w:rsid w:val="00B1553D"/>
    <w:rsid w:val="00B16362"/>
    <w:rsid w:val="00B21F02"/>
    <w:rsid w:val="00B31908"/>
    <w:rsid w:val="00B32026"/>
    <w:rsid w:val="00B34B24"/>
    <w:rsid w:val="00B44321"/>
    <w:rsid w:val="00B5357E"/>
    <w:rsid w:val="00B554E8"/>
    <w:rsid w:val="00B56975"/>
    <w:rsid w:val="00B56E6D"/>
    <w:rsid w:val="00B57DC2"/>
    <w:rsid w:val="00B6054E"/>
    <w:rsid w:val="00B6471F"/>
    <w:rsid w:val="00B66AFD"/>
    <w:rsid w:val="00B67105"/>
    <w:rsid w:val="00B7102A"/>
    <w:rsid w:val="00B741D8"/>
    <w:rsid w:val="00B90A79"/>
    <w:rsid w:val="00B94718"/>
    <w:rsid w:val="00BA093F"/>
    <w:rsid w:val="00BA1986"/>
    <w:rsid w:val="00BA567C"/>
    <w:rsid w:val="00BB2C4B"/>
    <w:rsid w:val="00BC0FC4"/>
    <w:rsid w:val="00BC4E4F"/>
    <w:rsid w:val="00BC5620"/>
    <w:rsid w:val="00BC5F42"/>
    <w:rsid w:val="00BC64D0"/>
    <w:rsid w:val="00BD0CEF"/>
    <w:rsid w:val="00BE022A"/>
    <w:rsid w:val="00BE1767"/>
    <w:rsid w:val="00BE5928"/>
    <w:rsid w:val="00BF1055"/>
    <w:rsid w:val="00BF2490"/>
    <w:rsid w:val="00BF3A15"/>
    <w:rsid w:val="00BF3D58"/>
    <w:rsid w:val="00BF7ECA"/>
    <w:rsid w:val="00C14E1C"/>
    <w:rsid w:val="00C1611D"/>
    <w:rsid w:val="00C22EAB"/>
    <w:rsid w:val="00C23E5C"/>
    <w:rsid w:val="00C40F1A"/>
    <w:rsid w:val="00C43124"/>
    <w:rsid w:val="00C43BC7"/>
    <w:rsid w:val="00C51BF9"/>
    <w:rsid w:val="00C52D40"/>
    <w:rsid w:val="00C535EA"/>
    <w:rsid w:val="00C57724"/>
    <w:rsid w:val="00C637E8"/>
    <w:rsid w:val="00C67FDF"/>
    <w:rsid w:val="00C7363C"/>
    <w:rsid w:val="00C73B62"/>
    <w:rsid w:val="00C75555"/>
    <w:rsid w:val="00C81C74"/>
    <w:rsid w:val="00C868B2"/>
    <w:rsid w:val="00C90780"/>
    <w:rsid w:val="00C93202"/>
    <w:rsid w:val="00C94607"/>
    <w:rsid w:val="00CA06FA"/>
    <w:rsid w:val="00CA6BE5"/>
    <w:rsid w:val="00CB3602"/>
    <w:rsid w:val="00CC0EAA"/>
    <w:rsid w:val="00CE0E6E"/>
    <w:rsid w:val="00CE5657"/>
    <w:rsid w:val="00CE5E50"/>
    <w:rsid w:val="00CE658C"/>
    <w:rsid w:val="00CF6EB3"/>
    <w:rsid w:val="00D11E82"/>
    <w:rsid w:val="00D176D9"/>
    <w:rsid w:val="00D210D3"/>
    <w:rsid w:val="00D210EA"/>
    <w:rsid w:val="00D24910"/>
    <w:rsid w:val="00D27CE3"/>
    <w:rsid w:val="00D30D69"/>
    <w:rsid w:val="00D36B1C"/>
    <w:rsid w:val="00D437C2"/>
    <w:rsid w:val="00D62537"/>
    <w:rsid w:val="00D71EAA"/>
    <w:rsid w:val="00D731C7"/>
    <w:rsid w:val="00D837E9"/>
    <w:rsid w:val="00D9238A"/>
    <w:rsid w:val="00D94FF3"/>
    <w:rsid w:val="00D95E5B"/>
    <w:rsid w:val="00D977FF"/>
    <w:rsid w:val="00DB3482"/>
    <w:rsid w:val="00DB4C05"/>
    <w:rsid w:val="00DB5B4A"/>
    <w:rsid w:val="00DB76C2"/>
    <w:rsid w:val="00DC412F"/>
    <w:rsid w:val="00DC7C69"/>
    <w:rsid w:val="00DD01C8"/>
    <w:rsid w:val="00DD2F70"/>
    <w:rsid w:val="00DE55F4"/>
    <w:rsid w:val="00DE7497"/>
    <w:rsid w:val="00DF09CF"/>
    <w:rsid w:val="00DF2127"/>
    <w:rsid w:val="00E102EF"/>
    <w:rsid w:val="00E161A3"/>
    <w:rsid w:val="00E20A6F"/>
    <w:rsid w:val="00E23CB2"/>
    <w:rsid w:val="00E263D3"/>
    <w:rsid w:val="00E307FC"/>
    <w:rsid w:val="00E336C7"/>
    <w:rsid w:val="00E40935"/>
    <w:rsid w:val="00E4540A"/>
    <w:rsid w:val="00E54A24"/>
    <w:rsid w:val="00E5782C"/>
    <w:rsid w:val="00E57A7F"/>
    <w:rsid w:val="00E64AA3"/>
    <w:rsid w:val="00E67A1B"/>
    <w:rsid w:val="00E77597"/>
    <w:rsid w:val="00E83563"/>
    <w:rsid w:val="00E84C83"/>
    <w:rsid w:val="00E86B63"/>
    <w:rsid w:val="00E90045"/>
    <w:rsid w:val="00E91002"/>
    <w:rsid w:val="00E91E74"/>
    <w:rsid w:val="00EA4A3A"/>
    <w:rsid w:val="00EA4CDA"/>
    <w:rsid w:val="00EA778C"/>
    <w:rsid w:val="00EB0478"/>
    <w:rsid w:val="00EB07F8"/>
    <w:rsid w:val="00EB6C1D"/>
    <w:rsid w:val="00EB7AF7"/>
    <w:rsid w:val="00EC16B7"/>
    <w:rsid w:val="00EC5A18"/>
    <w:rsid w:val="00ED565D"/>
    <w:rsid w:val="00ED651F"/>
    <w:rsid w:val="00ED7556"/>
    <w:rsid w:val="00ED7BAC"/>
    <w:rsid w:val="00EE2D0F"/>
    <w:rsid w:val="00EE36BB"/>
    <w:rsid w:val="00EE779C"/>
    <w:rsid w:val="00EF22D5"/>
    <w:rsid w:val="00EF5174"/>
    <w:rsid w:val="00F01F62"/>
    <w:rsid w:val="00F06516"/>
    <w:rsid w:val="00F07288"/>
    <w:rsid w:val="00F073D5"/>
    <w:rsid w:val="00F21C7E"/>
    <w:rsid w:val="00F23291"/>
    <w:rsid w:val="00F27EBA"/>
    <w:rsid w:val="00F31F82"/>
    <w:rsid w:val="00F40A0F"/>
    <w:rsid w:val="00F4565D"/>
    <w:rsid w:val="00F5219E"/>
    <w:rsid w:val="00F53989"/>
    <w:rsid w:val="00F545D9"/>
    <w:rsid w:val="00F60A45"/>
    <w:rsid w:val="00F628C3"/>
    <w:rsid w:val="00F63281"/>
    <w:rsid w:val="00F83680"/>
    <w:rsid w:val="00FA0479"/>
    <w:rsid w:val="00FA62BC"/>
    <w:rsid w:val="00FA7EBD"/>
    <w:rsid w:val="00FB0563"/>
    <w:rsid w:val="00FB4FC3"/>
    <w:rsid w:val="00FB6110"/>
    <w:rsid w:val="00FD0D44"/>
    <w:rsid w:val="00FD385B"/>
    <w:rsid w:val="00FD3978"/>
    <w:rsid w:val="00FE0BDA"/>
    <w:rsid w:val="00FE5A48"/>
    <w:rsid w:val="00FF1AFF"/>
    <w:rsid w:val="00FF4742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F0F7-D77E-403A-9C98-69A5D3B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58C"/>
  </w:style>
  <w:style w:type="paragraph" w:styleId="Fuzeile">
    <w:name w:val="footer"/>
    <w:basedOn w:val="Standard"/>
    <w:link w:val="FuzeileZchn"/>
    <w:uiPriority w:val="99"/>
    <w:unhideWhenUsed/>
    <w:rsid w:val="00CE6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linik.uni-wuerzburg.de\groups\STRTHE\all\Anwender-%20und%20Personenbezogen\Lisowski\Neuer%20Ordner\Datenmatrix_29.07.21_&#196;nderunge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de-DE" sz="160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comparison of </a:t>
            </a:r>
            <a:r>
              <a:rPr lang="de-DE" sz="1600" b="1" i="0" u="none" strike="noStrike" cap="all" normalizeH="0" baseline="0">
                <a:solidFill>
                  <a:schemeClr val="tx1">
                    <a:lumMod val="50000"/>
                    <a:lumOff val="50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QLQ-BN20 Scales</a:t>
            </a:r>
            <a:endParaRPr lang="de-DE" sz="160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This study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Auswertung'!$A$23:$A$33</c:f>
              <c:strCache>
                <c:ptCount val="11"/>
                <c:pt idx="0">
                  <c:v>BNFU</c:v>
                </c:pt>
                <c:pt idx="1">
                  <c:v>BNVD</c:v>
                </c:pt>
                <c:pt idx="2">
                  <c:v>BNMD</c:v>
                </c:pt>
                <c:pt idx="3">
                  <c:v>BNCD</c:v>
                </c:pt>
                <c:pt idx="4">
                  <c:v>BNHA</c:v>
                </c:pt>
                <c:pt idx="5">
                  <c:v>BNSE</c:v>
                </c:pt>
                <c:pt idx="6">
                  <c:v>BNDR</c:v>
                </c:pt>
                <c:pt idx="7">
                  <c:v>BNIS</c:v>
                </c:pt>
                <c:pt idx="8">
                  <c:v>BNHL</c:v>
                </c:pt>
                <c:pt idx="9">
                  <c:v>BNWL</c:v>
                </c:pt>
                <c:pt idx="10">
                  <c:v>BNBC</c:v>
                </c:pt>
              </c:strCache>
            </c:strRef>
          </c:cat>
          <c:val>
            <c:numRef>
              <c:f>'QoL Auswertung'!$B$23:$B$33</c:f>
              <c:numCache>
                <c:formatCode>0.0</c:formatCode>
                <c:ptCount val="11"/>
                <c:pt idx="0">
                  <c:v>37.9</c:v>
                </c:pt>
                <c:pt idx="1">
                  <c:v>21.3</c:v>
                </c:pt>
                <c:pt idx="2">
                  <c:v>29.5</c:v>
                </c:pt>
                <c:pt idx="3">
                  <c:v>22.2</c:v>
                </c:pt>
                <c:pt idx="4">
                  <c:v>29.3</c:v>
                </c:pt>
                <c:pt idx="5">
                  <c:v>6.1</c:v>
                </c:pt>
                <c:pt idx="6">
                  <c:v>42.2</c:v>
                </c:pt>
                <c:pt idx="7">
                  <c:v>19</c:v>
                </c:pt>
                <c:pt idx="8">
                  <c:v>19</c:v>
                </c:pt>
                <c:pt idx="9">
                  <c:v>30.6</c:v>
                </c:pt>
                <c:pt idx="10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6-4630-9D16-8D7621FBE846}"/>
            </c:ext>
          </c:extLst>
        </c:ser>
        <c:ser>
          <c:idx val="1"/>
          <c:order val="1"/>
          <c:tx>
            <c:v>Erharter et al.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Auswertung'!$A$23:$A$33</c:f>
              <c:strCache>
                <c:ptCount val="11"/>
                <c:pt idx="0">
                  <c:v>BNFU</c:v>
                </c:pt>
                <c:pt idx="1">
                  <c:v>BNVD</c:v>
                </c:pt>
                <c:pt idx="2">
                  <c:v>BNMD</c:v>
                </c:pt>
                <c:pt idx="3">
                  <c:v>BNCD</c:v>
                </c:pt>
                <c:pt idx="4">
                  <c:v>BNHA</c:v>
                </c:pt>
                <c:pt idx="5">
                  <c:v>BNSE</c:v>
                </c:pt>
                <c:pt idx="6">
                  <c:v>BNDR</c:v>
                </c:pt>
                <c:pt idx="7">
                  <c:v>BNIS</c:v>
                </c:pt>
                <c:pt idx="8">
                  <c:v>BNHL</c:v>
                </c:pt>
                <c:pt idx="9">
                  <c:v>BNWL</c:v>
                </c:pt>
                <c:pt idx="10">
                  <c:v>BNBC</c:v>
                </c:pt>
              </c:strCache>
            </c:strRef>
          </c:cat>
          <c:val>
            <c:numRef>
              <c:f>'QoL Auswertung'!$Q$23:$Q$33</c:f>
              <c:numCache>
                <c:formatCode>0.0</c:formatCode>
                <c:ptCount val="11"/>
                <c:pt idx="0">
                  <c:v>25.5</c:v>
                </c:pt>
                <c:pt idx="1">
                  <c:v>11.2</c:v>
                </c:pt>
                <c:pt idx="2">
                  <c:v>15.9</c:v>
                </c:pt>
                <c:pt idx="3">
                  <c:v>20.8</c:v>
                </c:pt>
                <c:pt idx="4">
                  <c:v>30.3</c:v>
                </c:pt>
                <c:pt idx="5">
                  <c:v>10</c:v>
                </c:pt>
                <c:pt idx="6">
                  <c:v>28.7</c:v>
                </c:pt>
                <c:pt idx="7">
                  <c:v>10.9</c:v>
                </c:pt>
                <c:pt idx="8">
                  <c:v>7.3</c:v>
                </c:pt>
                <c:pt idx="9">
                  <c:v>16.2</c:v>
                </c:pt>
                <c:pt idx="10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D6-4630-9D16-8D7621FBE846}"/>
            </c:ext>
          </c:extLst>
        </c:ser>
        <c:ser>
          <c:idx val="2"/>
          <c:order val="2"/>
          <c:tx>
            <c:v>Shin et al.</c:v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'QoL Auswertung'!$A$23:$A$33</c:f>
              <c:strCache>
                <c:ptCount val="11"/>
                <c:pt idx="0">
                  <c:v>BNFU</c:v>
                </c:pt>
                <c:pt idx="1">
                  <c:v>BNVD</c:v>
                </c:pt>
                <c:pt idx="2">
                  <c:v>BNMD</c:v>
                </c:pt>
                <c:pt idx="3">
                  <c:v>BNCD</c:v>
                </c:pt>
                <c:pt idx="4">
                  <c:v>BNHA</c:v>
                </c:pt>
                <c:pt idx="5">
                  <c:v>BNSE</c:v>
                </c:pt>
                <c:pt idx="6">
                  <c:v>BNDR</c:v>
                </c:pt>
                <c:pt idx="7">
                  <c:v>BNIS</c:v>
                </c:pt>
                <c:pt idx="8">
                  <c:v>BNHL</c:v>
                </c:pt>
                <c:pt idx="9">
                  <c:v>BNWL</c:v>
                </c:pt>
                <c:pt idx="10">
                  <c:v>BNBC</c:v>
                </c:pt>
              </c:strCache>
            </c:strRef>
          </c:cat>
          <c:val>
            <c:numRef>
              <c:f>'QoL Auswertung'!$AK$23:$AK$26</c:f>
              <c:numCache>
                <c:formatCode>General</c:formatCode>
                <c:ptCount val="4"/>
                <c:pt idx="0">
                  <c:v>28.2</c:v>
                </c:pt>
                <c:pt idx="1">
                  <c:v>30.6</c:v>
                </c:pt>
                <c:pt idx="2">
                  <c:v>23.4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D6-4630-9D16-8D7621FBE8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68957824"/>
        <c:axId val="168959360"/>
      </c:barChart>
      <c:catAx>
        <c:axId val="168957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solidFill>
            <a:sysClr val="window" lastClr="FFFFFF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all" spc="120" normalizeH="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8959360"/>
        <c:crosses val="autoZero"/>
        <c:auto val="1"/>
        <c:lblAlgn val="ctr"/>
        <c:lblOffset val="100"/>
        <c:noMultiLvlLbl val="0"/>
      </c:catAx>
      <c:valAx>
        <c:axId val="168959360"/>
        <c:scaling>
          <c:orientation val="minMax"/>
          <c:max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de-DE" sz="140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POINTS</a:t>
                </a:r>
              </a:p>
            </c:rich>
          </c:tx>
          <c:layout>
            <c:manualLayout>
              <c:xMode val="edge"/>
              <c:yMode val="edge"/>
              <c:x val="9.8741242329947049E-3"/>
              <c:y val="0.436911608034054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de-DE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89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0.45517</cdr:x>
      <cdr:y>0.88242</cdr:y>
    </cdr:from>
    <cdr:to>
      <cdr:x>0.48691</cdr:x>
      <cdr:y>0.93108</cdr:y>
    </cdr:to>
    <cdr:sp macro="" textlink="">
      <cdr:nvSpPr>
        <cdr:cNvPr id="2" name="Textfeld 1"/>
        <cdr:cNvSpPr txBox="1"/>
      </cdr:nvSpPr>
      <cdr:spPr>
        <a:xfrm xmlns:a="http://schemas.openxmlformats.org/drawingml/2006/main">
          <a:off x="4111779" y="4725312"/>
          <a:ext cx="286724" cy="2605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0.53665</cdr:x>
      <cdr:y>0.88167</cdr:y>
    </cdr:from>
    <cdr:to>
      <cdr:x>0.56839</cdr:x>
      <cdr:y>0.93034</cdr:y>
    </cdr:to>
    <cdr:sp macro="" textlink="">
      <cdr:nvSpPr>
        <cdr:cNvPr id="3" name="Textfeld 1"/>
        <cdr:cNvSpPr txBox="1"/>
      </cdr:nvSpPr>
      <cdr:spPr>
        <a:xfrm xmlns:a="http://schemas.openxmlformats.org/drawingml/2006/main">
          <a:off x="4847830" y="4721296"/>
          <a:ext cx="286723" cy="260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0.61932</cdr:x>
      <cdr:y>0.8811</cdr:y>
    </cdr:from>
    <cdr:to>
      <cdr:x>0.65106</cdr:x>
      <cdr:y>0.92977</cdr:y>
    </cdr:to>
    <cdr:sp macro="" textlink="">
      <cdr:nvSpPr>
        <cdr:cNvPr id="4" name="Textfeld 1"/>
        <cdr:cNvSpPr txBox="1"/>
      </cdr:nvSpPr>
      <cdr:spPr>
        <a:xfrm xmlns:a="http://schemas.openxmlformats.org/drawingml/2006/main">
          <a:off x="5594630" y="4718244"/>
          <a:ext cx="286724" cy="260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0.70126</cdr:x>
      <cdr:y>0.8811</cdr:y>
    </cdr:from>
    <cdr:to>
      <cdr:x>0.733</cdr:x>
      <cdr:y>0.92977</cdr:y>
    </cdr:to>
    <cdr:sp macro="" textlink="">
      <cdr:nvSpPr>
        <cdr:cNvPr id="5" name="Textfeld 1"/>
        <cdr:cNvSpPr txBox="1"/>
      </cdr:nvSpPr>
      <cdr:spPr>
        <a:xfrm xmlns:a="http://schemas.openxmlformats.org/drawingml/2006/main">
          <a:off x="6334836" y="4718244"/>
          <a:ext cx="286723" cy="260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0.78287</cdr:x>
      <cdr:y>0.88349</cdr:y>
    </cdr:from>
    <cdr:to>
      <cdr:x>0.81461</cdr:x>
      <cdr:y>0.93215</cdr:y>
    </cdr:to>
    <cdr:sp macro="" textlink="">
      <cdr:nvSpPr>
        <cdr:cNvPr id="6" name="Textfeld 1"/>
        <cdr:cNvSpPr txBox="1"/>
      </cdr:nvSpPr>
      <cdr:spPr>
        <a:xfrm xmlns:a="http://schemas.openxmlformats.org/drawingml/2006/main">
          <a:off x="7072060" y="4731042"/>
          <a:ext cx="286724" cy="260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0.86383</cdr:x>
      <cdr:y>0.88267</cdr:y>
    </cdr:from>
    <cdr:to>
      <cdr:x>0.89557</cdr:x>
      <cdr:y>0.93133</cdr:y>
    </cdr:to>
    <cdr:sp macro="" textlink="">
      <cdr:nvSpPr>
        <cdr:cNvPr id="7" name="Textfeld 1"/>
        <cdr:cNvSpPr txBox="1"/>
      </cdr:nvSpPr>
      <cdr:spPr>
        <a:xfrm xmlns:a="http://schemas.openxmlformats.org/drawingml/2006/main">
          <a:off x="7803413" y="4726651"/>
          <a:ext cx="286724" cy="260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  <cdr:relSizeAnchor xmlns:cdr="http://schemas.openxmlformats.org/drawingml/2006/chartDrawing">
    <cdr:from>
      <cdr:x>0.94518</cdr:x>
      <cdr:y>0.88117</cdr:y>
    </cdr:from>
    <cdr:to>
      <cdr:x>0.97692</cdr:x>
      <cdr:y>0.92983</cdr:y>
    </cdr:to>
    <cdr:sp macro="" textlink="">
      <cdr:nvSpPr>
        <cdr:cNvPr id="8" name="Textfeld 1"/>
        <cdr:cNvSpPr txBox="1"/>
      </cdr:nvSpPr>
      <cdr:spPr>
        <a:xfrm xmlns:a="http://schemas.openxmlformats.org/drawingml/2006/main">
          <a:off x="8538289" y="4718619"/>
          <a:ext cx="286724" cy="260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1600" b="1">
              <a:solidFill>
                <a:schemeClr val="tx1">
                  <a:lumMod val="50000"/>
                  <a:lumOff val="50000"/>
                </a:schemeClr>
              </a:solidFill>
            </a:rPr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377E-EAB5-4F8A-98E8-EA3DC54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Dominik</dc:creator>
  <cp:keywords/>
  <dc:description/>
  <cp:lastModifiedBy>Lisowski, Dominik</cp:lastModifiedBy>
  <cp:revision>7</cp:revision>
  <dcterms:created xsi:type="dcterms:W3CDTF">2021-08-27T07:08:00Z</dcterms:created>
  <dcterms:modified xsi:type="dcterms:W3CDTF">2021-11-26T15:07:00Z</dcterms:modified>
</cp:coreProperties>
</file>