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7C" w:rsidRPr="00815B31" w:rsidRDefault="0019237C" w:rsidP="0019237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15B31">
        <w:rPr>
          <w:rFonts w:ascii="Times New Roman" w:hAnsi="Times New Roman" w:cs="Times New Roman"/>
          <w:b/>
          <w:sz w:val="36"/>
          <w:szCs w:val="36"/>
          <w:lang w:val="en-US"/>
        </w:rPr>
        <w:t>Supplementary materials</w:t>
      </w:r>
    </w:p>
    <w:p w:rsidR="00E45A53" w:rsidRPr="00B3477A" w:rsidRDefault="00E45A53" w:rsidP="00FA19F8">
      <w:pPr>
        <w:jc w:val="both"/>
        <w:rPr>
          <w:rFonts w:ascii="Times New Roman" w:hAnsi="Times New Roman" w:cs="Times New Roman"/>
          <w:lang w:val="en-US"/>
        </w:rPr>
      </w:pPr>
      <w:r w:rsidRPr="00E45A53">
        <w:rPr>
          <w:rFonts w:ascii="Times New Roman" w:hAnsi="Times New Roman" w:cs="Times New Roman"/>
          <w:b/>
          <w:lang w:val="en-US"/>
        </w:rPr>
        <w:t>Supplementary Table 1.</w:t>
      </w:r>
      <w:r w:rsidRPr="000C300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Characteristics of </w:t>
      </w:r>
      <w:r w:rsidR="00CE7616">
        <w:rPr>
          <w:rFonts w:ascii="Times New Roman" w:hAnsi="Times New Roman" w:cs="Times New Roman"/>
          <w:lang w:val="en-US"/>
        </w:rPr>
        <w:t>c</w:t>
      </w:r>
      <w:r w:rsidRPr="00ED30F9">
        <w:rPr>
          <w:rFonts w:ascii="Times New Roman" w:hAnsi="Times New Roman" w:cs="Times New Roman"/>
          <w:lang w:val="en-US"/>
        </w:rPr>
        <w:t>ollection sites</w:t>
      </w:r>
      <w:r>
        <w:rPr>
          <w:rFonts w:ascii="Times New Roman" w:hAnsi="Times New Roman" w:cs="Times New Roman"/>
          <w:lang w:val="en-US"/>
        </w:rPr>
        <w:t xml:space="preserve">: soil type (org.= organic, min.= mineral), soil moisture, </w:t>
      </w:r>
      <w:r w:rsidRPr="000C300D">
        <w:rPr>
          <w:rFonts w:ascii="Times New Roman" w:hAnsi="Times New Roman" w:cs="Times New Roman"/>
          <w:lang w:val="en-US"/>
        </w:rPr>
        <w:t xml:space="preserve">average </w:t>
      </w:r>
      <w:r>
        <w:rPr>
          <w:rFonts w:ascii="Times New Roman" w:hAnsi="Times New Roman" w:cs="Times New Roman"/>
          <w:lang w:val="en-US"/>
        </w:rPr>
        <w:t xml:space="preserve">concentration of </w:t>
      </w:r>
      <w:r w:rsidRPr="000C300D">
        <w:rPr>
          <w:rFonts w:ascii="Times New Roman" w:hAnsi="Times New Roman" w:cs="Times New Roman"/>
          <w:lang w:val="en-US"/>
        </w:rPr>
        <w:t xml:space="preserve">HM </w:t>
      </w:r>
      <w:r>
        <w:rPr>
          <w:rFonts w:ascii="Times New Roman" w:hAnsi="Times New Roman" w:cs="Times New Roman"/>
          <w:lang w:val="en-US"/>
        </w:rPr>
        <w:t>ions [</w:t>
      </w:r>
      <w:r w:rsidRPr="000C300D">
        <w:rPr>
          <w:rFonts w:ascii="Times New Roman" w:hAnsi="Times New Roman" w:cs="Times New Roman"/>
          <w:lang w:val="en-US"/>
        </w:rPr>
        <w:t>mg∙kg</w:t>
      </w:r>
      <w:r w:rsidRPr="000C300D"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>]</w:t>
      </w:r>
      <w:r w:rsidRPr="000C300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(*</w:t>
      </w:r>
      <w:r w:rsidRPr="00B3477A">
        <w:rPr>
          <w:rFonts w:ascii="Times New Roman" w:hAnsi="Times New Roman" w:cs="Times New Roman"/>
          <w:lang w:val="en-US"/>
        </w:rPr>
        <w:t xml:space="preserve"> data according </w:t>
      </w:r>
      <w:proofErr w:type="spellStart"/>
      <w:r w:rsidR="00360289">
        <w:rPr>
          <w:rFonts w:ascii="Times New Roman" w:hAnsi="Times New Roman" w:cs="Times New Roman"/>
          <w:lang w:val="en-US"/>
        </w:rPr>
        <w:t>Terelak</w:t>
      </w:r>
      <w:proofErr w:type="spellEnd"/>
      <w:r w:rsidR="00360289">
        <w:rPr>
          <w:rFonts w:ascii="Times New Roman" w:hAnsi="Times New Roman" w:cs="Times New Roman"/>
          <w:lang w:val="en-US"/>
        </w:rPr>
        <w:t>, 2007</w:t>
      </w:r>
      <w:r>
        <w:rPr>
          <w:rFonts w:ascii="Times New Roman" w:hAnsi="Times New Roman" w:cs="Times New Roman"/>
          <w:lang w:val="en-US"/>
        </w:rPr>
        <w:t xml:space="preserve">), type and intensity of soil usage (h.= high, m= medium, l.= low). </w:t>
      </w: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1450"/>
        <w:gridCol w:w="1063"/>
        <w:gridCol w:w="1138"/>
        <w:gridCol w:w="1144"/>
        <w:gridCol w:w="903"/>
        <w:gridCol w:w="903"/>
        <w:gridCol w:w="869"/>
        <w:gridCol w:w="2103"/>
      </w:tblGrid>
      <w:tr w:rsidR="00E45A53" w:rsidRPr="00A03FAF" w:rsidTr="00E26D84">
        <w:tc>
          <w:tcPr>
            <w:tcW w:w="145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2F6D90" w:rsidRDefault="00E45A53" w:rsidP="00E2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90">
              <w:rPr>
                <w:rFonts w:ascii="Times New Roman" w:hAnsi="Times New Roman" w:cs="Times New Roman"/>
                <w:sz w:val="20"/>
                <w:szCs w:val="20"/>
              </w:rPr>
              <w:t xml:space="preserve">Region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6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6D9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2F6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2F6D90" w:rsidRDefault="00E45A53" w:rsidP="00E2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moisture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A53" w:rsidRPr="00200514" w:rsidRDefault="00E45A53" w:rsidP="00E2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HM concentration in soil   </w:t>
            </w:r>
            <w:r w:rsidRPr="0009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[mg kg</w:t>
            </w:r>
            <w:r w:rsidRPr="0009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l-PL"/>
              </w:rPr>
              <w:t>-1</w:t>
            </w:r>
            <w:r w:rsidRPr="0009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] *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2F6D90" w:rsidRDefault="00E45A53" w:rsidP="00E2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and intensity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F6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soil usage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</w:t>
            </w:r>
            <w:r w:rsidRPr="002F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2+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</w:t>
            </w:r>
            <w:r w:rsidRPr="002F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2+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  <w:r w:rsidRPr="002F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2+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A53" w:rsidRPr="002F6D90" w:rsidRDefault="00E45A53" w:rsidP="00E26D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A53" w:rsidRPr="002F6D90" w:rsidTr="00E26D84">
        <w:tc>
          <w:tcPr>
            <w:tcW w:w="1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 (POD)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organic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high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cut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m.</w:t>
            </w:r>
          </w:p>
        </w:tc>
      </w:tr>
      <w:tr w:rsidR="00E45A53" w:rsidRPr="002F6D90" w:rsidTr="00E26D84">
        <w:tc>
          <w:tcPr>
            <w:tcW w:w="145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(MAZ)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min.- org.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grazed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h.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min.- org.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grazed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m.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min.- org.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cut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h.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min.- org.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high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none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l.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organic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grazed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m.</w:t>
            </w:r>
          </w:p>
        </w:tc>
      </w:tr>
      <w:tr w:rsidR="00C516C9" w:rsidRPr="002F6D90" w:rsidTr="00E26D84">
        <w:tc>
          <w:tcPr>
            <w:tcW w:w="1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</w:p>
        </w:tc>
        <w:tc>
          <w:tcPr>
            <w:tcW w:w="1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C11213" w:rsidRDefault="00C516C9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C11213" w:rsidRDefault="00C516C9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6C9" w:rsidRPr="00C11213" w:rsidRDefault="00C516C9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</w:p>
        </w:tc>
      </w:tr>
      <w:tr w:rsidR="00E45A53" w:rsidRPr="002F6D90" w:rsidTr="00E26D84">
        <w:tc>
          <w:tcPr>
            <w:tcW w:w="1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 (LUB)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mineral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low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none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l.</w:t>
            </w:r>
          </w:p>
        </w:tc>
      </w:tr>
      <w:tr w:rsidR="00E45A53" w:rsidRPr="002F6D90" w:rsidTr="00E26D84">
        <w:tc>
          <w:tcPr>
            <w:tcW w:w="145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Świętokrzyskie (SWK)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mineral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low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none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l.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mineral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other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l.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organic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cut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m.</w:t>
            </w:r>
          </w:p>
        </w:tc>
      </w:tr>
      <w:tr w:rsidR="00E45A53" w:rsidRPr="002F6D90" w:rsidTr="00E26D84">
        <w:tc>
          <w:tcPr>
            <w:tcW w:w="14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organic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mainly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cut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m.</w:t>
            </w:r>
          </w:p>
        </w:tc>
      </w:tr>
      <w:tr w:rsidR="00E45A53" w:rsidRPr="002F6D90" w:rsidTr="00C516C9">
        <w:tc>
          <w:tcPr>
            <w:tcW w:w="145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organic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D13A2C" w:rsidRDefault="00E45A53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A53" w:rsidRPr="00C11213" w:rsidRDefault="00E45A53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proofErr w:type="spellStart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none</w:t>
            </w:r>
            <w:proofErr w:type="spellEnd"/>
            <w:r w:rsidRPr="00C11213">
              <w:rPr>
                <w:rFonts w:ascii="Palatino Linotype" w:hAnsi="Palatino Linotype"/>
                <w:sz w:val="18"/>
                <w:szCs w:val="18"/>
                <w:lang w:eastAsia="pl-PL"/>
              </w:rPr>
              <w:t>, l.</w:t>
            </w:r>
          </w:p>
        </w:tc>
      </w:tr>
      <w:tr w:rsidR="00C516C9" w:rsidRPr="002F6D90" w:rsidTr="00C516C9">
        <w:tc>
          <w:tcPr>
            <w:tcW w:w="1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C11213" w:rsidRDefault="00C516C9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C11213" w:rsidRDefault="00C516C9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D13A2C" w:rsidRDefault="00C516C9" w:rsidP="00E26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16C9" w:rsidRPr="00C11213" w:rsidRDefault="00C516C9" w:rsidP="00E26D84">
            <w:pPr>
              <w:rPr>
                <w:rFonts w:ascii="Palatino Linotype" w:hAnsi="Palatino Linotype"/>
                <w:sz w:val="18"/>
                <w:szCs w:val="18"/>
                <w:lang w:eastAsia="pl-PL"/>
              </w:rPr>
            </w:pPr>
          </w:p>
        </w:tc>
      </w:tr>
    </w:tbl>
    <w:p w:rsidR="00A262A2" w:rsidRDefault="00A262A2">
      <w:pPr>
        <w:rPr>
          <w:rFonts w:ascii="Times New Roman" w:hAnsi="Times New Roman" w:cs="Times New Roman"/>
          <w:lang w:val="en-AU"/>
        </w:rPr>
      </w:pPr>
    </w:p>
    <w:p w:rsidR="00A262A2" w:rsidRDefault="00A262A2">
      <w:pPr>
        <w:rPr>
          <w:rFonts w:ascii="Times New Roman" w:hAnsi="Times New Roman" w:cs="Times New Roman"/>
          <w:lang w:val="en-AU"/>
        </w:rPr>
      </w:pPr>
    </w:p>
    <w:p w:rsidR="00A262A2" w:rsidRDefault="00A262A2">
      <w:pPr>
        <w:rPr>
          <w:rFonts w:ascii="Times New Roman" w:hAnsi="Times New Roman" w:cs="Times New Roman"/>
          <w:lang w:val="en-AU"/>
        </w:rPr>
      </w:pPr>
    </w:p>
    <w:p w:rsidR="00E45A53" w:rsidRDefault="00A262A2">
      <w:pPr>
        <w:rPr>
          <w:rFonts w:ascii="Times New Roman" w:hAnsi="Times New Roman" w:cs="Times New Roman"/>
          <w:lang w:val="en-AU"/>
        </w:rPr>
      </w:pPr>
      <w:r>
        <w:rPr>
          <w:noProof/>
        </w:rPr>
        <w:drawing>
          <wp:inline distT="0" distB="0" distL="0" distR="0">
            <wp:extent cx="5760720" cy="2966816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A2" w:rsidRDefault="00A262A2">
      <w:pPr>
        <w:rPr>
          <w:rFonts w:ascii="Times New Roman" w:hAnsi="Times New Roman" w:cs="Times New Roman"/>
          <w:lang w:val="en-AU"/>
        </w:rPr>
      </w:pPr>
      <w:r w:rsidRPr="00FF3458">
        <w:rPr>
          <w:rFonts w:ascii="Times New Roman" w:hAnsi="Times New Roman" w:cs="Times New Roman"/>
          <w:b/>
          <w:lang w:val="en-AU"/>
        </w:rPr>
        <w:t>Suppl. Fig. 1.</w:t>
      </w:r>
      <w:r>
        <w:rPr>
          <w:rFonts w:ascii="Times New Roman" w:hAnsi="Times New Roman" w:cs="Times New Roman"/>
          <w:b/>
          <w:lang w:val="en-AU"/>
        </w:rPr>
        <w:t xml:space="preserve"> </w:t>
      </w:r>
      <w:r w:rsidRPr="00A262A2">
        <w:rPr>
          <w:rFonts w:ascii="Times New Roman" w:hAnsi="Times New Roman" w:cs="Times New Roman"/>
          <w:lang w:val="en-AU"/>
        </w:rPr>
        <w:t>Characteristic hyphae in the leaf intercellular spaces of perennial ryegrass.</w:t>
      </w: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40865" w:rsidTr="00165836">
        <w:tc>
          <w:tcPr>
            <w:tcW w:w="9212" w:type="dxa"/>
          </w:tcPr>
          <w:p w:rsidR="00B40865" w:rsidRDefault="00E45A53" w:rsidP="00273ABE">
            <w:pPr>
              <w:jc w:val="right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lastRenderedPageBreak/>
              <w:br w:type="page"/>
            </w:r>
            <w:r w:rsidR="00A8694B">
              <w:rPr>
                <w:noProof/>
                <w:lang w:eastAsia="pl-PL"/>
              </w:rPr>
              <w:drawing>
                <wp:inline distT="0" distB="0" distL="0" distR="0" wp14:anchorId="1A594D66" wp14:editId="6EFAF767">
                  <wp:extent cx="5636288" cy="3490595"/>
                  <wp:effectExtent l="0" t="0" r="2540" b="14605"/>
                  <wp:docPr id="12" name="Wykres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08A3A7-CD4D-41C8-9A2A-4845E4C848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ED126D" w:rsidRPr="00ED126D" w:rsidRDefault="00ED126D" w:rsidP="00ED126D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ED126D">
              <w:rPr>
                <w:rFonts w:ascii="Times New Roman" w:hAnsi="Times New Roman" w:cs="Times New Roman"/>
                <w:b/>
                <w:lang w:val="en-AU"/>
              </w:rPr>
              <w:t>1a.</w:t>
            </w:r>
          </w:p>
        </w:tc>
      </w:tr>
      <w:tr w:rsidR="00B40865" w:rsidTr="00165836">
        <w:tc>
          <w:tcPr>
            <w:tcW w:w="9212" w:type="dxa"/>
          </w:tcPr>
          <w:p w:rsidR="00B40865" w:rsidRDefault="00A8694B" w:rsidP="00273ABE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74FC33" wp14:editId="7CFBECD7">
                  <wp:extent cx="5760720" cy="3690620"/>
                  <wp:effectExtent l="0" t="0" r="11430" b="5080"/>
                  <wp:docPr id="13" name="Wykres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572AAB-46D0-4341-9288-2B375B4DDD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ED126D" w:rsidRPr="00ED126D" w:rsidRDefault="00ED126D" w:rsidP="00273AB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ED126D">
              <w:rPr>
                <w:rFonts w:ascii="Times New Roman" w:hAnsi="Times New Roman" w:cs="Times New Roman"/>
                <w:b/>
                <w:lang w:val="en-AU"/>
              </w:rPr>
              <w:t>1 b.</w:t>
            </w:r>
          </w:p>
        </w:tc>
      </w:tr>
    </w:tbl>
    <w:p w:rsidR="00DE6FAC" w:rsidRDefault="00DE6FAC" w:rsidP="00DE6FAC">
      <w:pPr>
        <w:rPr>
          <w:rFonts w:ascii="Times New Roman" w:hAnsi="Times New Roman" w:cs="Times New Roman"/>
          <w:lang w:val="en-AU"/>
        </w:rPr>
      </w:pPr>
    </w:p>
    <w:p w:rsidR="00E45A53" w:rsidRDefault="00ED7137" w:rsidP="00A82096">
      <w:pPr>
        <w:jc w:val="both"/>
        <w:rPr>
          <w:rFonts w:ascii="Times New Roman" w:hAnsi="Times New Roman" w:cs="Times New Roman"/>
          <w:lang w:val="en-AU"/>
        </w:rPr>
      </w:pPr>
      <w:r w:rsidRPr="00FF3458">
        <w:rPr>
          <w:rFonts w:ascii="Times New Roman" w:hAnsi="Times New Roman" w:cs="Times New Roman"/>
          <w:b/>
          <w:lang w:val="en-AU"/>
        </w:rPr>
        <w:t>Suppl</w:t>
      </w:r>
      <w:r w:rsidR="00FF3458" w:rsidRPr="00FF3458">
        <w:rPr>
          <w:rFonts w:ascii="Times New Roman" w:hAnsi="Times New Roman" w:cs="Times New Roman"/>
          <w:b/>
          <w:lang w:val="en-AU"/>
        </w:rPr>
        <w:t>. F</w:t>
      </w:r>
      <w:r w:rsidRPr="00FF3458">
        <w:rPr>
          <w:rFonts w:ascii="Times New Roman" w:hAnsi="Times New Roman" w:cs="Times New Roman"/>
          <w:b/>
          <w:lang w:val="en-AU"/>
        </w:rPr>
        <w:t>ig</w:t>
      </w:r>
      <w:r w:rsidR="007D21AD" w:rsidRPr="00FF3458">
        <w:rPr>
          <w:rFonts w:ascii="Times New Roman" w:hAnsi="Times New Roman" w:cs="Times New Roman"/>
          <w:b/>
          <w:lang w:val="en-AU"/>
        </w:rPr>
        <w:t xml:space="preserve">. </w:t>
      </w:r>
      <w:r w:rsidR="00A262A2">
        <w:rPr>
          <w:rFonts w:ascii="Times New Roman" w:hAnsi="Times New Roman" w:cs="Times New Roman"/>
          <w:b/>
          <w:lang w:val="en-AU"/>
        </w:rPr>
        <w:t>2</w:t>
      </w:r>
      <w:r w:rsidR="00CA41C1" w:rsidRPr="00FF3458">
        <w:rPr>
          <w:rFonts w:ascii="Times New Roman" w:hAnsi="Times New Roman" w:cs="Times New Roman"/>
          <w:b/>
          <w:lang w:val="en-AU"/>
        </w:rPr>
        <w:t>.</w:t>
      </w:r>
      <w:r w:rsidR="00CA41C1">
        <w:rPr>
          <w:rFonts w:ascii="Times New Roman" w:hAnsi="Times New Roman" w:cs="Times New Roman"/>
          <w:lang w:val="en-AU"/>
        </w:rPr>
        <w:t xml:space="preserve"> </w:t>
      </w:r>
      <w:r w:rsidR="001D624A">
        <w:rPr>
          <w:rFonts w:ascii="Times New Roman" w:hAnsi="Times New Roman" w:cs="Times New Roman"/>
          <w:lang w:val="en-AU"/>
        </w:rPr>
        <w:t xml:space="preserve">Dry mass of </w:t>
      </w:r>
      <w:r w:rsidR="00FF3458">
        <w:rPr>
          <w:rFonts w:ascii="Times New Roman" w:hAnsi="Times New Roman" w:cs="Times New Roman"/>
          <w:lang w:val="en-AU"/>
        </w:rPr>
        <w:t xml:space="preserve"> </w:t>
      </w:r>
      <w:r w:rsidR="00A82096">
        <w:rPr>
          <w:rFonts w:ascii="Times New Roman" w:hAnsi="Times New Roman" w:cs="Times New Roman"/>
          <w:lang w:val="en-AU"/>
        </w:rPr>
        <w:t xml:space="preserve">perennial ryegrass </w:t>
      </w:r>
      <w:r w:rsidR="00FF3458">
        <w:rPr>
          <w:rFonts w:ascii="Times New Roman" w:hAnsi="Times New Roman" w:cs="Times New Roman"/>
          <w:lang w:val="en-AU"/>
        </w:rPr>
        <w:t>(E-</w:t>
      </w:r>
      <w:r w:rsidR="00ED126D">
        <w:rPr>
          <w:rFonts w:ascii="Times New Roman" w:hAnsi="Times New Roman" w:cs="Times New Roman"/>
          <w:lang w:val="en-AU"/>
        </w:rPr>
        <w:t>, 1a</w:t>
      </w:r>
      <w:r w:rsidR="00FF3458">
        <w:rPr>
          <w:rFonts w:ascii="Times New Roman" w:hAnsi="Times New Roman" w:cs="Times New Roman"/>
          <w:lang w:val="en-AU"/>
        </w:rPr>
        <w:t xml:space="preserve">) </w:t>
      </w:r>
      <w:r w:rsidR="00A82096">
        <w:rPr>
          <w:rFonts w:ascii="Times New Roman" w:hAnsi="Times New Roman" w:cs="Times New Roman"/>
          <w:lang w:val="en-AU"/>
        </w:rPr>
        <w:t xml:space="preserve">plants </w:t>
      </w:r>
      <w:r w:rsidR="00FF3458">
        <w:rPr>
          <w:rFonts w:ascii="Times New Roman" w:hAnsi="Times New Roman" w:cs="Times New Roman"/>
          <w:lang w:val="en-AU"/>
        </w:rPr>
        <w:t xml:space="preserve">and </w:t>
      </w:r>
      <w:proofErr w:type="spellStart"/>
      <w:r w:rsidR="00FF3458" w:rsidRPr="00FF3458">
        <w:rPr>
          <w:rFonts w:ascii="Times New Roman" w:hAnsi="Times New Roman" w:cs="Times New Roman"/>
          <w:i/>
          <w:lang w:val="en-AU"/>
        </w:rPr>
        <w:t>Epichloe</w:t>
      </w:r>
      <w:proofErr w:type="spellEnd"/>
      <w:r w:rsidR="00FF3458">
        <w:rPr>
          <w:rFonts w:ascii="Times New Roman" w:hAnsi="Times New Roman" w:cs="Times New Roman"/>
          <w:lang w:val="en-AU"/>
        </w:rPr>
        <w:t>-peren</w:t>
      </w:r>
      <w:r w:rsidR="00B042DD">
        <w:rPr>
          <w:rFonts w:ascii="Times New Roman" w:hAnsi="Times New Roman" w:cs="Times New Roman"/>
          <w:lang w:val="en-AU"/>
        </w:rPr>
        <w:t>n</w:t>
      </w:r>
      <w:r w:rsidR="00FF3458">
        <w:rPr>
          <w:rFonts w:ascii="Times New Roman" w:hAnsi="Times New Roman" w:cs="Times New Roman"/>
          <w:lang w:val="en-AU"/>
        </w:rPr>
        <w:t>ial ryegrass symbionts (E+</w:t>
      </w:r>
      <w:r w:rsidR="00ED126D">
        <w:rPr>
          <w:rFonts w:ascii="Times New Roman" w:hAnsi="Times New Roman" w:cs="Times New Roman"/>
          <w:lang w:val="en-AU"/>
        </w:rPr>
        <w:t>, 1b.</w:t>
      </w:r>
      <w:r w:rsidR="00FF3458">
        <w:rPr>
          <w:rFonts w:ascii="Times New Roman" w:hAnsi="Times New Roman" w:cs="Times New Roman"/>
          <w:lang w:val="en-AU"/>
        </w:rPr>
        <w:t xml:space="preserve">) </w:t>
      </w:r>
      <w:r w:rsidR="00A82096">
        <w:rPr>
          <w:rFonts w:ascii="Times New Roman" w:hAnsi="Times New Roman" w:cs="Times New Roman"/>
          <w:lang w:val="en-AU"/>
        </w:rPr>
        <w:t xml:space="preserve">grown </w:t>
      </w:r>
      <w:r w:rsidR="00FF3458">
        <w:rPr>
          <w:rFonts w:ascii="Times New Roman" w:hAnsi="Times New Roman" w:cs="Times New Roman"/>
          <w:lang w:val="en-AU"/>
        </w:rPr>
        <w:t>in control conditions (</w:t>
      </w:r>
      <w:r w:rsidR="00FF3458" w:rsidRPr="00286B17">
        <w:rPr>
          <w:rFonts w:ascii="Times New Roman" w:hAnsi="Times New Roman" w:cs="Times New Roman"/>
          <w:lang w:val="en-AU"/>
        </w:rPr>
        <w:t>left bar</w:t>
      </w:r>
      <w:r w:rsidR="0026238D">
        <w:rPr>
          <w:rFonts w:ascii="Times New Roman" w:hAnsi="Times New Roman" w:cs="Times New Roman"/>
          <w:lang w:val="en-AU"/>
        </w:rPr>
        <w:t xml:space="preserve"> for each ecotype number</w:t>
      </w:r>
      <w:r w:rsidR="00286B17" w:rsidRPr="00286B17">
        <w:rPr>
          <w:rFonts w:ascii="Times New Roman" w:hAnsi="Times New Roman" w:cs="Times New Roman"/>
          <w:lang w:val="en-AU"/>
        </w:rPr>
        <w:t>)</w:t>
      </w:r>
      <w:r w:rsidR="00FF3458" w:rsidRPr="00286B17">
        <w:rPr>
          <w:rFonts w:ascii="Times New Roman" w:hAnsi="Times New Roman" w:cs="Times New Roman"/>
          <w:lang w:val="en-AU"/>
        </w:rPr>
        <w:t xml:space="preserve"> </w:t>
      </w:r>
      <w:r w:rsidR="00FF3458">
        <w:rPr>
          <w:rFonts w:ascii="Times New Roman" w:hAnsi="Times New Roman" w:cs="Times New Roman"/>
          <w:lang w:val="en-AU"/>
        </w:rPr>
        <w:t>and in the presence of HM ions (right bar</w:t>
      </w:r>
      <w:r w:rsidR="0026238D" w:rsidRPr="0026238D">
        <w:rPr>
          <w:rFonts w:ascii="Times New Roman" w:hAnsi="Times New Roman" w:cs="Times New Roman"/>
          <w:lang w:val="en-AU"/>
        </w:rPr>
        <w:t xml:space="preserve"> </w:t>
      </w:r>
      <w:r w:rsidR="0026238D">
        <w:rPr>
          <w:rFonts w:ascii="Times New Roman" w:hAnsi="Times New Roman" w:cs="Times New Roman"/>
          <w:lang w:val="en-AU"/>
        </w:rPr>
        <w:t>for each ecotype number</w:t>
      </w:r>
      <w:r w:rsidR="00FF3458">
        <w:rPr>
          <w:rFonts w:ascii="Times New Roman" w:hAnsi="Times New Roman" w:cs="Times New Roman"/>
          <w:lang w:val="en-AU"/>
        </w:rPr>
        <w:t>)</w:t>
      </w:r>
      <w:r w:rsidR="00286B17">
        <w:rPr>
          <w:rFonts w:ascii="Times New Roman" w:hAnsi="Times New Roman" w:cs="Times New Roman"/>
          <w:lang w:val="en-AU"/>
        </w:rPr>
        <w:t xml:space="preserve">. </w:t>
      </w:r>
      <w:r w:rsidR="00360289" w:rsidRPr="00360289">
        <w:rPr>
          <w:rFonts w:ascii="Times New Roman" w:hAnsi="Times New Roman" w:cs="Times New Roman"/>
          <w:lang w:val="en-AU"/>
        </w:rPr>
        <w:t>Ecotypes are listed in decreasing order of collection sites latitude.</w:t>
      </w:r>
    </w:p>
    <w:p w:rsidR="00DD669F" w:rsidRDefault="005B1C57" w:rsidP="00DE6FAC">
      <w:pPr>
        <w:rPr>
          <w:rFonts w:ascii="Times New Roman" w:hAnsi="Times New Roman" w:cs="Times New Roman"/>
          <w:lang w:val="en-AU"/>
        </w:rPr>
      </w:pPr>
      <w:r>
        <w:rPr>
          <w:i/>
          <w:noProof/>
          <w:lang w:eastAsia="pl-PL"/>
        </w:rPr>
        <w:lastRenderedPageBreak/>
        <w:drawing>
          <wp:inline distT="0" distB="0" distL="0" distR="0" wp14:anchorId="479DA152" wp14:editId="0542A86D">
            <wp:extent cx="5760720" cy="432023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orescenc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57" w:rsidRPr="00360289" w:rsidRDefault="00416BF5" w:rsidP="00360289">
      <w:pPr>
        <w:pStyle w:val="MDPI22heading2"/>
        <w:spacing w:line="360" w:lineRule="auto"/>
        <w:jc w:val="both"/>
        <w:rPr>
          <w:rFonts w:ascii="Times New Roman" w:hAnsi="Times New Roman"/>
          <w:i w:val="0"/>
          <w:color w:val="auto"/>
          <w:sz w:val="22"/>
        </w:rPr>
      </w:pPr>
      <w:r w:rsidRPr="00360289">
        <w:rPr>
          <w:rFonts w:ascii="Times New Roman" w:hAnsi="Times New Roman"/>
          <w:b/>
          <w:i w:val="0"/>
          <w:color w:val="auto"/>
          <w:sz w:val="22"/>
        </w:rPr>
        <w:t xml:space="preserve">Suppl. Fig. </w:t>
      </w:r>
      <w:r w:rsidR="00A262A2" w:rsidRPr="00360289">
        <w:rPr>
          <w:rFonts w:ascii="Times New Roman" w:hAnsi="Times New Roman"/>
          <w:b/>
          <w:i w:val="0"/>
          <w:color w:val="auto"/>
          <w:sz w:val="22"/>
        </w:rPr>
        <w:t>3</w:t>
      </w:r>
      <w:r w:rsidR="005B1C57" w:rsidRPr="00360289">
        <w:rPr>
          <w:rFonts w:ascii="Times New Roman" w:hAnsi="Times New Roman"/>
          <w:b/>
          <w:i w:val="0"/>
          <w:color w:val="auto"/>
          <w:sz w:val="22"/>
        </w:rPr>
        <w:t>.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 xml:space="preserve"> Stacked column chart of changes in Chl </w:t>
      </w:r>
      <w:r w:rsidR="005B1C57" w:rsidRPr="00360289">
        <w:rPr>
          <w:rFonts w:ascii="Times New Roman" w:hAnsi="Times New Roman"/>
          <w:color w:val="auto"/>
          <w:sz w:val="22"/>
        </w:rPr>
        <w:t xml:space="preserve">a 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 xml:space="preserve">fluorescence parameters (measured and calculated) in response of perennial ryegrass – </w:t>
      </w:r>
      <w:r w:rsidR="005B1C57" w:rsidRPr="00360289">
        <w:rPr>
          <w:rFonts w:ascii="Times New Roman" w:hAnsi="Times New Roman"/>
          <w:color w:val="auto"/>
          <w:sz w:val="22"/>
        </w:rPr>
        <w:t>Epichloë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 xml:space="preserve"> symbionts (E(+) and control (E(-) to HM ions aplied to the soil. The total height of bar corresponds to values in leaves of ecotypes treated by HM, black fragments marks increase of the parameter in respon</w:t>
      </w:r>
      <w:r w:rsidR="00360289">
        <w:rPr>
          <w:rFonts w:ascii="Times New Roman" w:hAnsi="Times New Roman"/>
          <w:i w:val="0"/>
          <w:color w:val="auto"/>
          <w:sz w:val="22"/>
        </w:rPr>
        <w:t>s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>e to HM as compared to control</w:t>
      </w:r>
      <w:r w:rsidR="00A03FAF">
        <w:rPr>
          <w:rFonts w:ascii="Times New Roman" w:hAnsi="Times New Roman"/>
          <w:i w:val="0"/>
          <w:color w:val="auto"/>
          <w:sz w:val="22"/>
        </w:rPr>
        <w:t xml:space="preserve"> (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>not HM treated plants</w:t>
      </w:r>
      <w:r w:rsidR="00A03FAF">
        <w:rPr>
          <w:rFonts w:ascii="Times New Roman" w:hAnsi="Times New Roman"/>
          <w:i w:val="0"/>
          <w:color w:val="auto"/>
          <w:sz w:val="22"/>
        </w:rPr>
        <w:t>)</w:t>
      </w:r>
      <w:r w:rsidR="00360289">
        <w:rPr>
          <w:rFonts w:ascii="Times New Roman" w:hAnsi="Times New Roman"/>
          <w:i w:val="0"/>
          <w:color w:val="auto"/>
          <w:sz w:val="22"/>
        </w:rPr>
        <w:t>, w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>hereas white</w:t>
      </w:r>
      <w:r w:rsidR="00A03FAF">
        <w:rPr>
          <w:rFonts w:ascii="Times New Roman" w:hAnsi="Times New Roman"/>
          <w:i w:val="0"/>
          <w:color w:val="auto"/>
          <w:sz w:val="22"/>
        </w:rPr>
        <w:t xml:space="preserve"> (empty)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 xml:space="preserve"> bars ilustrates the decrease of the parameter in response to HM treatment. </w:t>
      </w:r>
      <w:bookmarkStart w:id="0" w:name="_GoBack"/>
      <w:bookmarkEnd w:id="0"/>
      <w:r w:rsidR="005B1C57" w:rsidRPr="00360289">
        <w:rPr>
          <w:rFonts w:ascii="Times New Roman" w:hAnsi="Times New Roman"/>
          <w:i w:val="0"/>
          <w:color w:val="auto"/>
          <w:sz w:val="22"/>
        </w:rPr>
        <w:t xml:space="preserve">Charts were drown for parameters found as statisticaly important on bases of </w:t>
      </w:r>
      <w:r w:rsidR="005B1C57" w:rsidRPr="00360289">
        <w:rPr>
          <w:rFonts w:ascii="Times New Roman" w:hAnsi="Times New Roman"/>
          <w:i w:val="0"/>
          <w:smallCaps/>
          <w:color w:val="auto"/>
          <w:sz w:val="22"/>
        </w:rPr>
        <w:t xml:space="preserve">Anova 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 xml:space="preserve">analysis. </w:t>
      </w:r>
      <w:r w:rsidR="005B1C57" w:rsidRPr="00360289">
        <w:rPr>
          <w:rFonts w:ascii="Times New Roman" w:hAnsi="Times New Roman"/>
          <w:i w:val="0"/>
          <w:sz w:val="22"/>
        </w:rPr>
        <w:t xml:space="preserve">Ecotypes are listed in decreasing order of collection sites latitude. </w:t>
      </w:r>
      <w:r w:rsidR="005B1C57" w:rsidRPr="00360289">
        <w:rPr>
          <w:rFonts w:ascii="Times New Roman" w:hAnsi="Times New Roman"/>
          <w:i w:val="0"/>
          <w:color w:val="auto"/>
          <w:sz w:val="22"/>
        </w:rPr>
        <w:t>Intersection with a vertical axes on charts Fv/Fm and (1-Vj)/Vj is at points &gt; 0. Significane of difference between HM treated and not treated plants was marked with asterisks (*) for α ≤ 0.05</w:t>
      </w: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E45A53">
        <w:rPr>
          <w:rFonts w:ascii="Times New Roman" w:hAnsi="Times New Roman" w:cs="Times New Roman"/>
          <w:b/>
          <w:lang w:val="en-US"/>
        </w:rPr>
        <w:t xml:space="preserve">upplementary Table </w:t>
      </w:r>
      <w:r>
        <w:rPr>
          <w:rFonts w:ascii="Times New Roman" w:hAnsi="Times New Roman" w:cs="Times New Roman"/>
          <w:b/>
          <w:lang w:val="en-US"/>
        </w:rPr>
        <w:t>2</w:t>
      </w:r>
      <w:r w:rsidRPr="00E45A53">
        <w:rPr>
          <w:rFonts w:ascii="Times New Roman" w:hAnsi="Times New Roman" w:cs="Times New Roman"/>
          <w:b/>
          <w:lang w:val="en-US"/>
        </w:rPr>
        <w:t>.</w:t>
      </w:r>
      <w:r w:rsidRPr="000C300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Cs w:val="18"/>
          <w:lang w:val="en-US"/>
        </w:rPr>
        <w:t xml:space="preserve">Eigenvector values of three factors calculated with Principal Component Analysis (PCA) performed on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Chl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szCs w:val="18"/>
          <w:lang w:val="en-US"/>
        </w:rPr>
        <w:t>a</w:t>
      </w:r>
      <w:r>
        <w:rPr>
          <w:rFonts w:ascii="Times New Roman" w:hAnsi="Times New Roman" w:cs="Times New Roman"/>
          <w:szCs w:val="18"/>
          <w:lang w:val="en-US"/>
        </w:rPr>
        <w:t xml:space="preserve"> fluorescence parameters.</w:t>
      </w:r>
    </w:p>
    <w:p w:rsidR="003B62C2" w:rsidRDefault="003B62C2" w:rsidP="003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3B62C2" w:rsidRDefault="003B62C2" w:rsidP="003B62C2">
      <w:pPr>
        <w:rPr>
          <w:lang w:val="en-US"/>
        </w:rPr>
      </w:pPr>
    </w:p>
    <w:tbl>
      <w:tblPr>
        <w:tblW w:w="5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80"/>
        <w:gridCol w:w="1720"/>
      </w:tblGrid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</w:t>
            </w:r>
            <w:proofErr w:type="spellEnd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fluorescence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Factor</w:t>
            </w:r>
            <w:proofErr w:type="spellEnd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#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parameters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#1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#2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  <w:proofErr w:type="spellEnd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/Fm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Tfm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078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Area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RC_ABS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FvFo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</w:t>
            </w:r>
          </w:p>
        </w:tc>
      </w:tr>
      <w:tr w:rsidR="003F3DA2" w:rsidRPr="003F3DA2" w:rsidTr="003F3DA2">
        <w:trPr>
          <w:trHeight w:val="315"/>
          <w:jc w:val="center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</w:t>
            </w:r>
          </w:p>
        </w:tc>
      </w:tr>
      <w:tr w:rsidR="003F3DA2" w:rsidRPr="003F3DA2" w:rsidTr="003F3DA2">
        <w:trPr>
          <w:trHeight w:val="630"/>
          <w:jc w:val="center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variation</w:t>
            </w:r>
            <w:proofErr w:type="spellEnd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explained</w:t>
            </w:r>
            <w:proofErr w:type="spellEnd"/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DA2" w:rsidRPr="003F3DA2" w:rsidRDefault="003F3DA2" w:rsidP="003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F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3B62C2" w:rsidRPr="00075577" w:rsidRDefault="003B62C2" w:rsidP="005B1C57">
      <w:pPr>
        <w:pStyle w:val="MDPI22heading2"/>
        <w:jc w:val="both"/>
        <w:rPr>
          <w:i w:val="0"/>
          <w:color w:val="FF0000"/>
          <w:sz w:val="18"/>
          <w:szCs w:val="18"/>
        </w:rPr>
      </w:pPr>
    </w:p>
    <w:sectPr w:rsidR="003B62C2" w:rsidRPr="00075577" w:rsidSect="005B1C57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68"/>
    <w:rsid w:val="00002A6A"/>
    <w:rsid w:val="00015C31"/>
    <w:rsid w:val="00043198"/>
    <w:rsid w:val="00066ED2"/>
    <w:rsid w:val="00075577"/>
    <w:rsid w:val="00165836"/>
    <w:rsid w:val="0019237C"/>
    <w:rsid w:val="001D624A"/>
    <w:rsid w:val="00222C68"/>
    <w:rsid w:val="002451DD"/>
    <w:rsid w:val="002474D5"/>
    <w:rsid w:val="0025562B"/>
    <w:rsid w:val="0026238D"/>
    <w:rsid w:val="00273ABE"/>
    <w:rsid w:val="00286B17"/>
    <w:rsid w:val="00360289"/>
    <w:rsid w:val="003B62C2"/>
    <w:rsid w:val="003C06EE"/>
    <w:rsid w:val="003F3DA2"/>
    <w:rsid w:val="00416BF5"/>
    <w:rsid w:val="00490DA7"/>
    <w:rsid w:val="00560AA2"/>
    <w:rsid w:val="0056651C"/>
    <w:rsid w:val="0058110C"/>
    <w:rsid w:val="005821E5"/>
    <w:rsid w:val="005B1C57"/>
    <w:rsid w:val="005B780B"/>
    <w:rsid w:val="00615DBA"/>
    <w:rsid w:val="00645A40"/>
    <w:rsid w:val="006C0310"/>
    <w:rsid w:val="006D171F"/>
    <w:rsid w:val="007A080D"/>
    <w:rsid w:val="007B62AB"/>
    <w:rsid w:val="007C49FE"/>
    <w:rsid w:val="007C57B3"/>
    <w:rsid w:val="007D21AD"/>
    <w:rsid w:val="007F47AE"/>
    <w:rsid w:val="00807859"/>
    <w:rsid w:val="0089194B"/>
    <w:rsid w:val="00945948"/>
    <w:rsid w:val="00970C97"/>
    <w:rsid w:val="00985F1B"/>
    <w:rsid w:val="00A03FAF"/>
    <w:rsid w:val="00A262A2"/>
    <w:rsid w:val="00A54F0E"/>
    <w:rsid w:val="00A718D8"/>
    <w:rsid w:val="00A82096"/>
    <w:rsid w:val="00A8694B"/>
    <w:rsid w:val="00AB4DF3"/>
    <w:rsid w:val="00AF2E5E"/>
    <w:rsid w:val="00B021D0"/>
    <w:rsid w:val="00B042DD"/>
    <w:rsid w:val="00B402DF"/>
    <w:rsid w:val="00B40865"/>
    <w:rsid w:val="00B51234"/>
    <w:rsid w:val="00BB18E1"/>
    <w:rsid w:val="00BD2BEA"/>
    <w:rsid w:val="00BF5108"/>
    <w:rsid w:val="00C11049"/>
    <w:rsid w:val="00C50868"/>
    <w:rsid w:val="00C516C9"/>
    <w:rsid w:val="00CA41C1"/>
    <w:rsid w:val="00CE7616"/>
    <w:rsid w:val="00CF4A5F"/>
    <w:rsid w:val="00D13A2C"/>
    <w:rsid w:val="00D725C3"/>
    <w:rsid w:val="00D95914"/>
    <w:rsid w:val="00DD19D8"/>
    <w:rsid w:val="00DD669F"/>
    <w:rsid w:val="00DE6FAC"/>
    <w:rsid w:val="00E27B9A"/>
    <w:rsid w:val="00E30FF4"/>
    <w:rsid w:val="00E454D2"/>
    <w:rsid w:val="00E45A53"/>
    <w:rsid w:val="00E54BAE"/>
    <w:rsid w:val="00ED126D"/>
    <w:rsid w:val="00ED7137"/>
    <w:rsid w:val="00EE7A4F"/>
    <w:rsid w:val="00F22CAF"/>
    <w:rsid w:val="00F60207"/>
    <w:rsid w:val="00F67A0C"/>
    <w:rsid w:val="00F97376"/>
    <w:rsid w:val="00FA19F8"/>
    <w:rsid w:val="00FE231B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EE2C"/>
  <w15:docId w15:val="{4F175872-0CDD-4515-BBBA-59CECE4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ny"/>
    <w:qFormat/>
    <w:rsid w:val="00B51234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B51234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customStyle="1" w:styleId="hps">
    <w:name w:val="hps"/>
    <w:rsid w:val="00B51234"/>
  </w:style>
  <w:style w:type="paragraph" w:styleId="Tekstdymka">
    <w:name w:val="Balloon Text"/>
    <w:basedOn w:val="Normalny"/>
    <w:link w:val="TekstdymkaZnak"/>
    <w:uiPriority w:val="99"/>
    <w:semiHidden/>
    <w:unhideWhenUsed/>
    <w:rsid w:val="005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0B"/>
    <w:rPr>
      <w:rFonts w:ascii="Tahoma" w:hAnsi="Tahoma" w:cs="Tahoma"/>
      <w:sz w:val="16"/>
      <w:szCs w:val="16"/>
    </w:rPr>
  </w:style>
  <w:style w:type="paragraph" w:customStyle="1" w:styleId="MDPI22heading2">
    <w:name w:val="MDPI_2.2_heading2"/>
    <w:basedOn w:val="Normalny"/>
    <w:qFormat/>
    <w:rsid w:val="005B1C57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ublikacje%202018\PLoS%20One%20-%20BAsia%20i%20Krysia%20po%20recenzjach\Nowa%20wersja\Nowe%20obliczenia\Dane%20+%20wykresy%20do%20plon&#243;w%20bioma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ublikacje%202018\PLoS%20One%20-%20BAsia%20i%20Krysia%20po%20recenzjach\Nowa%20wersja\Nowe%20obliczenia\Dane%20+%20wykresy%20do%20plon&#243;w%20bioma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1"/>
              <a:t>E</a:t>
            </a:r>
            <a:r>
              <a:rPr lang="pl-PL" sz="1800" b="1" baseline="0"/>
              <a:t> (-)</a:t>
            </a:r>
            <a:endParaRPr lang="pl-PL" sz="18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500143712319871"/>
          <c:y val="8.5969297497991023E-2"/>
          <c:w val="0.87564448765670855"/>
          <c:h val="0.75144998712450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1-st cut</c:v>
                </c:pt>
              </c:strCache>
            </c:strRef>
          </c:tx>
          <c:spPr>
            <a:pattFill prst="pct30">
              <a:fgClr>
                <a:schemeClr val="bg1">
                  <a:lumMod val="8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Arkusz2!$D$3:$D$26</c:f>
              <c:numCache>
                <c:formatCode>General</c:formatCode>
                <c:ptCount val="24"/>
                <c:pt idx="0">
                  <c:v>50</c:v>
                </c:pt>
                <c:pt idx="2">
                  <c:v>873</c:v>
                </c:pt>
                <c:pt idx="4">
                  <c:v>801</c:v>
                </c:pt>
                <c:pt idx="6">
                  <c:v>131</c:v>
                </c:pt>
                <c:pt idx="8">
                  <c:v>685</c:v>
                </c:pt>
                <c:pt idx="10">
                  <c:v>730</c:v>
                </c:pt>
                <c:pt idx="12">
                  <c:v>45</c:v>
                </c:pt>
                <c:pt idx="14">
                  <c:v>273</c:v>
                </c:pt>
                <c:pt idx="16">
                  <c:v>160</c:v>
                </c:pt>
                <c:pt idx="18">
                  <c:v>129</c:v>
                </c:pt>
                <c:pt idx="20">
                  <c:v>227</c:v>
                </c:pt>
                <c:pt idx="22">
                  <c:v>87</c:v>
                </c:pt>
              </c:numCache>
            </c:numRef>
          </c:cat>
          <c:val>
            <c:numRef>
              <c:f>Arkusz2!$E$3:$E$26</c:f>
              <c:numCache>
                <c:formatCode>0.0</c:formatCode>
                <c:ptCount val="24"/>
                <c:pt idx="0">
                  <c:v>1.0733330000000001</c:v>
                </c:pt>
                <c:pt idx="1">
                  <c:v>1.67</c:v>
                </c:pt>
                <c:pt idx="2">
                  <c:v>0.74</c:v>
                </c:pt>
                <c:pt idx="3">
                  <c:v>1.1066670000000001</c:v>
                </c:pt>
                <c:pt idx="4">
                  <c:v>0.87333300000000003</c:v>
                </c:pt>
                <c:pt idx="5">
                  <c:v>1.39</c:v>
                </c:pt>
                <c:pt idx="6">
                  <c:v>0.91</c:v>
                </c:pt>
                <c:pt idx="7">
                  <c:v>1.286667</c:v>
                </c:pt>
                <c:pt idx="8">
                  <c:v>1.0833330000000001</c:v>
                </c:pt>
                <c:pt idx="9">
                  <c:v>1.24</c:v>
                </c:pt>
                <c:pt idx="10">
                  <c:v>0.84666699999999995</c:v>
                </c:pt>
                <c:pt idx="11">
                  <c:v>1.4566669999999999</c:v>
                </c:pt>
                <c:pt idx="12">
                  <c:v>0.64666699999999999</c:v>
                </c:pt>
                <c:pt idx="13">
                  <c:v>1.276667</c:v>
                </c:pt>
                <c:pt idx="14">
                  <c:v>1.1100000000000001</c:v>
                </c:pt>
                <c:pt idx="15">
                  <c:v>1.45</c:v>
                </c:pt>
                <c:pt idx="16">
                  <c:v>0.86</c:v>
                </c:pt>
                <c:pt idx="17">
                  <c:v>1.3833329999999999</c:v>
                </c:pt>
                <c:pt idx="18">
                  <c:v>0.843333</c:v>
                </c:pt>
                <c:pt idx="19">
                  <c:v>1.23</c:v>
                </c:pt>
                <c:pt idx="20">
                  <c:v>0.73333300000000001</c:v>
                </c:pt>
                <c:pt idx="21">
                  <c:v>1.326667</c:v>
                </c:pt>
                <c:pt idx="22">
                  <c:v>1.003333</c:v>
                </c:pt>
                <c:pt idx="2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3-41BF-B225-FB4EC0014648}"/>
            </c:ext>
          </c:extLst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2-nd cut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Arkusz2!$D$3:$D$26</c:f>
              <c:numCache>
                <c:formatCode>General</c:formatCode>
                <c:ptCount val="24"/>
                <c:pt idx="0">
                  <c:v>50</c:v>
                </c:pt>
                <c:pt idx="2">
                  <c:v>873</c:v>
                </c:pt>
                <c:pt idx="4">
                  <c:v>801</c:v>
                </c:pt>
                <c:pt idx="6">
                  <c:v>131</c:v>
                </c:pt>
                <c:pt idx="8">
                  <c:v>685</c:v>
                </c:pt>
                <c:pt idx="10">
                  <c:v>730</c:v>
                </c:pt>
                <c:pt idx="12">
                  <c:v>45</c:v>
                </c:pt>
                <c:pt idx="14">
                  <c:v>273</c:v>
                </c:pt>
                <c:pt idx="16">
                  <c:v>160</c:v>
                </c:pt>
                <c:pt idx="18">
                  <c:v>129</c:v>
                </c:pt>
                <c:pt idx="20">
                  <c:v>227</c:v>
                </c:pt>
                <c:pt idx="22">
                  <c:v>87</c:v>
                </c:pt>
              </c:numCache>
            </c:numRef>
          </c:cat>
          <c:val>
            <c:numRef>
              <c:f>Arkusz2!$F$3:$F$26</c:f>
              <c:numCache>
                <c:formatCode>0.0</c:formatCode>
                <c:ptCount val="24"/>
                <c:pt idx="0">
                  <c:v>0.186667</c:v>
                </c:pt>
                <c:pt idx="1">
                  <c:v>0.74333300000000002</c:v>
                </c:pt>
                <c:pt idx="2">
                  <c:v>0.26</c:v>
                </c:pt>
                <c:pt idx="3">
                  <c:v>1.06</c:v>
                </c:pt>
                <c:pt idx="4">
                  <c:v>0.22666700000000001</c:v>
                </c:pt>
                <c:pt idx="5">
                  <c:v>0.92666700000000002</c:v>
                </c:pt>
                <c:pt idx="6">
                  <c:v>0.21333299999999999</c:v>
                </c:pt>
                <c:pt idx="7">
                  <c:v>0.98666699999999996</c:v>
                </c:pt>
                <c:pt idx="8">
                  <c:v>0.22666700000000001</c:v>
                </c:pt>
                <c:pt idx="9">
                  <c:v>0.96</c:v>
                </c:pt>
                <c:pt idx="10">
                  <c:v>0.17333299999999999</c:v>
                </c:pt>
                <c:pt idx="11">
                  <c:v>1.1000000000000001</c:v>
                </c:pt>
                <c:pt idx="12">
                  <c:v>0.09</c:v>
                </c:pt>
                <c:pt idx="13">
                  <c:v>0.65333300000000005</c:v>
                </c:pt>
                <c:pt idx="14">
                  <c:v>0.24</c:v>
                </c:pt>
                <c:pt idx="15">
                  <c:v>0.83333299999999999</c:v>
                </c:pt>
                <c:pt idx="16">
                  <c:v>0.216667</c:v>
                </c:pt>
                <c:pt idx="17">
                  <c:v>0.86</c:v>
                </c:pt>
                <c:pt idx="18">
                  <c:v>0.21333299999999999</c:v>
                </c:pt>
                <c:pt idx="19">
                  <c:v>0.89666699999999999</c:v>
                </c:pt>
                <c:pt idx="20">
                  <c:v>0.20333300000000001</c:v>
                </c:pt>
                <c:pt idx="21">
                  <c:v>0.96333299999999999</c:v>
                </c:pt>
                <c:pt idx="22">
                  <c:v>0.156667</c:v>
                </c:pt>
                <c:pt idx="23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F3-41BF-B225-FB4EC0014648}"/>
            </c:ext>
          </c:extLst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3-rd-cut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Arkusz2!$H$3:$H$26</c:f>
                <c:numCache>
                  <c:formatCode>General</c:formatCode>
                  <c:ptCount val="24"/>
                  <c:pt idx="0">
                    <c:v>0.24881900000000001</c:v>
                  </c:pt>
                  <c:pt idx="1">
                    <c:v>0.34990500000000002</c:v>
                  </c:pt>
                  <c:pt idx="2">
                    <c:v>0.34109299999999998</c:v>
                  </c:pt>
                  <c:pt idx="3">
                    <c:v>0.35881000000000002</c:v>
                  </c:pt>
                  <c:pt idx="4">
                    <c:v>0.163435</c:v>
                  </c:pt>
                  <c:pt idx="5">
                    <c:v>0.126667</c:v>
                  </c:pt>
                  <c:pt idx="6">
                    <c:v>9.6436999999999995E-2</c:v>
                  </c:pt>
                  <c:pt idx="7">
                    <c:v>0.37533699999999998</c:v>
                  </c:pt>
                  <c:pt idx="8">
                    <c:v>7.8386999999999998E-2</c:v>
                  </c:pt>
                  <c:pt idx="9">
                    <c:v>6.2449999999999999E-2</c:v>
                  </c:pt>
                  <c:pt idx="10">
                    <c:v>0.25095400000000001</c:v>
                  </c:pt>
                  <c:pt idx="11">
                    <c:v>0.37533699999999998</c:v>
                  </c:pt>
                  <c:pt idx="12">
                    <c:v>8.9691000000000007E-2</c:v>
                  </c:pt>
                  <c:pt idx="13">
                    <c:v>0.24360699999999999</c:v>
                  </c:pt>
                  <c:pt idx="14">
                    <c:v>0.30643100000000001</c:v>
                  </c:pt>
                  <c:pt idx="15">
                    <c:v>0.14075199999999999</c:v>
                  </c:pt>
                  <c:pt idx="16">
                    <c:v>0.11590200000000001</c:v>
                  </c:pt>
                  <c:pt idx="17">
                    <c:v>0.34352700000000003</c:v>
                  </c:pt>
                  <c:pt idx="18">
                    <c:v>9.6838999999999995E-2</c:v>
                  </c:pt>
                  <c:pt idx="19">
                    <c:v>0.212315</c:v>
                  </c:pt>
                  <c:pt idx="20">
                    <c:v>8.0897999999999998E-2</c:v>
                  </c:pt>
                  <c:pt idx="21">
                    <c:v>0.41393799999999997</c:v>
                  </c:pt>
                  <c:pt idx="22">
                    <c:v>8.1445000000000004E-2</c:v>
                  </c:pt>
                  <c:pt idx="23">
                    <c:v>0.22878899999999999</c:v>
                  </c:pt>
                </c:numCache>
              </c:numRef>
            </c:plus>
            <c:minus>
              <c:numRef>
                <c:f>Arkusz2!$H$3:$H$26</c:f>
                <c:numCache>
                  <c:formatCode>General</c:formatCode>
                  <c:ptCount val="24"/>
                  <c:pt idx="0">
                    <c:v>0.24881900000000001</c:v>
                  </c:pt>
                  <c:pt idx="1">
                    <c:v>0.34990500000000002</c:v>
                  </c:pt>
                  <c:pt idx="2">
                    <c:v>0.34109299999999998</c:v>
                  </c:pt>
                  <c:pt idx="3">
                    <c:v>0.35881000000000002</c:v>
                  </c:pt>
                  <c:pt idx="4">
                    <c:v>0.163435</c:v>
                  </c:pt>
                  <c:pt idx="5">
                    <c:v>0.126667</c:v>
                  </c:pt>
                  <c:pt idx="6">
                    <c:v>9.6436999999999995E-2</c:v>
                  </c:pt>
                  <c:pt idx="7">
                    <c:v>0.37533699999999998</c:v>
                  </c:pt>
                  <c:pt idx="8">
                    <c:v>7.8386999999999998E-2</c:v>
                  </c:pt>
                  <c:pt idx="9">
                    <c:v>6.2449999999999999E-2</c:v>
                  </c:pt>
                  <c:pt idx="10">
                    <c:v>0.25095400000000001</c:v>
                  </c:pt>
                  <c:pt idx="11">
                    <c:v>0.37533699999999998</c:v>
                  </c:pt>
                  <c:pt idx="12">
                    <c:v>8.9691000000000007E-2</c:v>
                  </c:pt>
                  <c:pt idx="13">
                    <c:v>0.24360699999999999</c:v>
                  </c:pt>
                  <c:pt idx="14">
                    <c:v>0.30643100000000001</c:v>
                  </c:pt>
                  <c:pt idx="15">
                    <c:v>0.14075199999999999</c:v>
                  </c:pt>
                  <c:pt idx="16">
                    <c:v>0.11590200000000001</c:v>
                  </c:pt>
                  <c:pt idx="17">
                    <c:v>0.34352700000000003</c:v>
                  </c:pt>
                  <c:pt idx="18">
                    <c:v>9.6838999999999995E-2</c:v>
                  </c:pt>
                  <c:pt idx="19">
                    <c:v>0.212315</c:v>
                  </c:pt>
                  <c:pt idx="20">
                    <c:v>8.0897999999999998E-2</c:v>
                  </c:pt>
                  <c:pt idx="21">
                    <c:v>0.41393799999999997</c:v>
                  </c:pt>
                  <c:pt idx="22">
                    <c:v>8.1445000000000004E-2</c:v>
                  </c:pt>
                  <c:pt idx="23">
                    <c:v>0.22878899999999999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Arkusz2!$D$3:$D$26</c:f>
              <c:numCache>
                <c:formatCode>General</c:formatCode>
                <c:ptCount val="24"/>
                <c:pt idx="0">
                  <c:v>50</c:v>
                </c:pt>
                <c:pt idx="2">
                  <c:v>873</c:v>
                </c:pt>
                <c:pt idx="4">
                  <c:v>801</c:v>
                </c:pt>
                <c:pt idx="6">
                  <c:v>131</c:v>
                </c:pt>
                <c:pt idx="8">
                  <c:v>685</c:v>
                </c:pt>
                <c:pt idx="10">
                  <c:v>730</c:v>
                </c:pt>
                <c:pt idx="12">
                  <c:v>45</c:v>
                </c:pt>
                <c:pt idx="14">
                  <c:v>273</c:v>
                </c:pt>
                <c:pt idx="16">
                  <c:v>160</c:v>
                </c:pt>
                <c:pt idx="18">
                  <c:v>129</c:v>
                </c:pt>
                <c:pt idx="20">
                  <c:v>227</c:v>
                </c:pt>
                <c:pt idx="22">
                  <c:v>87</c:v>
                </c:pt>
              </c:numCache>
            </c:numRef>
          </c:cat>
          <c:val>
            <c:numRef>
              <c:f>Arkusz2!$G$3:$G$26</c:f>
              <c:numCache>
                <c:formatCode>0.0</c:formatCode>
                <c:ptCount val="24"/>
                <c:pt idx="0">
                  <c:v>0.37666699999999997</c:v>
                </c:pt>
                <c:pt idx="1">
                  <c:v>0.71666700000000005</c:v>
                </c:pt>
                <c:pt idx="2">
                  <c:v>0.50666699999999998</c:v>
                </c:pt>
                <c:pt idx="3">
                  <c:v>0.91</c:v>
                </c:pt>
                <c:pt idx="4">
                  <c:v>0.43666700000000003</c:v>
                </c:pt>
                <c:pt idx="5">
                  <c:v>0.89</c:v>
                </c:pt>
                <c:pt idx="6">
                  <c:v>0.466667</c:v>
                </c:pt>
                <c:pt idx="7">
                  <c:v>1.07</c:v>
                </c:pt>
                <c:pt idx="8">
                  <c:v>0.31666699999999998</c:v>
                </c:pt>
                <c:pt idx="9">
                  <c:v>0.73</c:v>
                </c:pt>
                <c:pt idx="10">
                  <c:v>0.30666700000000002</c:v>
                </c:pt>
                <c:pt idx="11">
                  <c:v>0.81333299999999997</c:v>
                </c:pt>
                <c:pt idx="12">
                  <c:v>0.19666700000000001</c:v>
                </c:pt>
                <c:pt idx="13">
                  <c:v>0.79666700000000001</c:v>
                </c:pt>
                <c:pt idx="14">
                  <c:v>0.45</c:v>
                </c:pt>
                <c:pt idx="15">
                  <c:v>0.89</c:v>
                </c:pt>
                <c:pt idx="16">
                  <c:v>0.48333300000000001</c:v>
                </c:pt>
                <c:pt idx="17">
                  <c:v>0.93</c:v>
                </c:pt>
                <c:pt idx="18">
                  <c:v>0.4</c:v>
                </c:pt>
                <c:pt idx="19">
                  <c:v>0.8</c:v>
                </c:pt>
                <c:pt idx="20">
                  <c:v>0.39</c:v>
                </c:pt>
                <c:pt idx="21">
                  <c:v>1.1366670000000001</c:v>
                </c:pt>
                <c:pt idx="22">
                  <c:v>0.39</c:v>
                </c:pt>
                <c:pt idx="23">
                  <c:v>0.72666699999999995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F3-41BF-B225-FB4EC0014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5299840"/>
        <c:axId val="265301376"/>
      </c:barChart>
      <c:catAx>
        <c:axId val="26529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5301376"/>
        <c:crosses val="autoZero"/>
        <c:auto val="1"/>
        <c:lblAlgn val="ctr"/>
        <c:lblOffset val="100"/>
        <c:noMultiLvlLbl val="0"/>
      </c:catAx>
      <c:valAx>
        <c:axId val="2653013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>
                    <a:solidFill>
                      <a:sysClr val="windowText" lastClr="000000"/>
                    </a:solidFill>
                  </a:rPr>
                  <a:t>DM g </a:t>
                </a:r>
                <a:r>
                  <a:rPr lang="pl-PL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ꞏ </a:t>
                </a:r>
                <a:r>
                  <a:rPr lang="pl-PL" b="1">
                    <a:solidFill>
                      <a:sysClr val="windowText" lastClr="000000"/>
                    </a:solidFill>
                  </a:rPr>
                  <a:t>plant </a:t>
                </a:r>
                <a:r>
                  <a:rPr lang="pl-PL" b="1" baseline="30000">
                    <a:solidFill>
                      <a:sysClr val="windowText" lastClr="000000"/>
                    </a:solidFill>
                  </a:rPr>
                  <a:t>-1</a:t>
                </a:r>
              </a:p>
            </c:rich>
          </c:tx>
          <c:layout>
            <c:manualLayout>
              <c:xMode val="edge"/>
              <c:yMode val="edge"/>
              <c:x val="1.417092185243406E-2"/>
              <c:y val="0.319398555260636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158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529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189214124259708E-2"/>
          <c:y val="0.92374222732800571"/>
          <c:w val="0.8949940043275687"/>
          <c:h val="5.35718035245594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solidFill>
                  <a:sysClr val="windowText" lastClr="000000"/>
                </a:solidFill>
              </a:rPr>
              <a:t>E</a:t>
            </a:r>
            <a:r>
              <a:rPr lang="pl-PL" sz="1800" b="1" baseline="0">
                <a:solidFill>
                  <a:sysClr val="windowText" lastClr="000000"/>
                </a:solidFill>
              </a:rPr>
              <a:t> (+)</a:t>
            </a:r>
            <a:endParaRPr lang="pl-PL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373092252357345"/>
          <c:y val="7.0801141624606032E-2"/>
          <c:w val="0.87158896804566099"/>
          <c:h val="0.793138672417264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Arkusz2!$E$29</c:f>
              <c:strCache>
                <c:ptCount val="1"/>
                <c:pt idx="0">
                  <c:v>1-st cut</c:v>
                </c:pt>
              </c:strCache>
            </c:strRef>
          </c:tx>
          <c:spPr>
            <a:pattFill prst="pct25">
              <a:fgClr>
                <a:schemeClr val="bg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Arkusz2!$D$30:$D$53</c:f>
              <c:numCache>
                <c:formatCode>General</c:formatCode>
                <c:ptCount val="24"/>
                <c:pt idx="0">
                  <c:v>50</c:v>
                </c:pt>
                <c:pt idx="2">
                  <c:v>873</c:v>
                </c:pt>
                <c:pt idx="4">
                  <c:v>801</c:v>
                </c:pt>
                <c:pt idx="6">
                  <c:v>131</c:v>
                </c:pt>
                <c:pt idx="8">
                  <c:v>685</c:v>
                </c:pt>
                <c:pt idx="10">
                  <c:v>730</c:v>
                </c:pt>
                <c:pt idx="12">
                  <c:v>45</c:v>
                </c:pt>
                <c:pt idx="14">
                  <c:v>273</c:v>
                </c:pt>
                <c:pt idx="16">
                  <c:v>160</c:v>
                </c:pt>
                <c:pt idx="18">
                  <c:v>129</c:v>
                </c:pt>
                <c:pt idx="20">
                  <c:v>227</c:v>
                </c:pt>
                <c:pt idx="22">
                  <c:v>87</c:v>
                </c:pt>
              </c:numCache>
            </c:numRef>
          </c:cat>
          <c:val>
            <c:numRef>
              <c:f>Arkusz2!$E$30:$E$53</c:f>
              <c:numCache>
                <c:formatCode>0.0</c:formatCode>
                <c:ptCount val="24"/>
                <c:pt idx="0">
                  <c:v>1.0933330000000001</c:v>
                </c:pt>
                <c:pt idx="1">
                  <c:v>1.44</c:v>
                </c:pt>
                <c:pt idx="2">
                  <c:v>0.64333300000000004</c:v>
                </c:pt>
                <c:pt idx="3">
                  <c:v>1.18</c:v>
                </c:pt>
                <c:pt idx="4">
                  <c:v>0.71333299999999999</c:v>
                </c:pt>
                <c:pt idx="5">
                  <c:v>1.47</c:v>
                </c:pt>
                <c:pt idx="6">
                  <c:v>0.99</c:v>
                </c:pt>
                <c:pt idx="7">
                  <c:v>0.8</c:v>
                </c:pt>
                <c:pt idx="8">
                  <c:v>1.21</c:v>
                </c:pt>
                <c:pt idx="9">
                  <c:v>1.046667</c:v>
                </c:pt>
                <c:pt idx="10">
                  <c:v>0.97666699999999995</c:v>
                </c:pt>
                <c:pt idx="11">
                  <c:v>1.4</c:v>
                </c:pt>
                <c:pt idx="12">
                  <c:v>0.66333299999999995</c:v>
                </c:pt>
                <c:pt idx="13">
                  <c:v>1.5733330000000001</c:v>
                </c:pt>
                <c:pt idx="14">
                  <c:v>0.84</c:v>
                </c:pt>
                <c:pt idx="15">
                  <c:v>1.223333</c:v>
                </c:pt>
                <c:pt idx="16">
                  <c:v>0.72</c:v>
                </c:pt>
                <c:pt idx="17">
                  <c:v>1.36</c:v>
                </c:pt>
                <c:pt idx="18">
                  <c:v>0.66333299999999995</c:v>
                </c:pt>
                <c:pt idx="19">
                  <c:v>1.42</c:v>
                </c:pt>
                <c:pt idx="20">
                  <c:v>0.68666700000000003</c:v>
                </c:pt>
                <c:pt idx="21">
                  <c:v>0.69666700000000004</c:v>
                </c:pt>
                <c:pt idx="22">
                  <c:v>0.78</c:v>
                </c:pt>
                <c:pt idx="23">
                  <c:v>1.1066670000000001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0-4538-9F25-4A27A522FFB2}"/>
            </c:ext>
          </c:extLst>
        </c:ser>
        <c:ser>
          <c:idx val="1"/>
          <c:order val="1"/>
          <c:tx>
            <c:strRef>
              <c:f>Arkusz2!$F$29</c:f>
              <c:strCache>
                <c:ptCount val="1"/>
                <c:pt idx="0">
                  <c:v>2-nd cut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Arkusz2!$D$30:$D$53</c:f>
              <c:numCache>
                <c:formatCode>General</c:formatCode>
                <c:ptCount val="24"/>
                <c:pt idx="0">
                  <c:v>50</c:v>
                </c:pt>
                <c:pt idx="2">
                  <c:v>873</c:v>
                </c:pt>
                <c:pt idx="4">
                  <c:v>801</c:v>
                </c:pt>
                <c:pt idx="6">
                  <c:v>131</c:v>
                </c:pt>
                <c:pt idx="8">
                  <c:v>685</c:v>
                </c:pt>
                <c:pt idx="10">
                  <c:v>730</c:v>
                </c:pt>
                <c:pt idx="12">
                  <c:v>45</c:v>
                </c:pt>
                <c:pt idx="14">
                  <c:v>273</c:v>
                </c:pt>
                <c:pt idx="16">
                  <c:v>160</c:v>
                </c:pt>
                <c:pt idx="18">
                  <c:v>129</c:v>
                </c:pt>
                <c:pt idx="20">
                  <c:v>227</c:v>
                </c:pt>
                <c:pt idx="22">
                  <c:v>87</c:v>
                </c:pt>
              </c:numCache>
            </c:numRef>
          </c:cat>
          <c:val>
            <c:numRef>
              <c:f>Arkusz2!$F$30:$F$53</c:f>
              <c:numCache>
                <c:formatCode>0.0</c:formatCode>
                <c:ptCount val="24"/>
                <c:pt idx="0">
                  <c:v>0.19</c:v>
                </c:pt>
                <c:pt idx="1">
                  <c:v>1.32</c:v>
                </c:pt>
                <c:pt idx="2">
                  <c:v>0.18</c:v>
                </c:pt>
                <c:pt idx="3">
                  <c:v>1.1166670000000001</c:v>
                </c:pt>
                <c:pt idx="4">
                  <c:v>0.186667</c:v>
                </c:pt>
                <c:pt idx="5">
                  <c:v>1.0633330000000001</c:v>
                </c:pt>
                <c:pt idx="6">
                  <c:v>0.22666700000000001</c:v>
                </c:pt>
                <c:pt idx="7">
                  <c:v>0.90333300000000005</c:v>
                </c:pt>
                <c:pt idx="8">
                  <c:v>0.26</c:v>
                </c:pt>
                <c:pt idx="9">
                  <c:v>0.94</c:v>
                </c:pt>
                <c:pt idx="10">
                  <c:v>0.30333300000000002</c:v>
                </c:pt>
                <c:pt idx="11">
                  <c:v>1.19</c:v>
                </c:pt>
                <c:pt idx="12">
                  <c:v>0.16333300000000001</c:v>
                </c:pt>
                <c:pt idx="13">
                  <c:v>0.93666700000000003</c:v>
                </c:pt>
                <c:pt idx="14">
                  <c:v>0.25333299999999997</c:v>
                </c:pt>
                <c:pt idx="15">
                  <c:v>1.1100000000000001</c:v>
                </c:pt>
                <c:pt idx="16">
                  <c:v>0.25</c:v>
                </c:pt>
                <c:pt idx="17">
                  <c:v>0.85</c:v>
                </c:pt>
                <c:pt idx="18">
                  <c:v>0.28666700000000001</c:v>
                </c:pt>
                <c:pt idx="19">
                  <c:v>0.89666699999999999</c:v>
                </c:pt>
                <c:pt idx="20">
                  <c:v>0.20666699999999999</c:v>
                </c:pt>
                <c:pt idx="21">
                  <c:v>0.73</c:v>
                </c:pt>
                <c:pt idx="22">
                  <c:v>0.13666700000000001</c:v>
                </c:pt>
                <c:pt idx="2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0-4538-9F25-4A27A522FFB2}"/>
            </c:ext>
          </c:extLst>
        </c:ser>
        <c:ser>
          <c:idx val="2"/>
          <c:order val="2"/>
          <c:tx>
            <c:strRef>
              <c:f>Arkusz2!$G$29</c:f>
              <c:strCache>
                <c:ptCount val="1"/>
                <c:pt idx="0">
                  <c:v>3-rd-cut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Arkusz2!$H$30:$H$53</c:f>
                <c:numCache>
                  <c:formatCode>General</c:formatCode>
                  <c:ptCount val="24"/>
                  <c:pt idx="0">
                    <c:v>0.237791</c:v>
                  </c:pt>
                  <c:pt idx="1">
                    <c:v>0.218581</c:v>
                  </c:pt>
                  <c:pt idx="2">
                    <c:v>0.325013</c:v>
                  </c:pt>
                  <c:pt idx="3">
                    <c:v>0.20275899999999999</c:v>
                  </c:pt>
                  <c:pt idx="4">
                    <c:v>8.8190000000000004E-2</c:v>
                  </c:pt>
                  <c:pt idx="5">
                    <c:v>0.30550500000000003</c:v>
                  </c:pt>
                  <c:pt idx="6">
                    <c:v>0.21385399999999999</c:v>
                  </c:pt>
                  <c:pt idx="7">
                    <c:v>0.105987</c:v>
                  </c:pt>
                  <c:pt idx="8">
                    <c:v>0.218581</c:v>
                  </c:pt>
                  <c:pt idx="9">
                    <c:v>0.184782</c:v>
                  </c:pt>
                  <c:pt idx="10">
                    <c:v>7.0000000000000007E-2</c:v>
                  </c:pt>
                  <c:pt idx="11">
                    <c:v>0.14041500000000001</c:v>
                  </c:pt>
                  <c:pt idx="12">
                    <c:v>0.15592</c:v>
                  </c:pt>
                  <c:pt idx="13">
                    <c:v>0.13316700000000001</c:v>
                  </c:pt>
                  <c:pt idx="14">
                    <c:v>4.6667E-2</c:v>
                  </c:pt>
                  <c:pt idx="15">
                    <c:v>0.218581</c:v>
                  </c:pt>
                  <c:pt idx="16">
                    <c:v>4.1633000000000003E-2</c:v>
                  </c:pt>
                  <c:pt idx="17">
                    <c:v>0.17616299999999999</c:v>
                  </c:pt>
                  <c:pt idx="18">
                    <c:v>0.112002</c:v>
                  </c:pt>
                  <c:pt idx="19">
                    <c:v>0.343721</c:v>
                  </c:pt>
                  <c:pt idx="20">
                    <c:v>0.115036</c:v>
                  </c:pt>
                  <c:pt idx="21">
                    <c:v>0.32233499999999998</c:v>
                  </c:pt>
                  <c:pt idx="22">
                    <c:v>7.7960000000000002E-2</c:v>
                  </c:pt>
                  <c:pt idx="23">
                    <c:v>0.39569900000000002</c:v>
                  </c:pt>
                </c:numCache>
              </c:numRef>
            </c:plus>
            <c:minus>
              <c:numRef>
                <c:f>Arkusz2!$H$30:$H$53</c:f>
                <c:numCache>
                  <c:formatCode>General</c:formatCode>
                  <c:ptCount val="24"/>
                  <c:pt idx="0">
                    <c:v>0.237791</c:v>
                  </c:pt>
                  <c:pt idx="1">
                    <c:v>0.218581</c:v>
                  </c:pt>
                  <c:pt idx="2">
                    <c:v>0.325013</c:v>
                  </c:pt>
                  <c:pt idx="3">
                    <c:v>0.20275899999999999</c:v>
                  </c:pt>
                  <c:pt idx="4">
                    <c:v>8.8190000000000004E-2</c:v>
                  </c:pt>
                  <c:pt idx="5">
                    <c:v>0.30550500000000003</c:v>
                  </c:pt>
                  <c:pt idx="6">
                    <c:v>0.21385399999999999</c:v>
                  </c:pt>
                  <c:pt idx="7">
                    <c:v>0.105987</c:v>
                  </c:pt>
                  <c:pt idx="8">
                    <c:v>0.218581</c:v>
                  </c:pt>
                  <c:pt idx="9">
                    <c:v>0.184782</c:v>
                  </c:pt>
                  <c:pt idx="10">
                    <c:v>7.0000000000000007E-2</c:v>
                  </c:pt>
                  <c:pt idx="11">
                    <c:v>0.14041500000000001</c:v>
                  </c:pt>
                  <c:pt idx="12">
                    <c:v>0.15592</c:v>
                  </c:pt>
                  <c:pt idx="13">
                    <c:v>0.13316700000000001</c:v>
                  </c:pt>
                  <c:pt idx="14">
                    <c:v>4.6667E-2</c:v>
                  </c:pt>
                  <c:pt idx="15">
                    <c:v>0.218581</c:v>
                  </c:pt>
                  <c:pt idx="16">
                    <c:v>4.1633000000000003E-2</c:v>
                  </c:pt>
                  <c:pt idx="17">
                    <c:v>0.17616299999999999</c:v>
                  </c:pt>
                  <c:pt idx="18">
                    <c:v>0.112002</c:v>
                  </c:pt>
                  <c:pt idx="19">
                    <c:v>0.343721</c:v>
                  </c:pt>
                  <c:pt idx="20">
                    <c:v>0.115036</c:v>
                  </c:pt>
                  <c:pt idx="21">
                    <c:v>0.32233499999999998</c:v>
                  </c:pt>
                  <c:pt idx="22">
                    <c:v>7.7960000000000002E-2</c:v>
                  </c:pt>
                  <c:pt idx="23">
                    <c:v>0.39569900000000002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Arkusz2!$D$30:$D$53</c:f>
              <c:numCache>
                <c:formatCode>General</c:formatCode>
                <c:ptCount val="24"/>
                <c:pt idx="0">
                  <c:v>50</c:v>
                </c:pt>
                <c:pt idx="2">
                  <c:v>873</c:v>
                </c:pt>
                <c:pt idx="4">
                  <c:v>801</c:v>
                </c:pt>
                <c:pt idx="6">
                  <c:v>131</c:v>
                </c:pt>
                <c:pt idx="8">
                  <c:v>685</c:v>
                </c:pt>
                <c:pt idx="10">
                  <c:v>730</c:v>
                </c:pt>
                <c:pt idx="12">
                  <c:v>45</c:v>
                </c:pt>
                <c:pt idx="14">
                  <c:v>273</c:v>
                </c:pt>
                <c:pt idx="16">
                  <c:v>160</c:v>
                </c:pt>
                <c:pt idx="18">
                  <c:v>129</c:v>
                </c:pt>
                <c:pt idx="20">
                  <c:v>227</c:v>
                </c:pt>
                <c:pt idx="22">
                  <c:v>87</c:v>
                </c:pt>
              </c:numCache>
            </c:numRef>
          </c:cat>
          <c:val>
            <c:numRef>
              <c:f>Arkusz2!$G$30:$G$53</c:f>
              <c:numCache>
                <c:formatCode>0.0</c:formatCode>
                <c:ptCount val="24"/>
                <c:pt idx="0">
                  <c:v>0.27</c:v>
                </c:pt>
                <c:pt idx="1">
                  <c:v>1.05</c:v>
                </c:pt>
                <c:pt idx="2">
                  <c:v>0.36666700000000002</c:v>
                </c:pt>
                <c:pt idx="3">
                  <c:v>0.98</c:v>
                </c:pt>
                <c:pt idx="4">
                  <c:v>0.25333299999999997</c:v>
                </c:pt>
                <c:pt idx="5">
                  <c:v>0.89666699999999999</c:v>
                </c:pt>
                <c:pt idx="6">
                  <c:v>0.33333299999999999</c:v>
                </c:pt>
                <c:pt idx="7">
                  <c:v>0.94666700000000004</c:v>
                </c:pt>
                <c:pt idx="8">
                  <c:v>0.54333299999999995</c:v>
                </c:pt>
                <c:pt idx="9">
                  <c:v>0.85666699999999996</c:v>
                </c:pt>
                <c:pt idx="10">
                  <c:v>0.51</c:v>
                </c:pt>
                <c:pt idx="11">
                  <c:v>1.1599999999999999</c:v>
                </c:pt>
                <c:pt idx="12">
                  <c:v>0.2</c:v>
                </c:pt>
                <c:pt idx="13">
                  <c:v>1.07</c:v>
                </c:pt>
                <c:pt idx="14">
                  <c:v>0.28000000000000003</c:v>
                </c:pt>
                <c:pt idx="15">
                  <c:v>1.036667</c:v>
                </c:pt>
                <c:pt idx="16">
                  <c:v>0.27</c:v>
                </c:pt>
                <c:pt idx="17">
                  <c:v>0.99</c:v>
                </c:pt>
                <c:pt idx="18">
                  <c:v>0.39666699999999999</c:v>
                </c:pt>
                <c:pt idx="19">
                  <c:v>0.79666700000000001</c:v>
                </c:pt>
                <c:pt idx="20">
                  <c:v>0.41666700000000001</c:v>
                </c:pt>
                <c:pt idx="21">
                  <c:v>0.77333300000000005</c:v>
                </c:pt>
                <c:pt idx="22">
                  <c:v>0.35</c:v>
                </c:pt>
                <c:pt idx="23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00-4538-9F25-4A27A522F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4545024"/>
        <c:axId val="264546560"/>
      </c:barChart>
      <c:catAx>
        <c:axId val="2645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4546560"/>
        <c:crosses val="autoZero"/>
        <c:auto val="1"/>
        <c:lblAlgn val="ctr"/>
        <c:lblOffset val="100"/>
        <c:noMultiLvlLbl val="0"/>
      </c:catAx>
      <c:valAx>
        <c:axId val="264546560"/>
        <c:scaling>
          <c:orientation val="minMax"/>
          <c:max val="4.5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 w="158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454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690302537284069E-2"/>
          <c:y val="0.93244705662407823"/>
          <c:w val="0.90277236561606578"/>
          <c:h val="4.9834230042845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IHAR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Żurek</dc:creator>
  <cp:lastModifiedBy>Grzegorz Żurek</cp:lastModifiedBy>
  <cp:revision>6</cp:revision>
  <cp:lastPrinted>2020-06-19T09:41:00Z</cp:lastPrinted>
  <dcterms:created xsi:type="dcterms:W3CDTF">2020-04-29T13:34:00Z</dcterms:created>
  <dcterms:modified xsi:type="dcterms:W3CDTF">2020-06-22T11:09:00Z</dcterms:modified>
</cp:coreProperties>
</file>