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F332B" w14:textId="353CB687" w:rsidR="004436BC" w:rsidRDefault="004436BC" w:rsidP="004436B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4436BC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t>Validation, and clinical experience of MSK-ACCESS, an ultra-deep cell-free DNA sequencing assay for non-invasive somatic genomic profiling</w:t>
      </w:r>
    </w:p>
    <w:p w14:paraId="75332278" w14:textId="77777777" w:rsidR="004436BC" w:rsidRDefault="004436BC">
      <w:pP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br w:type="page"/>
      </w:r>
    </w:p>
    <w:p w14:paraId="1B077615" w14:textId="77777777" w:rsidR="004436BC" w:rsidRDefault="004436BC" w:rsidP="004436B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14:paraId="24E0DAAB" w14:textId="4C0E5993" w:rsidR="004436BC" w:rsidRPr="004436BC" w:rsidRDefault="004436BC" w:rsidP="00443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36B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</w:t>
      </w:r>
    </w:p>
    <w:p w14:paraId="466FE49D" w14:textId="5669E778" w:rsidR="001B71AA" w:rsidRDefault="001B71AA">
      <w:r>
        <w:rPr>
          <w:noProof/>
        </w:rPr>
        <w:drawing>
          <wp:inline distT="0" distB="0" distL="0" distR="0" wp14:anchorId="1FAA79C0" wp14:editId="6B452358">
            <wp:extent cx="5943600" cy="4245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age_distribution_for_exons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ABD5" w14:textId="7BCD7219" w:rsidR="006D4034" w:rsidRDefault="004436BC" w:rsidP="004436BC">
      <w:bookmarkStart w:id="1" w:name="_Toc42262249"/>
      <w:r w:rsidRPr="004436BC">
        <w:rPr>
          <w:b/>
          <w:bCs/>
        </w:rPr>
        <w:t xml:space="preserve">Supplemental Figure </w:t>
      </w:r>
      <w:r w:rsidR="008B790A">
        <w:rPr>
          <w:b/>
          <w:bCs/>
        </w:rPr>
        <w:t>1</w:t>
      </w:r>
      <w:r w:rsidRPr="004436BC">
        <w:rPr>
          <w:b/>
          <w:bCs/>
        </w:rPr>
        <w:t>: MSK-ACCESS exon coverage</w:t>
      </w:r>
      <w:bookmarkEnd w:id="1"/>
      <w:r w:rsidRPr="004436BC">
        <w:rPr>
          <w:b/>
          <w:bCs/>
        </w:rPr>
        <w:t>.</w:t>
      </w:r>
      <w:r>
        <w:t xml:space="preserve"> </w:t>
      </w:r>
      <w:r w:rsidR="001B71AA">
        <w:t xml:space="preserve">Mean </w:t>
      </w:r>
      <w:r w:rsidR="006D4034">
        <w:t xml:space="preserve">coverage of all MSK-ACCESS </w:t>
      </w:r>
      <w:r w:rsidR="001B71AA">
        <w:t>exon</w:t>
      </w:r>
      <w:r w:rsidR="006D4034">
        <w:t>s</w:t>
      </w:r>
      <w:r w:rsidR="001B71AA">
        <w:t xml:space="preserve"> </w:t>
      </w:r>
      <w:r w:rsidR="006D4034">
        <w:t>across</w:t>
      </w:r>
      <w:r w:rsidR="001B71AA">
        <w:t xml:space="preserve"> 47 </w:t>
      </w:r>
      <w:r w:rsidR="006D4034">
        <w:t>healthy donor plasma samples.</w:t>
      </w:r>
    </w:p>
    <w:p w14:paraId="54E08962" w14:textId="77777777" w:rsidR="006D4034" w:rsidRDefault="006D4034">
      <w:r>
        <w:br w:type="page"/>
      </w:r>
    </w:p>
    <w:p w14:paraId="37E1D437" w14:textId="0AC4EDF9" w:rsidR="001B71AA" w:rsidRDefault="001B71AA"/>
    <w:p w14:paraId="74DA08F5" w14:textId="2448DAF9" w:rsidR="001B71AA" w:rsidRDefault="00A9570C">
      <w:r>
        <w:rPr>
          <w:noProof/>
        </w:rPr>
        <w:drawing>
          <wp:inline distT="0" distB="0" distL="0" distR="0" wp14:anchorId="1FB1DF2F" wp14:editId="1155A91D">
            <wp:extent cx="5943600" cy="3814445"/>
            <wp:effectExtent l="0" t="0" r="0" b="0"/>
            <wp:docPr id="900501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54213" w14:textId="588A4F19" w:rsidR="00A9570C" w:rsidRDefault="004436BC" w:rsidP="004436BC">
      <w:bookmarkStart w:id="2" w:name="_Toc42262250"/>
      <w:r w:rsidRPr="004436BC">
        <w:rPr>
          <w:b/>
          <w:bCs/>
        </w:rPr>
        <w:t xml:space="preserve">Supplemental Figure </w:t>
      </w:r>
      <w:r w:rsidR="008B790A">
        <w:rPr>
          <w:b/>
          <w:bCs/>
        </w:rPr>
        <w:t>2</w:t>
      </w:r>
      <w:r w:rsidRPr="004436BC">
        <w:rPr>
          <w:b/>
          <w:bCs/>
        </w:rPr>
        <w:t xml:space="preserve">: </w:t>
      </w:r>
      <w:proofErr w:type="spellStart"/>
      <w:r w:rsidRPr="004436BC">
        <w:rPr>
          <w:b/>
          <w:bCs/>
        </w:rPr>
        <w:t>HiSeq</w:t>
      </w:r>
      <w:proofErr w:type="spellEnd"/>
      <w:r w:rsidRPr="004436BC">
        <w:rPr>
          <w:b/>
          <w:bCs/>
        </w:rPr>
        <w:t xml:space="preserve"> 2500 error rate</w:t>
      </w:r>
      <w:bookmarkEnd w:id="2"/>
      <w:r w:rsidRPr="004436BC">
        <w:rPr>
          <w:b/>
          <w:bCs/>
        </w:rPr>
        <w:t>.</w:t>
      </w:r>
      <w:r>
        <w:t xml:space="preserve"> </w:t>
      </w:r>
      <w:r w:rsidR="00A9570C">
        <w:t xml:space="preserve">Error rate at sites with non-reference alleles in MSK-ACCESS panel in 47 healthy donor plasma samples sequenced on the </w:t>
      </w:r>
      <w:proofErr w:type="spellStart"/>
      <w:r w:rsidR="00A9570C">
        <w:t>HiSeq</w:t>
      </w:r>
      <w:proofErr w:type="spellEnd"/>
      <w:r w:rsidR="00A9570C">
        <w:t xml:space="preserve"> 2500.</w:t>
      </w:r>
    </w:p>
    <w:p w14:paraId="04A574EF" w14:textId="5A839544" w:rsidR="00A9570C" w:rsidRDefault="00A9570C"/>
    <w:p w14:paraId="0502447F" w14:textId="430A7A1A" w:rsidR="00A9570C" w:rsidRDefault="00A9570C">
      <w:r>
        <w:br w:type="page"/>
      </w:r>
    </w:p>
    <w:p w14:paraId="6FEED3BE" w14:textId="77777777" w:rsidR="0074765C" w:rsidRDefault="0074765C"/>
    <w:p w14:paraId="62CD874E" w14:textId="64091117" w:rsidR="00F87E2A" w:rsidRDefault="0074765C" w:rsidP="44A34036">
      <w:r>
        <w:rPr>
          <w:noProof/>
        </w:rPr>
        <w:drawing>
          <wp:inline distT="0" distB="0" distL="0" distR="0" wp14:anchorId="6A00AD57" wp14:editId="256A7493">
            <wp:extent cx="5943600" cy="4257675"/>
            <wp:effectExtent l="0" t="0" r="0" b="0"/>
            <wp:docPr id="1151549494" name="Picture 115154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DBD40" w14:textId="6BF5B34E" w:rsidR="0074765C" w:rsidRPr="004436BC" w:rsidRDefault="31F55863" w:rsidP="31F55863">
      <w:bookmarkStart w:id="3" w:name="_Toc42262251"/>
      <w:r w:rsidRPr="31F55863">
        <w:rPr>
          <w:b/>
          <w:bCs/>
        </w:rPr>
        <w:t xml:space="preserve">Supplemental Figure 3: </w:t>
      </w:r>
      <w:proofErr w:type="spellStart"/>
      <w:r w:rsidRPr="31F55863">
        <w:rPr>
          <w:b/>
          <w:bCs/>
        </w:rPr>
        <w:t>OncoKB</w:t>
      </w:r>
      <w:proofErr w:type="spellEnd"/>
      <w:r w:rsidRPr="31F55863">
        <w:rPr>
          <w:b/>
          <w:bCs/>
        </w:rPr>
        <w:t xml:space="preserve"> levels of MSK-ACCESS-only mutations.</w:t>
      </w:r>
      <w:r>
        <w:t xml:space="preserve"> Fraction of mutations called only by MSK-ACCESS and colored by </w:t>
      </w:r>
      <w:proofErr w:type="spellStart"/>
      <w:r>
        <w:t>OncoKB</w:t>
      </w:r>
      <w:proofErr w:type="spellEnd"/>
      <w:r>
        <w:t xml:space="preserve"> designation</w:t>
      </w:r>
      <w:r w:rsidR="004436BC">
        <w:br w:type="page"/>
      </w:r>
      <w:bookmarkEnd w:id="3"/>
    </w:p>
    <w:p w14:paraId="43D11AFB" w14:textId="242F6BBB" w:rsidR="0074765C" w:rsidRPr="004436BC" w:rsidRDefault="004436BC" w:rsidP="31F55863">
      <w:r>
        <w:rPr>
          <w:noProof/>
        </w:rPr>
        <w:lastRenderedPageBreak/>
        <w:drawing>
          <wp:inline distT="0" distB="0" distL="0" distR="0" wp14:anchorId="2FFE2BA0" wp14:editId="56300FC3">
            <wp:extent cx="4306916" cy="3257600"/>
            <wp:effectExtent l="0" t="0" r="0" b="0"/>
            <wp:docPr id="151026224" name="Picture 15102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2" t="8333" r="9433" b="48333"/>
                    <a:stretch>
                      <a:fillRect/>
                    </a:stretch>
                  </pic:blipFill>
                  <pic:spPr>
                    <a:xfrm>
                      <a:off x="0" y="0"/>
                      <a:ext cx="4306916" cy="32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1CC6" w14:textId="060F5355" w:rsidR="31F55863" w:rsidRDefault="31F55863" w:rsidP="31F55863">
      <w:pPr>
        <w:rPr>
          <w:color w:val="FF0000"/>
        </w:rPr>
      </w:pPr>
      <w:r w:rsidRPr="31F55863">
        <w:rPr>
          <w:b/>
          <w:bCs/>
          <w:color w:val="FF0000"/>
        </w:rPr>
        <w:t xml:space="preserve">Supplemental Figure 4: Tumor content of MSK-IMPACT tissue samples for patients used in the concordance analysis. </w:t>
      </w:r>
      <w:r w:rsidRPr="31F55863">
        <w:rPr>
          <w:color w:val="FF0000"/>
        </w:rPr>
        <w:t xml:space="preserve">Tumor content of tissue samples were evaluated by FACETS and plotted for </w:t>
      </w:r>
      <w:proofErr w:type="spellStart"/>
      <w:r w:rsidRPr="31F55863">
        <w:rPr>
          <w:color w:val="FF0000"/>
        </w:rPr>
        <w:t>i</w:t>
      </w:r>
      <w:proofErr w:type="spellEnd"/>
      <w:r w:rsidRPr="31F55863">
        <w:rPr>
          <w:color w:val="FF0000"/>
        </w:rPr>
        <w:t>.) all samples, ii.) samples belonging to patients presenting actionable mutations on both assays, iii.) samples belonging to patients with actionable mutations detected in MSK-IMPACT only, and iv) samples belonging to patients with actionable mutations detected in MSK-ACCESS only.</w:t>
      </w:r>
    </w:p>
    <w:p w14:paraId="27D62E14" w14:textId="3C6E2A93" w:rsidR="31F55863" w:rsidRDefault="31F55863" w:rsidP="31F55863">
      <w:pPr>
        <w:rPr>
          <w:b/>
          <w:bCs/>
        </w:rPr>
      </w:pPr>
    </w:p>
    <w:p w14:paraId="6B4D4428" w14:textId="3CFA0764" w:rsidR="31F55863" w:rsidRDefault="31F55863" w:rsidP="31F55863">
      <w:r>
        <w:rPr>
          <w:noProof/>
        </w:rPr>
        <w:lastRenderedPageBreak/>
        <w:drawing>
          <wp:inline distT="0" distB="0" distL="0" distR="0" wp14:anchorId="6EA3FC24" wp14:editId="45743433">
            <wp:extent cx="3649080" cy="3410001"/>
            <wp:effectExtent l="0" t="0" r="0" b="0"/>
            <wp:docPr id="784117229" name="Picture 78411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2" t="52291" r="22371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3649080" cy="341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2722" w14:textId="16B4CCCA" w:rsidR="46379751" w:rsidRDefault="3E9B2632" w:rsidP="3E9B2632">
      <w:r w:rsidRPr="3E9B2632">
        <w:rPr>
          <w:b/>
          <w:bCs/>
          <w:color w:val="FF0000"/>
        </w:rPr>
        <w:t xml:space="preserve">Supplemental Figure 5: Absolute time difference (ΔDOP) between MSK-IMPACT tissue sample and MSK-ACCESS blood sample collection. </w:t>
      </w:r>
      <w:r w:rsidRPr="3E9B2632">
        <w:rPr>
          <w:color w:val="FF0000"/>
        </w:rPr>
        <w:t>ΔDOP was evaluated for patients with actionable mutations in MSK-IMPACT only, in both assays, and in MSK-ACCESS only. The p values were obtained from pairwise comparisons using two-sided Mann-Whitney U-tests and adjusted for multiple testing using the Bonferroni method.</w:t>
      </w:r>
      <w:r w:rsidR="46379751">
        <w:br w:type="page"/>
      </w:r>
    </w:p>
    <w:p w14:paraId="34C0FEF9" w14:textId="4AD03B0E" w:rsidR="00232A34" w:rsidRDefault="00232A34">
      <w:pPr>
        <w:rPr>
          <w:noProof/>
        </w:rPr>
      </w:pPr>
    </w:p>
    <w:p w14:paraId="31766AEB" w14:textId="303DFCB4" w:rsidR="009217C9" w:rsidRDefault="009217C9">
      <w:pPr>
        <w:rPr>
          <w:noProof/>
        </w:rPr>
      </w:pPr>
      <w:r>
        <w:rPr>
          <w:noProof/>
        </w:rPr>
        <w:drawing>
          <wp:inline distT="0" distB="0" distL="0" distR="0" wp14:anchorId="55146406" wp14:editId="6311DB9D">
            <wp:extent cx="5943600" cy="2742565"/>
            <wp:effectExtent l="0" t="0" r="0" b="635"/>
            <wp:docPr id="20699718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FDD04" w14:textId="77777777" w:rsidR="0074765C" w:rsidRDefault="0074765C"/>
    <w:p w14:paraId="556F9C28" w14:textId="363C6A1C" w:rsidR="00F87E2A" w:rsidRDefault="31F55863" w:rsidP="004436BC">
      <w:bookmarkStart w:id="4" w:name="_Toc42262252"/>
      <w:r w:rsidRPr="31F55863">
        <w:rPr>
          <w:b/>
          <w:bCs/>
          <w:color w:val="FF0000"/>
        </w:rPr>
        <w:t>Supplemental Figure 6</w:t>
      </w:r>
      <w:r w:rsidRPr="31F55863">
        <w:rPr>
          <w:b/>
          <w:bCs/>
        </w:rPr>
        <w:t>: Genes filtered out with matched WBC.</w:t>
      </w:r>
      <w:r>
        <w:t xml:space="preserve"> Number of mutations per gene and tumor type that would remain in clinical samples after filtering with curated healthy normal plasma samples and </w:t>
      </w:r>
      <w:proofErr w:type="spellStart"/>
      <w:r>
        <w:t>gnomAD</w:t>
      </w:r>
      <w:proofErr w:type="spellEnd"/>
      <w:r>
        <w:t xml:space="preserve"> if WBC normal was not used. The red line denotes the number of total mutations that would be present if calls were further filtered for presence in COSMIC hematologic samples; while potential CH mutations would be removed, some tumor derived mutations would also be filtered out.</w:t>
      </w:r>
      <w:bookmarkEnd w:id="4"/>
    </w:p>
    <w:p w14:paraId="1A9D2D97" w14:textId="1AEACC47" w:rsidR="00232A34" w:rsidRDefault="00232A34"/>
    <w:p w14:paraId="3CAB9224" w14:textId="1D123A75" w:rsidR="00232A34" w:rsidRDefault="00232A34">
      <w:r>
        <w:br w:type="page"/>
      </w:r>
    </w:p>
    <w:p w14:paraId="44DC7502" w14:textId="0B92020E" w:rsidR="00355A76" w:rsidRDefault="00355A76"/>
    <w:p w14:paraId="7B65879B" w14:textId="158A31B8" w:rsidR="00DC61C2" w:rsidRDefault="00DC61C2">
      <w:r>
        <w:t>Patient plasma vs healthy normal plasma sample</w:t>
      </w:r>
    </w:p>
    <w:p w14:paraId="4CC376DE" w14:textId="27A5AE9B" w:rsidR="00355A76" w:rsidRDefault="00DC61C2">
      <w:r>
        <w:rPr>
          <w:noProof/>
        </w:rPr>
        <w:drawing>
          <wp:inline distT="0" distB="0" distL="0" distR="0" wp14:anchorId="1A283120" wp14:editId="4CF01DC2">
            <wp:extent cx="5943600" cy="1941195"/>
            <wp:effectExtent l="0" t="0" r="0" b="1905"/>
            <wp:docPr id="214498457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906D" w14:textId="34D29637" w:rsidR="00DC61C2" w:rsidRDefault="00DC61C2"/>
    <w:p w14:paraId="0DD9961F" w14:textId="49925063" w:rsidR="00DC61C2" w:rsidRDefault="00DC61C2">
      <w:r>
        <w:t>Patient WBC vs healthy normal WBC sample</w:t>
      </w:r>
    </w:p>
    <w:p w14:paraId="0D22D4DD" w14:textId="5DC27CAE" w:rsidR="00DC61C2" w:rsidRDefault="00DC61C2">
      <w:r>
        <w:rPr>
          <w:noProof/>
        </w:rPr>
        <w:drawing>
          <wp:inline distT="0" distB="0" distL="0" distR="0" wp14:anchorId="54FC00D5" wp14:editId="7953E166">
            <wp:extent cx="5943600" cy="1871980"/>
            <wp:effectExtent l="0" t="0" r="0" b="0"/>
            <wp:docPr id="19870732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038B" w14:textId="20395F86" w:rsidR="00DC61C2" w:rsidRDefault="31F55863" w:rsidP="004436BC">
      <w:bookmarkStart w:id="5" w:name="_Toc42262253"/>
      <w:r w:rsidRPr="31F55863">
        <w:rPr>
          <w:b/>
          <w:bCs/>
          <w:color w:val="FF0000"/>
        </w:rPr>
        <w:t>Supplemental Figure 7</w:t>
      </w:r>
      <w:r w:rsidRPr="31F55863">
        <w:rPr>
          <w:b/>
          <w:bCs/>
        </w:rPr>
        <w:t>: Germline copy number deletions in MSK-ACCESS.</w:t>
      </w:r>
      <w:r>
        <w:t xml:space="preserve"> In both the retinoblastoma cancer patient’s plasma and WBC, an </w:t>
      </w:r>
      <w:r w:rsidRPr="31F55863">
        <w:rPr>
          <w:i/>
          <w:iCs/>
        </w:rPr>
        <w:t>RB1</w:t>
      </w:r>
      <w:r>
        <w:t xml:space="preserve"> deletion was detected.  Because WBC was sequenced, this deletion was not reported as somatic.</w:t>
      </w:r>
      <w:bookmarkEnd w:id="5"/>
    </w:p>
    <w:p w14:paraId="3D5E493B" w14:textId="50E0A1CC" w:rsidR="008B790A" w:rsidRDefault="008B790A">
      <w:r>
        <w:br w:type="page"/>
      </w:r>
    </w:p>
    <w:p w14:paraId="7D81D735" w14:textId="226884C4" w:rsidR="008B790A" w:rsidRDefault="00B01540" w:rsidP="35AC8F9F">
      <w:r>
        <w:rPr>
          <w:noProof/>
        </w:rPr>
        <w:lastRenderedPageBreak/>
        <w:drawing>
          <wp:inline distT="0" distB="0" distL="0" distR="0" wp14:anchorId="6E1BCBFD" wp14:editId="621951B6">
            <wp:extent cx="2949677" cy="1958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nor_plasma_distribution_detailed_v2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0753" r="7157"/>
                    <a:stretch/>
                  </pic:blipFill>
                  <pic:spPr bwMode="auto">
                    <a:xfrm>
                      <a:off x="0" y="0"/>
                      <a:ext cx="3159815" cy="209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E6D01" wp14:editId="1AAEA251">
            <wp:extent cx="2861187" cy="19607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nor_plasma_distribution_detailed_cumulative_v2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" t="11023" r="6451"/>
                    <a:stretch/>
                  </pic:blipFill>
                  <pic:spPr bwMode="auto">
                    <a:xfrm>
                      <a:off x="0" y="0"/>
                      <a:ext cx="2965215" cy="203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9F560" w14:textId="40A7A42A" w:rsidR="008B790A" w:rsidRDefault="31F55863" w:rsidP="008B790A">
      <w:pPr>
        <w:rPr>
          <w:rFonts w:ascii="Arial" w:hAnsi="Arial" w:cs="Arial"/>
          <w:color w:val="000000" w:themeColor="text1"/>
        </w:rPr>
      </w:pPr>
      <w:r w:rsidRPr="31F55863">
        <w:rPr>
          <w:rFonts w:ascii="Arial" w:hAnsi="Arial" w:cs="Arial"/>
          <w:b/>
          <w:bCs/>
          <w:color w:val="FF0000"/>
        </w:rPr>
        <w:t>Supplemental Figure 8</w:t>
      </w:r>
      <w:r w:rsidRPr="31F55863">
        <w:rPr>
          <w:rFonts w:ascii="Arial" w:hAnsi="Arial" w:cs="Arial"/>
          <w:b/>
          <w:bCs/>
          <w:color w:val="000000" w:themeColor="text1"/>
        </w:rPr>
        <w:t>.  Fragment size distribution in plasma samples</w:t>
      </w:r>
      <w:r w:rsidRPr="31F55863">
        <w:rPr>
          <w:rFonts w:ascii="Arial" w:hAnsi="Arial" w:cs="Arial"/>
          <w:color w:val="000000" w:themeColor="text1"/>
        </w:rPr>
        <w:t xml:space="preserve"> (a) Probability density function plot indicating an expected bimodal distribution of fragment size with peaks at 161 </w:t>
      </w:r>
      <w:proofErr w:type="spellStart"/>
      <w:r w:rsidRPr="31F55863">
        <w:rPr>
          <w:rFonts w:ascii="Arial" w:hAnsi="Arial" w:cs="Arial"/>
          <w:color w:val="000000" w:themeColor="text1"/>
        </w:rPr>
        <w:t>bp</w:t>
      </w:r>
      <w:proofErr w:type="spellEnd"/>
      <w:r w:rsidRPr="31F55863">
        <w:rPr>
          <w:rFonts w:ascii="Arial" w:hAnsi="Arial" w:cs="Arial"/>
          <w:color w:val="000000" w:themeColor="text1"/>
        </w:rPr>
        <w:t xml:space="preserve"> and 317 </w:t>
      </w:r>
      <w:proofErr w:type="spellStart"/>
      <w:r w:rsidRPr="31F55863">
        <w:rPr>
          <w:rFonts w:ascii="Arial" w:hAnsi="Arial" w:cs="Arial"/>
          <w:color w:val="000000" w:themeColor="text1"/>
        </w:rPr>
        <w:t>bp.</w:t>
      </w:r>
      <w:proofErr w:type="spellEnd"/>
      <w:r w:rsidRPr="31F55863">
        <w:rPr>
          <w:rFonts w:ascii="Arial" w:hAnsi="Arial" w:cs="Arial"/>
          <w:color w:val="000000" w:themeColor="text1"/>
        </w:rPr>
        <w:t xml:space="preserve"> (b) Cumulative density function plot of the fragment size showing that fragments of sizes 500 </w:t>
      </w:r>
      <w:proofErr w:type="spellStart"/>
      <w:r w:rsidRPr="31F55863">
        <w:rPr>
          <w:rFonts w:ascii="Arial" w:hAnsi="Arial" w:cs="Arial"/>
          <w:color w:val="000000" w:themeColor="text1"/>
        </w:rPr>
        <w:t>bp</w:t>
      </w:r>
      <w:proofErr w:type="spellEnd"/>
      <w:r w:rsidRPr="31F55863">
        <w:rPr>
          <w:rFonts w:ascii="Arial" w:hAnsi="Arial" w:cs="Arial"/>
          <w:color w:val="000000" w:themeColor="text1"/>
        </w:rPr>
        <w:t xml:space="preserve"> or lower account for 96.7% of all fragments.</w:t>
      </w:r>
    </w:p>
    <w:p w14:paraId="54ABDEFB" w14:textId="305A44C0" w:rsidR="00DC61C2" w:rsidRPr="008B790A" w:rsidRDefault="00DC61C2">
      <w:pP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</w:pPr>
    </w:p>
    <w:sectPr w:rsidR="00DC61C2" w:rsidRPr="008B790A" w:rsidSect="00F754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D6CC4"/>
    <w:multiLevelType w:val="hybridMultilevel"/>
    <w:tmpl w:val="80E2CA4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D7"/>
    <w:rsid w:val="001B71AA"/>
    <w:rsid w:val="00232A34"/>
    <w:rsid w:val="00304F0D"/>
    <w:rsid w:val="00355A76"/>
    <w:rsid w:val="00372FD8"/>
    <w:rsid w:val="003B01D7"/>
    <w:rsid w:val="004436BC"/>
    <w:rsid w:val="00456CFE"/>
    <w:rsid w:val="00483623"/>
    <w:rsid w:val="004C7548"/>
    <w:rsid w:val="006D4034"/>
    <w:rsid w:val="0074765C"/>
    <w:rsid w:val="007808FC"/>
    <w:rsid w:val="00827D7B"/>
    <w:rsid w:val="008B790A"/>
    <w:rsid w:val="009217C9"/>
    <w:rsid w:val="009A0954"/>
    <w:rsid w:val="00A50F34"/>
    <w:rsid w:val="00A9570C"/>
    <w:rsid w:val="00AB1ADD"/>
    <w:rsid w:val="00B01540"/>
    <w:rsid w:val="00D7699E"/>
    <w:rsid w:val="00DC61C2"/>
    <w:rsid w:val="00F75496"/>
    <w:rsid w:val="00F87E2A"/>
    <w:rsid w:val="00FF5734"/>
    <w:rsid w:val="2694C5C4"/>
    <w:rsid w:val="2C61995A"/>
    <w:rsid w:val="31F55863"/>
    <w:rsid w:val="35AC8F9F"/>
    <w:rsid w:val="3E9B2632"/>
    <w:rsid w:val="44A34036"/>
    <w:rsid w:val="46379751"/>
    <w:rsid w:val="7560DF40"/>
    <w:rsid w:val="7C64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D16BF"/>
  <w15:chartTrackingRefBased/>
  <w15:docId w15:val="{AEF949C9-5DC3-564C-B5AD-BD7FC2E7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71AA"/>
  </w:style>
  <w:style w:type="paragraph" w:styleId="Heading1">
    <w:name w:val="heading 1"/>
    <w:basedOn w:val="Normal"/>
    <w:next w:val="Normal"/>
    <w:link w:val="Heading1Char"/>
    <w:uiPriority w:val="9"/>
    <w:qFormat/>
    <w:rsid w:val="001B71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1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71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1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71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1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1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1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1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71A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B71A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71AA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1AA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7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1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1AA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1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B71A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71A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71AA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B71A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B71AA"/>
    <w:rPr>
      <w:b/>
      <w:bCs/>
    </w:rPr>
  </w:style>
  <w:style w:type="character" w:styleId="Emphasis">
    <w:name w:val="Emphasis"/>
    <w:basedOn w:val="DefaultParagraphFont"/>
    <w:uiPriority w:val="20"/>
    <w:qFormat/>
    <w:rsid w:val="001B71AA"/>
    <w:rPr>
      <w:i/>
      <w:iCs/>
    </w:rPr>
  </w:style>
  <w:style w:type="paragraph" w:styleId="NoSpacing">
    <w:name w:val="No Spacing"/>
    <w:uiPriority w:val="1"/>
    <w:qFormat/>
    <w:rsid w:val="001B71A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71A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B71A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B71A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1AA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1AA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1B71A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B71A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1B71A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B71A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B71A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71A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B71AA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372FD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2FD8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4436BC"/>
  </w:style>
  <w:style w:type="character" w:customStyle="1" w:styleId="eop">
    <w:name w:val="eop"/>
    <w:basedOn w:val="DefaultParagraphFont"/>
    <w:rsid w:val="00443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97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Brannon, A. Rose/Pathology</dc:creator>
  <cp:keywords/>
  <dc:description/>
  <cp:lastModifiedBy>Ryma Benayed</cp:lastModifiedBy>
  <cp:revision>2</cp:revision>
  <dcterms:created xsi:type="dcterms:W3CDTF">2020-12-02T18:52:00Z</dcterms:created>
  <dcterms:modified xsi:type="dcterms:W3CDTF">2020-12-02T18:52:00Z</dcterms:modified>
</cp:coreProperties>
</file>