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宋体" w:cs="Arial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default" w:ascii="Arial" w:hAnsi="Arial" w:cs="Arial" w:eastAsiaTheme="minorHAnsi"/>
          <w:b/>
          <w:bCs/>
          <w:color w:val="000000"/>
          <w:sz w:val="20"/>
          <w:szCs w:val="20"/>
          <w:lang w:val="en-US" w:eastAsia="en-US"/>
        </w:rPr>
        <w:t>Supplementary</w:t>
      </w:r>
      <w:r>
        <w:rPr>
          <w:rFonts w:hint="default" w:ascii="Arial" w:hAnsi="Arial" w:eastAsia="宋体" w:cs="Arial"/>
          <w:b/>
          <w:bCs/>
          <w:color w:val="000000"/>
          <w:sz w:val="20"/>
          <w:szCs w:val="20"/>
          <w:lang w:val="en-US" w:eastAsia="zh-CN"/>
        </w:rPr>
        <w:t xml:space="preserve"> table 1 </w:t>
      </w:r>
      <w:r>
        <w:rPr>
          <w:rFonts w:hint="default" w:ascii="Arial" w:hAnsi="Arial" w:eastAsia="宋体" w:cs="Arial"/>
          <w:b w:val="0"/>
          <w:bCs w:val="0"/>
          <w:color w:val="000000"/>
          <w:sz w:val="20"/>
          <w:szCs w:val="20"/>
          <w:lang w:val="en-US" w:eastAsia="zh-CN"/>
        </w:rPr>
        <w:t>Post - ICT MRI parameters.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宋体" w:cs="Arial"/>
          <w:b w:val="0"/>
          <w:bCs w:val="0"/>
          <w:color w:val="000000"/>
          <w:sz w:val="20"/>
          <w:szCs w:val="20"/>
          <w:lang w:val="en-US" w:eastAsia="zh-CN"/>
        </w:rPr>
      </w:pPr>
    </w:p>
    <w:tbl>
      <w:tblPr>
        <w:tblStyle w:val="3"/>
        <w:tblpPr w:leftFromText="180" w:rightFromText="180" w:vertAnchor="text" w:horzAnchor="page" w:tblpX="1962" w:tblpY="9"/>
        <w:tblOverlap w:val="never"/>
        <w:tblW w:w="896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40"/>
        <w:gridCol w:w="1718"/>
        <w:gridCol w:w="1600"/>
        <w:gridCol w:w="240"/>
        <w:gridCol w:w="1590"/>
        <w:gridCol w:w="14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3" w:type="dxa"/>
            <w:tcBorders>
              <w:bottom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tcBorders>
              <w:bottom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CR </w:t>
            </w:r>
          </w:p>
        </w:tc>
        <w:tc>
          <w:tcPr>
            <w:tcW w:w="160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Non - CR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H group</w:t>
            </w:r>
          </w:p>
        </w:tc>
        <w:tc>
          <w:tcPr>
            <w:tcW w:w="147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M group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3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Parameters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N = 5 </w:t>
            </w:r>
          </w:p>
        </w:tc>
        <w:tc>
          <w:tcPr>
            <w:tcW w:w="160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N = 10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N = 8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N = 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Post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ICT ∆TL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(%)</w:t>
            </w:r>
          </w:p>
        </w:tc>
        <w:tc>
          <w:tcPr>
            <w:tcW w:w="24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33 (17 - 39)</w:t>
            </w:r>
          </w:p>
        </w:tc>
        <w:tc>
          <w:tcPr>
            <w:tcW w:w="160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4 (-5 - 27)</w:t>
            </w:r>
          </w:p>
        </w:tc>
        <w:tc>
          <w:tcPr>
            <w:tcW w:w="24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2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±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5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±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Post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ICT ∆LND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(%)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29 (22 - 100)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0 (-14 - 50)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9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±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10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±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Post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ICT ∆LNV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(%)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59 (38 - 47)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15.5 (-127 - 77)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40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±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±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US" w:eastAsia="zh-CN"/>
              </w:rPr>
              <w:t>68</w:t>
            </w:r>
          </w:p>
        </w:tc>
      </w:tr>
    </w:tbl>
    <w:p>
      <w:r>
        <w:rPr>
          <w:rFonts w:ascii="Arial" w:hAnsi="Arial" w:cs="Arial"/>
          <w:b/>
          <w:bCs/>
          <w:sz w:val="20"/>
          <w:szCs w:val="20"/>
        </w:rPr>
        <w:t>Abbreviations</w:t>
      </w:r>
      <w:r>
        <w:rPr>
          <w:rFonts w:ascii="Arial" w:hAnsi="Arial" w:cs="Arial"/>
          <w:sz w:val="20"/>
          <w:szCs w:val="20"/>
        </w:rPr>
        <w:t xml:space="preserve"> ICT, induction chemotherapy; TL, tumor length; LND, diameter of lymph node; LNV, volume of lymph node on T2 – weight.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62523</dc:creator>
  <cp:lastModifiedBy>Freaky</cp:lastModifiedBy>
  <dcterms:modified xsi:type="dcterms:W3CDTF">2020-09-12T10:44:34Z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