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FD" w:rsidRDefault="00247EFD" w:rsidP="00247EFD">
      <w:pPr>
        <w:jc w:val="both"/>
        <w:rPr>
          <w:rFonts w:ascii="Times" w:hAnsi="Times" w:cs="Charter"/>
          <w:b/>
          <w:bCs/>
          <w:szCs w:val="16"/>
          <w:lang w:val="en-GB"/>
        </w:rPr>
      </w:pPr>
      <w:r>
        <w:rPr>
          <w:rFonts w:ascii="Times" w:hAnsi="Times" w:cs="Charter"/>
          <w:b/>
          <w:bCs/>
          <w:szCs w:val="16"/>
          <w:lang w:val="en-GB"/>
        </w:rPr>
        <w:t xml:space="preserve">Figure s1: Forest plots of MetS, MetS without BPH, and cumulative effect of components of the metabolic syndrome in predicting MACE in multivariate analysis. </w:t>
      </w:r>
    </w:p>
    <w:p w:rsidR="00247EFD" w:rsidRDefault="00247EFD" w:rsidP="00247EFD">
      <w:pPr>
        <w:jc w:val="both"/>
        <w:rPr>
          <w:rFonts w:ascii="Times" w:hAnsi="Times" w:cs="Charter"/>
          <w:b/>
          <w:bCs/>
          <w:szCs w:val="16"/>
          <w:lang w:val="en-GB"/>
        </w:rPr>
      </w:pPr>
    </w:p>
    <w:p w:rsidR="00247EFD" w:rsidRPr="007D5683" w:rsidRDefault="00247EFD" w:rsidP="00247EFD">
      <w:pPr>
        <w:jc w:val="both"/>
        <w:rPr>
          <w:rFonts w:ascii="Times" w:hAnsi="Times" w:cs="Charter"/>
          <w:b/>
          <w:bCs/>
          <w:i/>
          <w:szCs w:val="16"/>
        </w:rPr>
      </w:pPr>
      <w:r>
        <w:rPr>
          <w:noProof/>
        </w:rPr>
        <w:drawing>
          <wp:inline distT="0" distB="0" distL="0" distR="0" wp14:anchorId="1D9DE9A6" wp14:editId="4E1951F5">
            <wp:extent cx="5760720" cy="3940175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EFD" w:rsidRDefault="00247EFD" w:rsidP="00247EFD">
      <w:pPr>
        <w:widowControl w:val="0"/>
        <w:autoSpaceDE w:val="0"/>
        <w:autoSpaceDN w:val="0"/>
        <w:adjustRightInd w:val="0"/>
        <w:jc w:val="both"/>
        <w:rPr>
          <w:rFonts w:ascii="Times" w:hAnsi="Times" w:cs="Charter"/>
          <w:bCs/>
          <w:i/>
          <w:szCs w:val="16"/>
          <w:lang w:val="en-GB"/>
        </w:rPr>
      </w:pPr>
    </w:p>
    <w:p w:rsidR="00247EFD" w:rsidRPr="003D2F2B" w:rsidRDefault="00247EFD" w:rsidP="00247EF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rFonts w:ascii="Times" w:hAnsi="Times" w:cs="Charter"/>
          <w:sz w:val="18"/>
          <w:szCs w:val="18"/>
          <w:lang w:val="en-GB"/>
        </w:rPr>
        <w:t xml:space="preserve">MetS: metabolic syndrome; MetS without HBP: MetS without considering high blood pressure; MsWC: waist circumference </w:t>
      </w:r>
      <w:r>
        <w:rPr>
          <w:rFonts w:ascii="Times" w:eastAsia="SimSun" w:hAnsi="Times" w:cs="SimSun"/>
          <w:sz w:val="18"/>
          <w:szCs w:val="18"/>
          <w:lang w:val="en-GB"/>
        </w:rPr>
        <w:t>&gt;</w:t>
      </w:r>
      <w:r>
        <w:rPr>
          <w:rFonts w:ascii="Times" w:hAnsi="Times" w:cs="Charter"/>
          <w:sz w:val="18"/>
          <w:szCs w:val="18"/>
          <w:lang w:val="en-GB"/>
        </w:rPr>
        <w:t xml:space="preserve"> 102 cm in men </w:t>
      </w:r>
      <w:r>
        <w:rPr>
          <w:rFonts w:ascii="Times" w:eastAsia="SimSun" w:hAnsi="Times" w:cs="SimSun"/>
          <w:sz w:val="18"/>
          <w:szCs w:val="18"/>
          <w:lang w:val="en-GB"/>
        </w:rPr>
        <w:t>&gt;</w:t>
      </w:r>
      <w:r>
        <w:rPr>
          <w:rFonts w:ascii="Times" w:hAnsi="Times" w:cs="Charter"/>
          <w:sz w:val="18"/>
          <w:szCs w:val="18"/>
          <w:lang w:val="en-GB"/>
        </w:rPr>
        <w:t xml:space="preserve"> 88 cm in women; MsHBP: h</w:t>
      </w:r>
      <w:r>
        <w:rPr>
          <w:rFonts w:ascii="Times" w:hAnsi="Times" w:cs="Charter"/>
          <w:color w:val="000000" w:themeColor="text1"/>
          <w:sz w:val="18"/>
          <w:szCs w:val="18"/>
          <w:lang w:val="en-GB"/>
        </w:rPr>
        <w:t xml:space="preserve">istory of hypertension or ongoing antihypertensive treatment; MsHDL: HDL cholesterol </w:t>
      </w:r>
      <w:r>
        <w:rPr>
          <w:rFonts w:ascii="Times" w:hAnsi="Times" w:cs="Charter"/>
          <w:sz w:val="18"/>
          <w:szCs w:val="18"/>
          <w:lang w:val="en-GB"/>
        </w:rPr>
        <w:t>&lt; 0.50 g/L in women, &lt; 0.40 g/L in men</w:t>
      </w:r>
      <w:r>
        <w:rPr>
          <w:rFonts w:ascii="Times" w:hAnsi="Times" w:cs="Charter"/>
          <w:color w:val="000000" w:themeColor="text1"/>
          <w:sz w:val="18"/>
          <w:szCs w:val="18"/>
          <w:lang w:val="en-GB"/>
        </w:rPr>
        <w:t xml:space="preserve">; MsTG: TG </w:t>
      </w:r>
      <w:r>
        <w:rPr>
          <w:rFonts w:ascii="Times" w:eastAsia="SimSun" w:hAnsi="Times" w:cs="SimSun" w:hint="eastAsia"/>
          <w:sz w:val="18"/>
          <w:szCs w:val="18"/>
          <w:lang w:val="en-GB"/>
        </w:rPr>
        <w:t>≥</w:t>
      </w:r>
      <w:r>
        <w:rPr>
          <w:rFonts w:ascii="Times" w:hAnsi="Times" w:cs="Charter"/>
          <w:sz w:val="18"/>
          <w:szCs w:val="18"/>
          <w:lang w:val="en-GB"/>
        </w:rPr>
        <w:t>1.5 g/L</w:t>
      </w:r>
      <w:r>
        <w:rPr>
          <w:rFonts w:ascii="Times" w:hAnsi="Times" w:cs="Charter"/>
          <w:color w:val="000000" w:themeColor="text1"/>
          <w:sz w:val="18"/>
          <w:szCs w:val="18"/>
          <w:lang w:val="en-GB"/>
        </w:rPr>
        <w:t xml:space="preserve">; MsGlc: fasting glucose </w:t>
      </w:r>
      <w:r>
        <w:rPr>
          <w:rFonts w:ascii="Times" w:eastAsia="SimSun" w:hAnsi="Times" w:cs="SimSun" w:hint="eastAsia"/>
          <w:sz w:val="18"/>
          <w:szCs w:val="18"/>
          <w:lang w:val="en-GB"/>
        </w:rPr>
        <w:t>≥</w:t>
      </w:r>
      <w:r>
        <w:rPr>
          <w:rFonts w:ascii="Times" w:hAnsi="Times" w:cs="Charter"/>
          <w:sz w:val="18"/>
          <w:szCs w:val="18"/>
          <w:lang w:val="en-GB"/>
        </w:rPr>
        <w:t>1.00 g/L</w:t>
      </w:r>
      <w:r>
        <w:rPr>
          <w:rFonts w:ascii="Times" w:hAnsi="Times" w:cs="Charter"/>
          <w:color w:val="000000" w:themeColor="text1"/>
          <w:sz w:val="18"/>
          <w:szCs w:val="18"/>
          <w:lang w:val="en-GB"/>
        </w:rPr>
        <w:t>.</w:t>
      </w:r>
    </w:p>
    <w:p w:rsidR="00167D7A" w:rsidRPr="00247EFD" w:rsidRDefault="00167D7A">
      <w:pPr>
        <w:rPr>
          <w:lang w:val="en-US"/>
        </w:rPr>
      </w:pPr>
      <w:bookmarkStart w:id="0" w:name="_GoBack"/>
      <w:bookmarkEnd w:id="0"/>
    </w:p>
    <w:sectPr w:rsidR="00167D7A" w:rsidRPr="00247EFD" w:rsidSect="00E9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FD"/>
    <w:rsid w:val="000A4592"/>
    <w:rsid w:val="00167D7A"/>
    <w:rsid w:val="002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43AEC-4A95-554E-88E0-DB833D8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EF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1</cp:revision>
  <dcterms:created xsi:type="dcterms:W3CDTF">2019-11-05T15:54:00Z</dcterms:created>
  <dcterms:modified xsi:type="dcterms:W3CDTF">2019-11-05T15:55:00Z</dcterms:modified>
</cp:coreProperties>
</file>