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</w:rPr>
        <w:t xml:space="preserve">The molecular mechanism of </w:t>
      </w:r>
      <w:bookmarkStart w:id="1" w:name="_Hlk56265919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TiaoGanYiPi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56260570"/>
      <w:r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ormula</w:t>
      </w:r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treatment of chronic hepatitis B by </w:t>
      </w:r>
      <w:bookmarkStart w:id="3" w:name="_Hlk51537405"/>
      <w:r>
        <w:rPr>
          <w:rFonts w:ascii="Times New Roman" w:hAnsi="Times New Roman" w:cs="Times New Roman"/>
          <w:b/>
          <w:bCs/>
          <w:sz w:val="24"/>
          <w:szCs w:val="24"/>
        </w:rPr>
        <w:t>network pharmacology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bookmarkStart w:id="4" w:name="_Hlk56261793"/>
      <w:r>
        <w:rPr>
          <w:rFonts w:ascii="Times New Roman" w:hAnsi="Times New Roman" w:cs="Times New Roman"/>
          <w:b/>
          <w:bCs/>
          <w:sz w:val="24"/>
          <w:szCs w:val="24"/>
        </w:rPr>
        <w:t>molecular docking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verification</w:t>
      </w:r>
    </w:p>
    <w:bookmarkEnd w:id="0"/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bookmarkStart w:id="5" w:name="_Hlk49842904"/>
      <w:r>
        <w:rPr>
          <w:rFonts w:ascii="Times New Roman" w:hAnsi="Times New Roman" w:cs="Times New Roman"/>
          <w:sz w:val="24"/>
          <w:szCs w:val="24"/>
        </w:rPr>
        <w:t>Xu Cao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3*</w:t>
      </w:r>
      <w:r>
        <w:rPr>
          <w:rFonts w:ascii="Times New Roman" w:hAnsi="Times New Roman" w:cs="Times New Roman"/>
          <w:sz w:val="24"/>
          <w:szCs w:val="24"/>
        </w:rPr>
        <w:t>, Xiaobin Zao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Jiaxin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>
        <w:rPr>
          <w:rFonts w:ascii="Times New Roman" w:hAnsi="Times New Roman" w:cs="Times New Roman"/>
          <w:sz w:val="24"/>
          <w:szCs w:val="24"/>
        </w:rPr>
        <w:t>, Xiaobin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>
        <w:rPr>
          <w:rFonts w:ascii="Times New Roman" w:hAnsi="Times New Roman" w:cs="Times New Roman"/>
          <w:sz w:val="24"/>
          <w:szCs w:val="24"/>
        </w:rPr>
        <w:t>, Shun Zhu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>
        <w:rPr>
          <w:rFonts w:ascii="Times New Roman" w:hAnsi="Times New Roman" w:cs="Times New Roman"/>
          <w:sz w:val="24"/>
          <w:szCs w:val="24"/>
        </w:rPr>
        <w:t>, Rui Guo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2#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bookmarkEnd w:id="5"/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6" w:name="_Hlk56441998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Dongzhimen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Hospital, Beijing University of Chinese Medicine, Beijing 100700, China</w:t>
      </w:r>
      <w:bookmarkEnd w:id="6"/>
      <w:r>
        <w:rPr>
          <w:rFonts w:ascii="Times New Roman" w:hAnsi="Times New Roman" w:cs="Times New Roman"/>
          <w:sz w:val="24"/>
          <w:szCs w:val="24"/>
        </w:rPr>
        <w:t>;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bookmarkStart w:id="7" w:name="_Hlk56441970"/>
      <w:r>
        <w:rPr>
          <w:rFonts w:ascii="Times New Roman" w:hAnsi="Times New Roman" w:cs="Times New Roman"/>
          <w:sz w:val="24"/>
          <w:szCs w:val="24"/>
        </w:rPr>
        <w:t>Institute of Liver Diseases, Beijing University of Chinese Medicine</w:t>
      </w:r>
      <w:bookmarkEnd w:id="7"/>
      <w:r>
        <w:rPr>
          <w:rFonts w:ascii="Times New Roman" w:hAnsi="Times New Roman" w:cs="Times New Roman"/>
          <w:sz w:val="24"/>
          <w:szCs w:val="24"/>
        </w:rPr>
        <w:t>, Beijing 100700, China;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Beijing University of Chinese Medicine, Beijing 100102, China;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The First People's Hospital of Jinzhou District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authors </w:t>
      </w:r>
      <w:bookmarkStart w:id="8" w:name="_Hlk49842920"/>
      <w:r>
        <w:rPr>
          <w:rFonts w:ascii="Times New Roman" w:hAnsi="Times New Roman" w:cs="Times New Roman"/>
          <w:sz w:val="24"/>
          <w:szCs w:val="24"/>
        </w:rPr>
        <w:t>contributed equally: Xu Cao and Xiaobin Zao</w:t>
      </w:r>
      <w:bookmarkEnd w:id="8"/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Correspondence should be addressed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Yong’an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4004E0" w:rsidRP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b/>
          <w:szCs w:val="21"/>
        </w:rPr>
      </w:pPr>
      <w:bookmarkStart w:id="9" w:name="_GoBack"/>
      <w:bookmarkEnd w:id="9"/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Figure </w:t>
      </w:r>
      <w:r>
        <w:rPr>
          <w:rFonts w:ascii="Times New Roman" w:hAnsi="Times New Roman" w:cs="Times New Roman"/>
          <w:b/>
          <w:szCs w:val="21"/>
        </w:rPr>
        <w:t>S1</w:t>
      </w:r>
      <w:r>
        <w:rPr>
          <w:rFonts w:ascii="Times New Roman" w:hAnsi="Times New Roman" w:cs="Times New Roman"/>
          <w:b/>
          <w:szCs w:val="21"/>
        </w:rPr>
        <w:t xml:space="preserve">. </w:t>
      </w:r>
      <w:bookmarkStart w:id="10" w:name="OLE_LINK3"/>
      <w:r>
        <w:rPr>
          <w:rFonts w:ascii="Times New Roman" w:hAnsi="Times New Roman" w:cs="Times New Roman"/>
          <w:b/>
          <w:szCs w:val="21"/>
        </w:rPr>
        <w:t xml:space="preserve">Compound-Putative Targets Network. </w:t>
      </w:r>
      <w:bookmarkEnd w:id="10"/>
      <w:r>
        <w:rPr>
          <w:rFonts w:ascii="Times New Roman" w:hAnsi="Times New Roman" w:cs="Times New Roman"/>
          <w:szCs w:val="21"/>
        </w:rPr>
        <w:t>(A) The Venn diagram for active compounds of four herbs in TGYP. Blue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oval represents </w:t>
      </w:r>
      <w:proofErr w:type="spellStart"/>
      <w:r>
        <w:rPr>
          <w:rFonts w:ascii="Times New Roman" w:hAnsi="Times New Roman" w:cs="Times New Roman"/>
          <w:szCs w:val="21"/>
        </w:rPr>
        <w:t>Chaihu</w:t>
      </w:r>
      <w:proofErr w:type="spellEnd"/>
      <w:r>
        <w:rPr>
          <w:rFonts w:ascii="Times New Roman" w:hAnsi="Times New Roman" w:cs="Times New Roman"/>
          <w:szCs w:val="21"/>
        </w:rPr>
        <w:t xml:space="preserve">, teal oval represents </w:t>
      </w:r>
      <w:proofErr w:type="spellStart"/>
      <w:r>
        <w:rPr>
          <w:rFonts w:ascii="Times New Roman" w:hAnsi="Times New Roman" w:cs="Times New Roman"/>
          <w:szCs w:val="21"/>
        </w:rPr>
        <w:t>Kudiding</w:t>
      </w:r>
      <w:proofErr w:type="spellEnd"/>
      <w:r>
        <w:rPr>
          <w:rFonts w:ascii="Times New Roman" w:hAnsi="Times New Roman" w:cs="Times New Roman"/>
          <w:szCs w:val="21"/>
        </w:rPr>
        <w:t xml:space="preserve">, green oval represents </w:t>
      </w:r>
      <w:proofErr w:type="spellStart"/>
      <w:r>
        <w:rPr>
          <w:rFonts w:ascii="Times New Roman" w:hAnsi="Times New Roman" w:cs="Times New Roman"/>
          <w:szCs w:val="21"/>
        </w:rPr>
        <w:t>Danggui</w:t>
      </w:r>
      <w:proofErr w:type="spellEnd"/>
      <w:r>
        <w:rPr>
          <w:rFonts w:ascii="Times New Roman" w:hAnsi="Times New Roman" w:cs="Times New Roman"/>
          <w:szCs w:val="21"/>
        </w:rPr>
        <w:t>, red oval represents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Huangqi</w:t>
      </w:r>
      <w:proofErr w:type="spellEnd"/>
      <w:r>
        <w:rPr>
          <w:rFonts w:ascii="Times New Roman" w:hAnsi="Times New Roman" w:cs="Times New Roman"/>
          <w:szCs w:val="21"/>
        </w:rPr>
        <w:t>; (B) The Venn diagram for compound-putative target genes. Red circle represents STITCH, Blue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circle represents </w:t>
      </w:r>
      <w:proofErr w:type="spellStart"/>
      <w:r>
        <w:rPr>
          <w:rFonts w:ascii="Times New Roman" w:hAnsi="Times New Roman" w:cs="Times New Roman"/>
          <w:szCs w:val="21"/>
        </w:rPr>
        <w:t>SwissTargetPrediction</w:t>
      </w:r>
      <w:proofErr w:type="spellEnd"/>
      <w:r>
        <w:rPr>
          <w:rFonts w:ascii="Times New Roman" w:hAnsi="Times New Roman" w:cs="Times New Roman"/>
          <w:szCs w:val="21"/>
        </w:rPr>
        <w:t xml:space="preserve">; (C) The visualized compound-putative target network of TGYP. White diamonds represent herb in TGYP, teal rectangle represent compound target genes, green circles represent the components in </w:t>
      </w:r>
      <w:proofErr w:type="spellStart"/>
      <w:r>
        <w:rPr>
          <w:rFonts w:ascii="Times New Roman" w:hAnsi="Times New Roman" w:cs="Times New Roman"/>
          <w:szCs w:val="21"/>
        </w:rPr>
        <w:t>Chaihu</w:t>
      </w:r>
      <w:proofErr w:type="spellEnd"/>
      <w:r>
        <w:rPr>
          <w:rFonts w:ascii="Times New Roman" w:hAnsi="Times New Roman" w:cs="Times New Roman"/>
          <w:szCs w:val="21"/>
        </w:rPr>
        <w:t xml:space="preserve">, red circles represent the components in </w:t>
      </w:r>
      <w:proofErr w:type="spellStart"/>
      <w:r>
        <w:rPr>
          <w:rFonts w:ascii="Times New Roman" w:hAnsi="Times New Roman" w:cs="Times New Roman"/>
          <w:szCs w:val="21"/>
        </w:rPr>
        <w:t>Huangqi</w:t>
      </w:r>
      <w:proofErr w:type="spellEnd"/>
      <w:r>
        <w:rPr>
          <w:rFonts w:ascii="Times New Roman" w:hAnsi="Times New Roman" w:cs="Times New Roman"/>
          <w:szCs w:val="21"/>
        </w:rPr>
        <w:t>, blue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circles represent the components in </w:t>
      </w:r>
      <w:proofErr w:type="spellStart"/>
      <w:r>
        <w:rPr>
          <w:rFonts w:ascii="Times New Roman" w:hAnsi="Times New Roman" w:cs="Times New Roman"/>
          <w:szCs w:val="21"/>
        </w:rPr>
        <w:t>Kudiding</w:t>
      </w:r>
      <w:proofErr w:type="spellEnd"/>
      <w:r>
        <w:rPr>
          <w:rFonts w:ascii="Times New Roman" w:hAnsi="Times New Roman" w:cs="Times New Roman"/>
          <w:szCs w:val="21"/>
        </w:rPr>
        <w:t>, yellow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circles represent the components in </w:t>
      </w:r>
      <w:proofErr w:type="spellStart"/>
      <w:r>
        <w:rPr>
          <w:rFonts w:ascii="Times New Roman" w:hAnsi="Times New Roman" w:cs="Times New Roman"/>
          <w:szCs w:val="21"/>
        </w:rPr>
        <w:t>Danggui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bookmarkStart w:id="11" w:name="_Hlk52024828"/>
      <w:r>
        <w:rPr>
          <w:rFonts w:ascii="Times New Roman" w:hAnsi="Times New Roman" w:cs="Times New Roman"/>
          <w:szCs w:val="21"/>
        </w:rPr>
        <w:t>A1 represents the components Quercetin, A2 represents the components Isorhamnetin, A3 represents the components Kaempferol, B1 circle represents the components</w:t>
      </w:r>
      <w:bookmarkEnd w:id="11"/>
      <w:r>
        <w:rPr>
          <w:rFonts w:ascii="Times New Roman" w:hAnsi="Times New Roman" w:cs="Times New Roman"/>
          <w:szCs w:val="21"/>
        </w:rPr>
        <w:t xml:space="preserve"> stigmasterol, B2 circle represents the components psoralen.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03D7320A" wp14:editId="71A76C17">
            <wp:extent cx="5274310" cy="18986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 xml:space="preserve">Figure </w:t>
      </w:r>
      <w:r>
        <w:rPr>
          <w:rFonts w:ascii="Times New Roman" w:hAnsi="Times New Roman" w:cs="Times New Roman"/>
          <w:b/>
          <w:szCs w:val="21"/>
        </w:rPr>
        <w:t>S2</w:t>
      </w:r>
      <w:r>
        <w:rPr>
          <w:rFonts w:ascii="Times New Roman" w:hAnsi="Times New Roman" w:cs="Times New Roman"/>
          <w:b/>
          <w:szCs w:val="21"/>
        </w:rPr>
        <w:t xml:space="preserve">. OGEs: Intersecting Compound-Putative Targets and Disease targets in CHB. </w:t>
      </w:r>
      <w:r>
        <w:rPr>
          <w:rFonts w:ascii="Times New Roman" w:hAnsi="Times New Roman" w:cs="Times New Roman"/>
          <w:szCs w:val="21"/>
        </w:rPr>
        <w:t>(A) The Venn diagram for CHB related targets. Blue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circle represents </w:t>
      </w:r>
      <w:proofErr w:type="spellStart"/>
      <w:r>
        <w:rPr>
          <w:rFonts w:ascii="Times New Roman" w:hAnsi="Times New Roman" w:cs="Times New Roman"/>
          <w:szCs w:val="21"/>
        </w:rPr>
        <w:t>GeneCards</w:t>
      </w:r>
      <w:proofErr w:type="spellEnd"/>
      <w:r>
        <w:rPr>
          <w:rFonts w:ascii="Times New Roman" w:hAnsi="Times New Roman" w:cs="Times New Roman"/>
          <w:szCs w:val="21"/>
        </w:rPr>
        <w:t xml:space="preserve">, red circle represents </w:t>
      </w:r>
      <w:proofErr w:type="spellStart"/>
      <w:r>
        <w:rPr>
          <w:rFonts w:ascii="Times New Roman" w:hAnsi="Times New Roman" w:cs="Times New Roman"/>
          <w:szCs w:val="21"/>
        </w:rPr>
        <w:t>DisGeNET</w:t>
      </w:r>
      <w:proofErr w:type="spellEnd"/>
      <w:r>
        <w:rPr>
          <w:rFonts w:ascii="Times New Roman" w:hAnsi="Times New Roman" w:cs="Times New Roman"/>
          <w:szCs w:val="21"/>
        </w:rPr>
        <w:t>, green circle represents NCBI Gene; (B) Venn diagram for OGEs of TGYP and CHB targets. Red circle represents compound target genes, blue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circle represents disease target genes, purple circle represents OGEs; (C) PPI network of OGEs. </w:t>
      </w:r>
    </w:p>
    <w:p w:rsidR="004004E0" w:rsidRDefault="004004E0" w:rsidP="004004E0">
      <w:pPr>
        <w:spacing w:line="360" w:lineRule="auto"/>
        <w:ind w:leftChars="-50" w:left="-105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70E85570" wp14:editId="1C22AC24">
            <wp:extent cx="5274310" cy="21526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3C" w:rsidRDefault="004004E0"/>
    <w:sectPr w:rsidR="00A8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0"/>
    <w:rsid w:val="0008609F"/>
    <w:rsid w:val="004004E0"/>
    <w:rsid w:val="0053298C"/>
    <w:rsid w:val="00A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9DB1"/>
  <w15:chartTrackingRefBased/>
  <w15:docId w15:val="{0019DFCC-D87B-41CC-AE2A-8EC4FDE1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</dc:creator>
  <cp:keywords/>
  <dc:description/>
  <cp:lastModifiedBy>实验室</cp:lastModifiedBy>
  <cp:revision>1</cp:revision>
  <dcterms:created xsi:type="dcterms:W3CDTF">2020-12-02T08:36:00Z</dcterms:created>
  <dcterms:modified xsi:type="dcterms:W3CDTF">2020-12-02T08:39:00Z</dcterms:modified>
</cp:coreProperties>
</file>