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BE" w:rsidRPr="006968D7" w:rsidRDefault="001438BE" w:rsidP="001438BE">
      <w:pPr>
        <w:pStyle w:val="1"/>
      </w:pPr>
      <w:r w:rsidRPr="006968D7">
        <w:t>Appendix</w:t>
      </w:r>
    </w:p>
    <w:p w:rsidR="001438BE" w:rsidRPr="00442133" w:rsidRDefault="001438BE" w:rsidP="001438BE">
      <w:pPr>
        <w:pStyle w:val="1"/>
        <w:rPr>
          <w:i/>
          <w:iCs/>
          <w:lang w:eastAsia="zh-CN"/>
        </w:rPr>
      </w:pPr>
      <w:r w:rsidRPr="00442133">
        <w:rPr>
          <w:i/>
          <w:iCs/>
        </w:rPr>
        <w:t>Appendix 1 – List of institutions of accredited didactic programs</w:t>
      </w:r>
    </w:p>
    <w:p w:rsidR="001438BE" w:rsidRPr="006968D7" w:rsidRDefault="001438BE" w:rsidP="001438BE">
      <w:pPr>
        <w:pStyle w:val="Text"/>
        <w:rPr>
          <w:rFonts w:eastAsia="宋体"/>
          <w:lang w:val="en-US" w:eastAsia="zh-CN"/>
        </w:rPr>
      </w:pPr>
    </w:p>
    <w:p w:rsidR="001438BE" w:rsidRPr="006968D7" w:rsidRDefault="001438BE" w:rsidP="001438BE">
      <w:pPr>
        <w:pStyle w:val="Text"/>
        <w:rPr>
          <w:rFonts w:eastAsia="宋体"/>
          <w:lang w:val="en-US" w:eastAsia="zh-CN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1471"/>
        <w:gridCol w:w="4972"/>
      </w:tblGrid>
      <w:tr w:rsidR="001438BE" w:rsidRPr="006968D7" w:rsidTr="006A2D14">
        <w:trPr>
          <w:trHeight w:val="20"/>
        </w:trPr>
        <w:tc>
          <w:tcPr>
            <w:tcW w:w="119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b/>
                <w:lang w:val="en-US"/>
              </w:rPr>
              <w:t>Region</w:t>
            </w: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b/>
                <w:lang w:val="en-US"/>
              </w:rPr>
              <w:t>Province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b/>
                <w:lang w:val="en-US"/>
              </w:rPr>
              <w:t>University/College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Northeast China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Jilin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Jilin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proofErr w:type="spellStart"/>
            <w:r w:rsidRPr="006968D7">
              <w:rPr>
                <w:rFonts w:eastAsia="宋体"/>
                <w:lang w:val="en-US"/>
              </w:rPr>
              <w:t>Baicheng</w:t>
            </w:r>
            <w:proofErr w:type="spellEnd"/>
            <w:r w:rsidRPr="006968D7">
              <w:rPr>
                <w:rFonts w:eastAsia="宋体"/>
                <w:lang w:val="en-US"/>
              </w:rPr>
              <w:t xml:space="preserve"> Medical College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Heilongjiang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Harbin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Liaoning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China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Northwest China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Shanxi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Shanxi University of Chinese Medicine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Xi'an </w:t>
            </w:r>
            <w:proofErr w:type="spellStart"/>
            <w:r w:rsidRPr="006968D7">
              <w:rPr>
                <w:rFonts w:eastAsia="宋体"/>
                <w:lang w:val="en-US"/>
              </w:rPr>
              <w:t>Jiaotong</w:t>
            </w:r>
            <w:proofErr w:type="spellEnd"/>
            <w:r w:rsidRPr="006968D7">
              <w:rPr>
                <w:rFonts w:eastAsia="宋体"/>
                <w:lang w:val="en-US"/>
              </w:rPr>
              <w:t xml:space="preserve">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Xinjiang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Xinjiang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Ningxia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Ningxia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North China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Beijing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Peking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Capital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Beijing Union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Tianjin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Tianjin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Tianjin University of Science &amp;Technology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proofErr w:type="spellStart"/>
            <w:r w:rsidRPr="006968D7">
              <w:rPr>
                <w:rFonts w:eastAsia="宋体"/>
                <w:lang w:val="en-US"/>
              </w:rPr>
              <w:t>Hebei</w:t>
            </w:r>
            <w:proofErr w:type="spellEnd"/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proofErr w:type="spellStart"/>
            <w:r w:rsidRPr="006968D7">
              <w:rPr>
                <w:rFonts w:eastAsia="宋体"/>
                <w:lang w:val="en-US"/>
              </w:rPr>
              <w:t>Hebei</w:t>
            </w:r>
            <w:proofErr w:type="spellEnd"/>
            <w:r w:rsidRPr="006968D7">
              <w:rPr>
                <w:rFonts w:eastAsia="宋体"/>
                <w:lang w:val="en-US"/>
              </w:rPr>
              <w:t xml:space="preserve">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Shanxi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Shanxi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Central China</w:t>
            </w: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Hubei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proofErr w:type="spellStart"/>
            <w:r w:rsidRPr="006968D7">
              <w:rPr>
                <w:rFonts w:eastAsia="宋体"/>
                <w:lang w:val="en-US"/>
              </w:rPr>
              <w:t>Huazhong</w:t>
            </w:r>
            <w:proofErr w:type="spellEnd"/>
            <w:r w:rsidRPr="006968D7">
              <w:rPr>
                <w:rFonts w:eastAsia="宋体"/>
                <w:lang w:val="en-US"/>
              </w:rPr>
              <w:t xml:space="preserve"> University of Science and Technology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Hunan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Central South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Henan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Zhengzhou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East China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Shandong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Qingdao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Shandong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Jiangsu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Southeast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Nanjing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Nanjing University of Chinese Medicine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Yangzhou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Suzhou Vocational Health College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Anhui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Anhui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Bengbu Medical College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Zhejiang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Zhejiang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Wenzhou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Ningbo College of Health Sciences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Fujian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Fujian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Jiangxi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Nanchang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Shanghai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Shanghai </w:t>
            </w:r>
            <w:proofErr w:type="spellStart"/>
            <w:r w:rsidRPr="006968D7">
              <w:rPr>
                <w:rFonts w:eastAsia="宋体"/>
                <w:lang w:val="en-US"/>
              </w:rPr>
              <w:t>Jiaotong</w:t>
            </w:r>
            <w:proofErr w:type="spellEnd"/>
            <w:r w:rsidRPr="006968D7">
              <w:rPr>
                <w:rFonts w:eastAsia="宋体"/>
                <w:lang w:val="en-US"/>
              </w:rPr>
              <w:t xml:space="preserve">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proofErr w:type="spellStart"/>
            <w:r w:rsidRPr="006968D7">
              <w:rPr>
                <w:rFonts w:eastAsia="宋体"/>
                <w:lang w:val="en-US"/>
              </w:rPr>
              <w:t>Fudan</w:t>
            </w:r>
            <w:proofErr w:type="spellEnd"/>
            <w:r w:rsidRPr="006968D7">
              <w:rPr>
                <w:rFonts w:eastAsia="宋体"/>
                <w:lang w:val="en-US"/>
              </w:rPr>
              <w:t xml:space="preserve">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Shanghai University of Traditional Chinese Medicine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Shanghai University of Medicine &amp; Health Sciences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South China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Guangxi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Guangxi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Guilin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Guangdong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Sun </w:t>
            </w:r>
            <w:proofErr w:type="spellStart"/>
            <w:r w:rsidRPr="006968D7">
              <w:rPr>
                <w:rFonts w:eastAsia="宋体"/>
                <w:lang w:val="en-US"/>
              </w:rPr>
              <w:t>Yat-sen</w:t>
            </w:r>
            <w:proofErr w:type="spellEnd"/>
            <w:r w:rsidRPr="006968D7">
              <w:rPr>
                <w:rFonts w:eastAsia="宋体"/>
                <w:lang w:val="en-US"/>
              </w:rPr>
              <w:t xml:space="preserve">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Hainan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Hainan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Southwest China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Sichuan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Sichuan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Chengdu University of T.C.M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Yunnan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Kunming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proofErr w:type="spellStart"/>
            <w:r w:rsidRPr="006968D7">
              <w:rPr>
                <w:rFonts w:eastAsia="宋体"/>
                <w:lang w:val="en-US"/>
              </w:rPr>
              <w:t>Guizhou</w:t>
            </w:r>
            <w:proofErr w:type="spellEnd"/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proofErr w:type="spellStart"/>
            <w:r w:rsidRPr="006968D7">
              <w:rPr>
                <w:rFonts w:eastAsia="宋体"/>
                <w:lang w:val="en-US"/>
              </w:rPr>
              <w:t>Guizhou</w:t>
            </w:r>
            <w:proofErr w:type="spellEnd"/>
            <w:r w:rsidRPr="006968D7">
              <w:rPr>
                <w:rFonts w:eastAsia="宋体"/>
                <w:lang w:val="en-US"/>
              </w:rPr>
              <w:t xml:space="preserve"> Medical University</w:t>
            </w:r>
          </w:p>
        </w:tc>
      </w:tr>
      <w:tr w:rsidR="001438BE" w:rsidRPr="006968D7" w:rsidTr="006A2D14">
        <w:trPr>
          <w:trHeight w:val="20"/>
        </w:trPr>
        <w:tc>
          <w:tcPr>
            <w:tcW w:w="1198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868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Chongqing</w:t>
            </w:r>
          </w:p>
        </w:tc>
        <w:tc>
          <w:tcPr>
            <w:tcW w:w="293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Southwest University</w:t>
            </w:r>
          </w:p>
        </w:tc>
      </w:tr>
    </w:tbl>
    <w:p w:rsidR="001438BE" w:rsidRPr="00442133" w:rsidRDefault="001438BE" w:rsidP="001438BE">
      <w:pPr>
        <w:pStyle w:val="1"/>
        <w:rPr>
          <w:i/>
          <w:iCs/>
          <w:lang w:eastAsia="zh-CN"/>
        </w:rPr>
      </w:pPr>
      <w:r w:rsidRPr="006968D7">
        <w:br w:type="page"/>
      </w:r>
      <w:r w:rsidRPr="00442133">
        <w:rPr>
          <w:i/>
          <w:iCs/>
          <w:kern w:val="0"/>
        </w:rPr>
        <w:lastRenderedPageBreak/>
        <w:t>A</w:t>
      </w:r>
      <w:r w:rsidRPr="00442133">
        <w:rPr>
          <w:i/>
          <w:iCs/>
        </w:rPr>
        <w:t>ppendix 2</w:t>
      </w:r>
      <w:r w:rsidRPr="00442133">
        <w:rPr>
          <w:i/>
          <w:iCs/>
          <w:kern w:val="0"/>
        </w:rPr>
        <w:t xml:space="preserve"> –</w:t>
      </w:r>
      <w:r w:rsidRPr="00442133">
        <w:rPr>
          <w:i/>
          <w:iCs/>
        </w:rPr>
        <w:t xml:space="preserve"> Dietetic curriculum</w:t>
      </w:r>
    </w:p>
    <w:p w:rsidR="001438BE" w:rsidRPr="006968D7" w:rsidRDefault="001438BE" w:rsidP="001438BE">
      <w:pPr>
        <w:pStyle w:val="Text"/>
        <w:rPr>
          <w:rFonts w:eastAsia="宋体"/>
          <w:lang w:val="en-US" w:eastAsia="zh-CN"/>
        </w:rPr>
      </w:pPr>
    </w:p>
    <w:p w:rsidR="001438BE" w:rsidRPr="006968D7" w:rsidRDefault="001438BE" w:rsidP="001438BE">
      <w:pPr>
        <w:pStyle w:val="Text"/>
        <w:rPr>
          <w:rFonts w:eastAsia="宋体"/>
          <w:lang w:val="en-U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2521"/>
        <w:gridCol w:w="977"/>
        <w:gridCol w:w="2495"/>
        <w:gridCol w:w="977"/>
      </w:tblGrid>
      <w:tr w:rsidR="001438BE" w:rsidRPr="006968D7" w:rsidTr="006A2D14">
        <w:trPr>
          <w:trHeight w:val="20"/>
        </w:trPr>
        <w:tc>
          <w:tcPr>
            <w:tcW w:w="911" w:type="pct"/>
            <w:vMerge w:val="restar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b/>
                <w:lang w:val="en-US"/>
              </w:rPr>
              <w:t>Modules</w:t>
            </w:r>
          </w:p>
        </w:tc>
        <w:tc>
          <w:tcPr>
            <w:tcW w:w="2052" w:type="pct"/>
            <w:gridSpan w:val="2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b/>
                <w:lang w:val="en-US"/>
              </w:rPr>
              <w:t>Registered Dietitian</w:t>
            </w:r>
          </w:p>
        </w:tc>
        <w:tc>
          <w:tcPr>
            <w:tcW w:w="2037" w:type="pct"/>
            <w:gridSpan w:val="2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b/>
                <w:lang w:val="en-US"/>
              </w:rPr>
              <w:t>Registered Dietetic Technicians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vMerge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b/>
                <w:lang w:val="en-US"/>
              </w:rPr>
              <w:t>Courses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b/>
                <w:lang w:val="en-US"/>
              </w:rPr>
              <w:t>Credits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b/>
                <w:lang w:val="en-US"/>
              </w:rPr>
              <w:t>Courses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b/>
                <w:lang w:val="en-US"/>
              </w:rPr>
              <w:t>Credits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General Medicine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Anatomy, Biochemistry, Physiology, Microbiology, Immunology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10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Biochemistry, Physiology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1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Fundamental Nutrition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Introduction to Nutrition, Nutrition Foundation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4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Introduction to Nutrition, Nutrition Foundation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3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Food Science and Food Safety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Food Science, Food Analysis, Food Processing, Food Safety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6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Food Science, Food Safety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5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Foodservice and Management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Culinary Science, Diet Management and Design, Recipe Preparation, Catering Management and Practice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6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Culinary Science, Diet Management and Design, Recipe Preparation, Catering Management and Practice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10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Community Nutrition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Dietary Nutrient Reference Intake, Dietary Guidelines, Nutrition Survey and Evaluation, Food, Health and Dietary Patterns (including Vegetarian), Community Nutrition </w:t>
            </w:r>
            <w:r w:rsidRPr="006968D7">
              <w:rPr>
                <w:rFonts w:eastAsia="宋体"/>
                <w:lang w:val="en-US"/>
              </w:rPr>
              <w:lastRenderedPageBreak/>
              <w:t>and Chronic Disease Management, Health Management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lastRenderedPageBreak/>
              <w:t>5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Dietary Nutrient Reference Intake, Dietary Guidelines, Nutrition Survey and Evaluation, Food, Health and Dietary Patterns (including Vegetarian), Community Nutrition </w:t>
            </w:r>
            <w:r w:rsidRPr="006968D7">
              <w:rPr>
                <w:rFonts w:eastAsia="宋体"/>
                <w:lang w:val="en-US"/>
              </w:rPr>
              <w:lastRenderedPageBreak/>
              <w:t>and Chronic Disease Management, Health Management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lastRenderedPageBreak/>
              <w:t>3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lastRenderedPageBreak/>
              <w:t>Human Nutrition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Nutrition of People of Different Ages (Different Physiological Conditions), Nutrition of People of Different Occupations and Environment, Sports Nutrition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4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Nutrition of People of Different Ages (Different Physiological Conditions), Nutrition of People of Different Occupations and Environment, Sports Nutrition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3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Clinical Nutrition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Introduction to Clinical Nutrition, Intestinal and </w:t>
            </w:r>
            <w:proofErr w:type="spellStart"/>
            <w:r w:rsidRPr="006968D7">
              <w:rPr>
                <w:rFonts w:eastAsia="宋体"/>
                <w:lang w:val="en-US"/>
              </w:rPr>
              <w:t>Parenteral</w:t>
            </w:r>
            <w:proofErr w:type="spellEnd"/>
            <w:r w:rsidRPr="006968D7">
              <w:rPr>
                <w:rFonts w:eastAsia="宋体"/>
                <w:lang w:val="en-US"/>
              </w:rPr>
              <w:t xml:space="preserve"> Nutrition, Medical Nutrition Therapy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7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Introduction to Clinical Nutrition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1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Nutrition Education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Psychology, Nutrition Counseling and Education, Nutrition Counseling and Educational Practice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4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Nutrition Counseling and Education, Nutrition Counseling and Educational Practice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1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Environment and Health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Introduction to Environment and Health, Epidemiology and Health Statistics</w:t>
            </w: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3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1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Dietetic Internship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1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Total credits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50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27</w:t>
            </w:r>
          </w:p>
        </w:tc>
      </w:tr>
      <w:tr w:rsidR="001438BE" w:rsidRPr="006968D7" w:rsidTr="006A2D14">
        <w:trPr>
          <w:trHeight w:val="20"/>
        </w:trPr>
        <w:tc>
          <w:tcPr>
            <w:tcW w:w="911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Total hours (16 hours per credit)</w:t>
            </w:r>
          </w:p>
        </w:tc>
        <w:tc>
          <w:tcPr>
            <w:tcW w:w="1479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800</w:t>
            </w:r>
          </w:p>
        </w:tc>
        <w:tc>
          <w:tcPr>
            <w:tcW w:w="1464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57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432</w:t>
            </w:r>
          </w:p>
        </w:tc>
      </w:tr>
    </w:tbl>
    <w:p w:rsidR="001438BE" w:rsidRPr="00442133" w:rsidRDefault="001438BE" w:rsidP="001438BE">
      <w:pPr>
        <w:pStyle w:val="1"/>
        <w:rPr>
          <w:i/>
          <w:iCs/>
          <w:lang w:eastAsia="zh-CN"/>
        </w:rPr>
      </w:pPr>
      <w:r w:rsidRPr="006968D7">
        <w:br w:type="page"/>
      </w:r>
      <w:r w:rsidRPr="00442133">
        <w:rPr>
          <w:i/>
          <w:iCs/>
        </w:rPr>
        <w:lastRenderedPageBreak/>
        <w:t>Appendix 3 – T</w:t>
      </w:r>
      <w:r>
        <w:rPr>
          <w:rFonts w:hint="eastAsia"/>
          <w:i/>
          <w:iCs/>
          <w:lang w:eastAsia="zh-CN"/>
        </w:rPr>
        <w:t>imeline</w:t>
      </w:r>
      <w:r w:rsidRPr="00442133">
        <w:rPr>
          <w:i/>
          <w:iCs/>
        </w:rPr>
        <w:t>: Milestones of Chinese Registered Dietitian</w:t>
      </w:r>
    </w:p>
    <w:p w:rsidR="001438BE" w:rsidRPr="00392C4B" w:rsidRDefault="001438BE" w:rsidP="001438BE">
      <w:pPr>
        <w:pStyle w:val="Text"/>
        <w:rPr>
          <w:rFonts w:eastAsia="宋体"/>
          <w:lang w:val="en-US" w:eastAsia="zh-CN"/>
        </w:rPr>
      </w:pPr>
    </w:p>
    <w:p w:rsidR="001438BE" w:rsidRPr="006968D7" w:rsidRDefault="001438BE" w:rsidP="001438BE">
      <w:pPr>
        <w:pStyle w:val="Text"/>
        <w:rPr>
          <w:rFonts w:eastAsia="宋体"/>
          <w:lang w:val="en-US" w:eastAsia="zh-CN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661"/>
      </w:tblGrid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b/>
                <w:lang w:val="en-US"/>
              </w:rPr>
              <w:t>TIMELINE: Milestones of Chinese Registered Dietitian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Nov 2014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Registered Dietitian Accreditation System Establishment project by the Chinese Nutrition Society (CNS) launched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May 28, 2016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first pilot Registered Dietitian Examination in Shanghai Jiao Tong University School of Medicine conducted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Dec 17, 2016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•</w:t>
            </w:r>
            <w:r w:rsidRPr="006968D7">
              <w:rPr>
                <w:rFonts w:eastAsia="宋体"/>
                <w:lang w:val="en-US"/>
              </w:rPr>
              <w:tab/>
              <w:t>Registered Dietitian Committee (RDC) by CNS established</w:t>
            </w:r>
          </w:p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•</w:t>
            </w:r>
            <w:r w:rsidRPr="006968D7">
              <w:rPr>
                <w:rFonts w:eastAsia="宋体"/>
                <w:lang w:val="en-US"/>
              </w:rPr>
              <w:tab/>
              <w:t>The first annual meeting of RDC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Dec 30, 2016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i/>
                <w:lang w:val="en-US"/>
              </w:rPr>
              <w:t>The</w:t>
            </w:r>
            <w:r w:rsidRPr="006968D7">
              <w:rPr>
                <w:rFonts w:eastAsia="宋体"/>
                <w:lang w:val="en-US"/>
              </w:rPr>
              <w:t xml:space="preserve"> </w:t>
            </w:r>
            <w:r w:rsidRPr="006968D7">
              <w:rPr>
                <w:rFonts w:eastAsia="宋体"/>
                <w:i/>
                <w:lang w:val="en-US"/>
              </w:rPr>
              <w:t>Interim Provisions on the Level Evaluation System of Registered Dietitians</w:t>
            </w:r>
            <w:r w:rsidRPr="006968D7">
              <w:rPr>
                <w:rFonts w:eastAsia="宋体"/>
                <w:lang w:val="en-US"/>
              </w:rPr>
              <w:t xml:space="preserve"> issued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Mar 3, 2017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i/>
                <w:lang w:val="en-US"/>
              </w:rPr>
              <w:t>The Implementation Standards of Dietitian Registration Examination</w:t>
            </w:r>
            <w:r w:rsidRPr="006968D7">
              <w:rPr>
                <w:rFonts w:eastAsia="宋体"/>
                <w:lang w:val="en-US"/>
              </w:rPr>
              <w:t xml:space="preserve"> issued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Mar 7, 2017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i/>
                <w:lang w:val="en-US"/>
              </w:rPr>
            </w:pPr>
            <w:r w:rsidRPr="006968D7">
              <w:rPr>
                <w:rFonts w:eastAsia="宋体"/>
                <w:lang w:val="en-US"/>
              </w:rPr>
              <w:t>An examination exemption guideline for grandfather group dietitians released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Mar 27, 2017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Statement of </w:t>
            </w:r>
            <w:r w:rsidRPr="006968D7">
              <w:rPr>
                <w:rFonts w:eastAsia="宋体"/>
                <w:i/>
                <w:lang w:val="en-US"/>
              </w:rPr>
              <w:t>no short-term training for RD/DTR credentials accepted</w:t>
            </w:r>
            <w:r w:rsidRPr="006968D7">
              <w:rPr>
                <w:rFonts w:eastAsia="宋体"/>
                <w:lang w:val="en-US"/>
              </w:rPr>
              <w:t xml:space="preserve"> announced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Apr 23, 2017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Official website of RD/DTR www.crdietitian.org launched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May 24, 2017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i/>
                <w:lang w:val="en-US"/>
              </w:rPr>
              <w:t>Registered Dietitian: Practice and Future Trends</w:t>
            </w:r>
            <w:r w:rsidRPr="006968D7">
              <w:rPr>
                <w:rFonts w:eastAsia="宋体"/>
                <w:lang w:val="en-US"/>
              </w:rPr>
              <w:t xml:space="preserve"> Forum in the 13th China Nutrition Science Congress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Jul 9, 2017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first national RD examination held in five cities – Beijing, Shanghai, Guangzhou, Changchun, Chengdu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Aug 17, 2017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first cycle of didactic program application and accreditation started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Oct 18–24, 2017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RDC representatives</w:t>
            </w:r>
          </w:p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•</w:t>
            </w:r>
            <w:r w:rsidRPr="006968D7">
              <w:rPr>
                <w:rFonts w:eastAsia="宋体"/>
                <w:lang w:val="en-US"/>
              </w:rPr>
              <w:tab/>
            </w:r>
            <w:proofErr w:type="spellStart"/>
            <w:r w:rsidRPr="006968D7">
              <w:rPr>
                <w:rFonts w:eastAsia="宋体"/>
                <w:lang w:val="en-US"/>
              </w:rPr>
              <w:t>meeted</w:t>
            </w:r>
            <w:proofErr w:type="spellEnd"/>
            <w:r w:rsidRPr="006968D7">
              <w:rPr>
                <w:rFonts w:eastAsia="宋体"/>
                <w:lang w:val="en-US"/>
              </w:rPr>
              <w:t xml:space="preserve"> with dietetic program advisors of New York University and Columbia University</w:t>
            </w:r>
          </w:p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•</w:t>
            </w:r>
            <w:r w:rsidRPr="006968D7">
              <w:rPr>
                <w:rFonts w:eastAsia="宋体"/>
                <w:lang w:val="en-US"/>
              </w:rPr>
              <w:tab/>
            </w:r>
            <w:proofErr w:type="spellStart"/>
            <w:r w:rsidRPr="006968D7">
              <w:rPr>
                <w:rFonts w:eastAsia="宋体"/>
                <w:lang w:val="en-US"/>
              </w:rPr>
              <w:t>meeted</w:t>
            </w:r>
            <w:proofErr w:type="spellEnd"/>
            <w:r w:rsidRPr="006968D7">
              <w:rPr>
                <w:rFonts w:eastAsia="宋体"/>
                <w:lang w:val="en-US"/>
              </w:rPr>
              <w:t xml:space="preserve"> with The New York City Government Department of Health Division of Nutrition</w:t>
            </w:r>
          </w:p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•</w:t>
            </w:r>
            <w:r w:rsidRPr="006968D7">
              <w:rPr>
                <w:rFonts w:eastAsia="宋体"/>
                <w:lang w:val="en-US"/>
              </w:rPr>
              <w:tab/>
              <w:t>visited long term care institutions in Manhattan and Bronx</w:t>
            </w:r>
          </w:p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•</w:t>
            </w:r>
            <w:r w:rsidRPr="006968D7">
              <w:rPr>
                <w:rFonts w:eastAsia="宋体"/>
                <w:lang w:val="en-US"/>
              </w:rPr>
              <w:tab/>
              <w:t>attended FNCE 2017 in Chicago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lastRenderedPageBreak/>
              <w:t>Dec 7, 2017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An examination exemption guideline for dietitians overseas released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Dec 8, 2017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first cycle of dietetic internship program application and accreditation started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Dec 18, 2017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In the CPPCC auditorium, Beijing</w:t>
            </w:r>
          </w:p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•</w:t>
            </w:r>
            <w:r w:rsidRPr="006968D7">
              <w:rPr>
                <w:rFonts w:eastAsia="宋体"/>
                <w:lang w:val="en-US"/>
              </w:rPr>
              <w:tab/>
              <w:t>accreditation ceremony of RD representatives held</w:t>
            </w:r>
          </w:p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•</w:t>
            </w:r>
            <w:r w:rsidRPr="006968D7">
              <w:rPr>
                <w:rFonts w:eastAsia="宋体"/>
                <w:lang w:val="en-US"/>
              </w:rPr>
              <w:tab/>
              <w:t>the official logo of RD released</w:t>
            </w:r>
          </w:p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•</w:t>
            </w:r>
            <w:r w:rsidRPr="006968D7">
              <w:rPr>
                <w:rFonts w:eastAsia="宋体"/>
                <w:lang w:val="en-US"/>
              </w:rPr>
              <w:tab/>
              <w:t>the first cycle of didactic programs accredited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Jan 21, 2018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first national DTR examination held in five cities – Beijing, Shanghai, Guangzhou, Changchun, Chengdu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Mar 17, 2018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second annual meeting of RDC and the first seminar of accredited didactic programs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Apr 19, 2018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20 registered dietitians under 35 sponsored by the President’s Fund of CNS participating in the 7th Asian Dietitians Conference with either oral or poster accepted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Jul 24, 2018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second national RD examination held in five cities – Beijing, Shanghai, Guangzhou, Changchun, Chengdu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Aug 3, 2018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i/>
                <w:lang w:val="en-US"/>
              </w:rPr>
              <w:t>The Interim Provisions on Continuing Education</w:t>
            </w:r>
            <w:r w:rsidRPr="006968D7">
              <w:rPr>
                <w:rFonts w:eastAsia="宋体"/>
                <w:lang w:val="en-US"/>
              </w:rPr>
              <w:t xml:space="preserve"> </w:t>
            </w:r>
            <w:r w:rsidRPr="006968D7">
              <w:rPr>
                <w:rFonts w:eastAsia="宋体"/>
                <w:i/>
                <w:lang w:val="en-US"/>
              </w:rPr>
              <w:t>of Registered Dietitians</w:t>
            </w:r>
            <w:r w:rsidRPr="006968D7">
              <w:rPr>
                <w:rFonts w:eastAsia="宋体"/>
                <w:lang w:val="en-US"/>
              </w:rPr>
              <w:t xml:space="preserve"> issued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Aug 29–31, 2018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The 1st </w:t>
            </w:r>
            <w:r w:rsidRPr="006968D7">
              <w:rPr>
                <w:rFonts w:eastAsia="宋体"/>
                <w:i/>
                <w:lang w:val="en-US"/>
              </w:rPr>
              <w:t>Nutrition Theory Application and Skills Practice</w:t>
            </w:r>
            <w:r w:rsidRPr="006968D7">
              <w:rPr>
                <w:rFonts w:eastAsia="宋体"/>
                <w:lang w:val="en-US"/>
              </w:rPr>
              <w:t xml:space="preserve"> CE program (CNS developed)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Oct 13–15, 2018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The 2nd </w:t>
            </w:r>
            <w:r w:rsidRPr="006968D7">
              <w:rPr>
                <w:rFonts w:eastAsia="宋体"/>
                <w:i/>
                <w:lang w:val="en-US"/>
              </w:rPr>
              <w:t>Nutrition Theory Application and Skills Practice</w:t>
            </w:r>
            <w:r w:rsidRPr="006968D7">
              <w:rPr>
                <w:rFonts w:eastAsia="宋体"/>
                <w:lang w:val="en-US"/>
              </w:rPr>
              <w:t xml:space="preserve"> CE program (CNS developed)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Nov 16–18, 2018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The 3rd </w:t>
            </w:r>
            <w:r w:rsidRPr="006968D7">
              <w:rPr>
                <w:rFonts w:eastAsia="宋体"/>
                <w:i/>
                <w:lang w:val="en-US"/>
              </w:rPr>
              <w:t>Nutrition Theory Application and Skills Practice</w:t>
            </w:r>
            <w:r w:rsidRPr="006968D7">
              <w:rPr>
                <w:rFonts w:eastAsia="宋体"/>
                <w:lang w:val="en-US"/>
              </w:rPr>
              <w:t xml:space="preserve"> CE program (CNS developed)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Jan 20, 2019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second national DTR examination held in five cities – Beijing, Shanghai, Guangzhou, Changchun, Chengdu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Mar 6, 2019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b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first cycle dietetic internship programs accredited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Mar 22, 2019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second cycle of didactic program application and accreditation started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Jun 6, 2019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second cycle of didactic programs accredited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Sep 3, 2019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i/>
                <w:lang w:val="en-US"/>
              </w:rPr>
              <w:t xml:space="preserve">Let RD resident in 55 national Olympic sports teams </w:t>
            </w:r>
            <w:r w:rsidRPr="006968D7">
              <w:rPr>
                <w:rFonts w:eastAsia="宋体"/>
                <w:lang w:val="en-US"/>
              </w:rPr>
              <w:t>project launched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lastRenderedPageBreak/>
              <w:t>Sep 22, 2019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i/>
                <w:lang w:val="en-US"/>
              </w:rPr>
              <w:t>Registered Dietitian Development Forum – Practice Skills Advancing to the Rising Future</w:t>
            </w:r>
            <w:r w:rsidRPr="006968D7">
              <w:rPr>
                <w:rFonts w:eastAsia="宋体"/>
                <w:lang w:val="en-US"/>
              </w:rPr>
              <w:t xml:space="preserve"> in the 14th China Nutrition Science Congress and the 11th Asia Pacific Conference on Clinical Nutrition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Oct 28–Nov 1, 2019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The 1st </w:t>
            </w:r>
            <w:r w:rsidRPr="006968D7">
              <w:rPr>
                <w:rFonts w:eastAsia="宋体"/>
                <w:i/>
                <w:lang w:val="en-US"/>
              </w:rPr>
              <w:t>Sports Nutrition Advanced Skills</w:t>
            </w:r>
            <w:r w:rsidRPr="006968D7">
              <w:rPr>
                <w:rFonts w:eastAsia="宋体"/>
                <w:lang w:val="en-US"/>
              </w:rPr>
              <w:t xml:space="preserve"> CE program (CNS and the General Administration of Sport of China jointly developed)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Nov 21, 2019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Official CE application and RD/DTR recertification system launched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Nov 23, 2019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second seminar of accredited didactic programs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Nov 29–Dec 1, 2019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The 1st </w:t>
            </w:r>
            <w:r w:rsidRPr="006968D7">
              <w:rPr>
                <w:rFonts w:eastAsia="宋体"/>
                <w:i/>
                <w:lang w:val="en-US"/>
              </w:rPr>
              <w:t>Nutritional Science Popularization Ability Improvement</w:t>
            </w:r>
            <w:r w:rsidRPr="006968D7">
              <w:rPr>
                <w:rFonts w:eastAsia="宋体"/>
                <w:lang w:val="en-US"/>
              </w:rPr>
              <w:t xml:space="preserve"> CE program (CNS developed)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Dec 6–8, 2019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The 2nd </w:t>
            </w:r>
            <w:r w:rsidRPr="006968D7">
              <w:rPr>
                <w:rFonts w:eastAsia="宋体"/>
                <w:i/>
                <w:lang w:val="en-US"/>
              </w:rPr>
              <w:t>Nutritional Science Popularization Ability Improvement</w:t>
            </w:r>
            <w:r w:rsidRPr="006968D7">
              <w:rPr>
                <w:rFonts w:eastAsia="宋体"/>
                <w:lang w:val="en-US"/>
              </w:rPr>
              <w:t xml:space="preserve"> CE program (CNS developed)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May 17, 2020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Strategic cooperation contract of CNS and Health Human Resources Development Center, Ministry of Health of the People’s Republic of China (HHRDC) signed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Jul 1, 2020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The second cycle of </w:t>
            </w:r>
            <w:r w:rsidRPr="006968D7">
              <w:rPr>
                <w:rFonts w:eastAsia="宋体"/>
                <w:i/>
                <w:lang w:val="en-US"/>
              </w:rPr>
              <w:t xml:space="preserve">Let RD resident in 55 national Olympic sports teams </w:t>
            </w:r>
            <w:r w:rsidRPr="006968D7">
              <w:rPr>
                <w:rFonts w:eastAsia="宋体"/>
                <w:lang w:val="en-US"/>
              </w:rPr>
              <w:t>project recruitment launched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Aug 7–9, 2020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 xml:space="preserve">The 3rd </w:t>
            </w:r>
            <w:r w:rsidRPr="006968D7">
              <w:rPr>
                <w:rFonts w:eastAsia="宋体"/>
                <w:i/>
                <w:lang w:val="en-US"/>
              </w:rPr>
              <w:t>Nutritional Science Popularization Ability Improvement</w:t>
            </w:r>
            <w:r w:rsidRPr="006968D7">
              <w:rPr>
                <w:rFonts w:eastAsia="宋体"/>
                <w:lang w:val="en-US"/>
              </w:rPr>
              <w:t xml:space="preserve"> CE program (CNS developed) held</w:t>
            </w:r>
          </w:p>
        </w:tc>
      </w:tr>
      <w:tr w:rsidR="001438BE" w:rsidRPr="006968D7" w:rsidTr="006A2D14">
        <w:trPr>
          <w:trHeight w:val="20"/>
        </w:trPr>
        <w:tc>
          <w:tcPr>
            <w:tcW w:w="1133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Dec 20, 2020</w:t>
            </w:r>
          </w:p>
        </w:tc>
        <w:tc>
          <w:tcPr>
            <w:tcW w:w="3867" w:type="pct"/>
            <w:shd w:val="clear" w:color="auto" w:fill="auto"/>
          </w:tcPr>
          <w:p w:rsidR="001438BE" w:rsidRPr="006968D7" w:rsidRDefault="001438BE" w:rsidP="006A2D14">
            <w:pPr>
              <w:pStyle w:val="Text"/>
              <w:jc w:val="left"/>
              <w:rPr>
                <w:rFonts w:eastAsia="宋体"/>
                <w:lang w:val="en-US"/>
              </w:rPr>
            </w:pPr>
            <w:r w:rsidRPr="006968D7">
              <w:rPr>
                <w:rFonts w:eastAsia="宋体"/>
                <w:lang w:val="en-US"/>
              </w:rPr>
              <w:t>The first computer-based national RD/DTR examination held in 15 cities (the 6</w:t>
            </w:r>
            <w:r w:rsidRPr="006968D7">
              <w:rPr>
                <w:rFonts w:eastAsia="宋体"/>
                <w:vertAlign w:val="superscript"/>
                <w:lang w:val="en-US"/>
              </w:rPr>
              <w:t>th</w:t>
            </w:r>
            <w:r w:rsidRPr="006968D7">
              <w:rPr>
                <w:rFonts w:eastAsia="宋体"/>
                <w:lang w:val="en-US"/>
              </w:rPr>
              <w:t xml:space="preserve"> national exam)</w:t>
            </w:r>
          </w:p>
        </w:tc>
      </w:tr>
    </w:tbl>
    <w:p w:rsidR="001438BE" w:rsidRPr="00DB6D49" w:rsidRDefault="001438BE" w:rsidP="001438BE">
      <w:pPr>
        <w:pStyle w:val="1"/>
        <w:rPr>
          <w:rFonts w:hint="eastAsia"/>
          <w:i/>
          <w:iCs/>
        </w:rPr>
      </w:pPr>
      <w:r>
        <w:br w:type="page"/>
      </w:r>
      <w:r w:rsidRPr="00DB6D49">
        <w:rPr>
          <w:i/>
          <w:iCs/>
        </w:rPr>
        <w:lastRenderedPageBreak/>
        <w:t>Appendix 4</w:t>
      </w:r>
      <w:r>
        <w:rPr>
          <w:i/>
          <w:iCs/>
          <w:lang w:eastAsia="zh-CN"/>
        </w:rPr>
        <w:t xml:space="preserve"> –</w:t>
      </w:r>
      <w:r w:rsidRPr="00DB6D49">
        <w:rPr>
          <w:i/>
          <w:iCs/>
        </w:rPr>
        <w:t xml:space="preserve"> Selected characteristics of overseas dietitian registered in China</w:t>
      </w:r>
    </w:p>
    <w:p w:rsidR="001438BE" w:rsidRDefault="001438BE" w:rsidP="001438BE">
      <w:pPr>
        <w:pStyle w:val="Textindent"/>
        <w:rPr>
          <w:rFonts w:hint="eastAsia"/>
          <w:lang w:val="en-US" w:eastAsia="zh-CN"/>
        </w:rPr>
      </w:pPr>
    </w:p>
    <w:p w:rsidR="001438BE" w:rsidRPr="00DB6D49" w:rsidRDefault="001438BE" w:rsidP="001438BE">
      <w:pPr>
        <w:pStyle w:val="Textindent"/>
        <w:rPr>
          <w:rFonts w:hint="eastAsia"/>
          <w:lang w:val="en-U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7"/>
        <w:gridCol w:w="2175"/>
      </w:tblGrid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b/>
                <w:lang w:val="en-US"/>
              </w:rPr>
            </w:pPr>
            <w:r w:rsidRPr="00DB6D49">
              <w:rPr>
                <w:b/>
                <w:lang w:val="en-US"/>
              </w:rPr>
              <w:t>Variable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b/>
                <w:lang w:val="en-US"/>
              </w:rPr>
            </w:pP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b/>
                <w:lang w:val="en-US"/>
              </w:rPr>
            </w:pPr>
            <w:r w:rsidRPr="00DB6D49">
              <w:rPr>
                <w:b/>
                <w:lang w:val="en-US"/>
              </w:rPr>
              <w:t>Level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b/>
                <w:lang w:val="en-US"/>
              </w:rPr>
            </w:pP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RD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52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93%)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DTR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4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7%)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b/>
                <w:lang w:val="en-US"/>
              </w:rPr>
            </w:pPr>
            <w:r w:rsidRPr="00DB6D49">
              <w:rPr>
                <w:b/>
                <w:lang w:val="en-US"/>
              </w:rPr>
              <w:t>Gender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Female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51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91%)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Male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5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9%)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b/>
                <w:lang w:val="en-US"/>
              </w:rPr>
            </w:pPr>
            <w:r w:rsidRPr="00DB6D49">
              <w:rPr>
                <w:b/>
                <w:lang w:val="en-US"/>
              </w:rPr>
              <w:t>Country of certification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The US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22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42%)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Canada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8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15%)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Australia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15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29%)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Japan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5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10%)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New Zealand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1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2%)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The UK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1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2%)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jc w:val="left"/>
              <w:rPr>
                <w:b/>
                <w:lang w:val="en-US"/>
              </w:rPr>
            </w:pPr>
            <w:r w:rsidRPr="00DB6D49">
              <w:rPr>
                <w:b/>
                <w:lang w:val="en-US"/>
              </w:rPr>
              <w:t>Highest degree earned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Bachelor’s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10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18%)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Master’s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44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78%)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Doctoral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2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4%)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b/>
                <w:lang w:val="en-US"/>
              </w:rPr>
            </w:pPr>
            <w:r w:rsidRPr="00DB6D49">
              <w:rPr>
                <w:b/>
                <w:lang w:val="en-US"/>
              </w:rPr>
              <w:t>Age</w:t>
            </w:r>
            <w:r>
              <w:rPr>
                <w:b/>
                <w:lang w:val="en-US"/>
              </w:rPr>
              <w:t xml:space="preserve"> </w:t>
            </w:r>
            <w:r w:rsidRPr="00DB6D49">
              <w:rPr>
                <w:b/>
                <w:lang w:val="en-US"/>
              </w:rPr>
              <w:t>(y)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25</w:t>
            </w:r>
            <w:r>
              <w:rPr>
                <w:rFonts w:eastAsia="宋体"/>
                <w:lang w:val="en-US"/>
              </w:rPr>
              <w:t>–</w:t>
            </w:r>
            <w:r w:rsidRPr="00DB6D49">
              <w:rPr>
                <w:rFonts w:eastAsia="宋体"/>
                <w:lang w:val="en-US"/>
              </w:rPr>
              <w:t>29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14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27%)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30</w:t>
            </w:r>
            <w:r>
              <w:rPr>
                <w:rFonts w:eastAsia="宋体"/>
                <w:lang w:val="en-US"/>
              </w:rPr>
              <w:t>–</w:t>
            </w:r>
            <w:r w:rsidRPr="00DB6D49">
              <w:rPr>
                <w:rFonts w:eastAsia="宋体"/>
                <w:lang w:val="en-US"/>
              </w:rPr>
              <w:t>34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28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54%)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35</w:t>
            </w:r>
            <w:r>
              <w:rPr>
                <w:rFonts w:eastAsia="宋体"/>
                <w:lang w:val="en-US"/>
              </w:rPr>
              <w:t>–</w:t>
            </w:r>
            <w:r w:rsidRPr="00DB6D49">
              <w:rPr>
                <w:rFonts w:eastAsia="宋体"/>
                <w:lang w:val="en-US"/>
              </w:rPr>
              <w:t>39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6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11%)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40</w:t>
            </w:r>
            <w:r>
              <w:rPr>
                <w:rFonts w:eastAsia="宋体"/>
                <w:lang w:val="en-US"/>
              </w:rPr>
              <w:t>–</w:t>
            </w:r>
            <w:r w:rsidRPr="00DB6D49">
              <w:rPr>
                <w:rFonts w:eastAsia="宋体"/>
                <w:lang w:val="en-US"/>
              </w:rPr>
              <w:t>44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3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6%)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&gt;44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1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2%)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b/>
                <w:lang w:val="en-US"/>
              </w:rPr>
            </w:pPr>
            <w:r w:rsidRPr="00DB6D49">
              <w:rPr>
                <w:b/>
                <w:lang w:val="en-US"/>
              </w:rPr>
              <w:t>Practice area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Clinical nutrition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20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38%)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Consultation and business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20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38%)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Education and research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6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12%)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  <w:vAlign w:val="center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t>Food and nutrition management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3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6%)</w:t>
            </w:r>
          </w:p>
        </w:tc>
      </w:tr>
      <w:tr w:rsidR="001438BE" w:rsidRPr="00DB6D49" w:rsidTr="006A2D14">
        <w:trPr>
          <w:trHeight w:val="20"/>
        </w:trPr>
        <w:tc>
          <w:tcPr>
            <w:tcW w:w="3724" w:type="pct"/>
            <w:shd w:val="clear" w:color="auto" w:fill="auto"/>
          </w:tcPr>
          <w:p w:rsidR="001438BE" w:rsidRPr="00DB6D49" w:rsidRDefault="001438BE" w:rsidP="006A2D14">
            <w:pPr>
              <w:pStyle w:val="Text"/>
              <w:ind w:leftChars="100" w:left="210"/>
              <w:jc w:val="left"/>
              <w:rPr>
                <w:rFonts w:eastAsia="宋体"/>
                <w:lang w:val="en-US"/>
              </w:rPr>
            </w:pPr>
            <w:r w:rsidRPr="00DB6D49">
              <w:rPr>
                <w:rFonts w:eastAsia="宋体"/>
                <w:lang w:val="en-US"/>
              </w:rPr>
              <w:lastRenderedPageBreak/>
              <w:t>Community</w:t>
            </w:r>
          </w:p>
        </w:tc>
        <w:tc>
          <w:tcPr>
            <w:tcW w:w="1276" w:type="pct"/>
            <w:shd w:val="clear" w:color="auto" w:fill="auto"/>
          </w:tcPr>
          <w:p w:rsidR="001438BE" w:rsidRPr="00DB6D49" w:rsidRDefault="001438BE" w:rsidP="006A2D14">
            <w:pPr>
              <w:pStyle w:val="Text"/>
              <w:jc w:val="left"/>
              <w:rPr>
                <w:lang w:val="en-US"/>
              </w:rPr>
            </w:pPr>
            <w:r w:rsidRPr="00DB6D49">
              <w:rPr>
                <w:lang w:val="en-US"/>
              </w:rPr>
              <w:t>3</w:t>
            </w:r>
            <w:r>
              <w:rPr>
                <w:lang w:val="en-US"/>
              </w:rPr>
              <w:t xml:space="preserve"> (</w:t>
            </w:r>
            <w:r w:rsidRPr="00DB6D49">
              <w:rPr>
                <w:lang w:val="en-US"/>
              </w:rPr>
              <w:t>6%)</w:t>
            </w:r>
          </w:p>
        </w:tc>
      </w:tr>
    </w:tbl>
    <w:p w:rsidR="00890FD7" w:rsidRDefault="00890FD7">
      <w:pPr>
        <w:rPr>
          <w:rFonts w:hint="eastAsia"/>
        </w:rPr>
      </w:pPr>
    </w:p>
    <w:sectPr w:rsidR="00890FD7" w:rsidSect="001438BE">
      <w:pgSz w:w="11906" w:h="16838"/>
      <w:pgMar w:top="1440" w:right="1800" w:bottom="1440" w:left="180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15" w:rsidRPr="009F0711" w:rsidRDefault="00F46A15" w:rsidP="001438B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F46A15" w:rsidRPr="009F0711" w:rsidRDefault="00F46A15" w:rsidP="001438B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15" w:rsidRPr="009F0711" w:rsidRDefault="00F46A15" w:rsidP="001438B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F46A15" w:rsidRPr="009F0711" w:rsidRDefault="00F46A15" w:rsidP="001438B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603"/>
    <w:multiLevelType w:val="hybridMultilevel"/>
    <w:tmpl w:val="3564C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B031CE"/>
    <w:multiLevelType w:val="hybridMultilevel"/>
    <w:tmpl w:val="2D8E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81404"/>
    <w:multiLevelType w:val="hybridMultilevel"/>
    <w:tmpl w:val="BBF2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679E3"/>
    <w:multiLevelType w:val="hybridMultilevel"/>
    <w:tmpl w:val="2D60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763AA"/>
    <w:multiLevelType w:val="hybridMultilevel"/>
    <w:tmpl w:val="8752D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MDE0MjQxtLQ0tzAzNTNT0lEKTi0uzszPAykwrAUA5hEoVywAAAA="/>
  </w:docVars>
  <w:rsids>
    <w:rsidRoot w:val="001438BE"/>
    <w:rsid w:val="000D3080"/>
    <w:rsid w:val="001438BE"/>
    <w:rsid w:val="002471A7"/>
    <w:rsid w:val="00267503"/>
    <w:rsid w:val="0029320D"/>
    <w:rsid w:val="0029322E"/>
    <w:rsid w:val="003467DF"/>
    <w:rsid w:val="005B7203"/>
    <w:rsid w:val="005C7EA1"/>
    <w:rsid w:val="00707F01"/>
    <w:rsid w:val="007409CE"/>
    <w:rsid w:val="0086135E"/>
    <w:rsid w:val="00890FD7"/>
    <w:rsid w:val="00916250"/>
    <w:rsid w:val="00921B90"/>
    <w:rsid w:val="009B6D03"/>
    <w:rsid w:val="00AE2619"/>
    <w:rsid w:val="00B0797D"/>
    <w:rsid w:val="00C4599A"/>
    <w:rsid w:val="00C87CCD"/>
    <w:rsid w:val="00DC24BF"/>
    <w:rsid w:val="00E43467"/>
    <w:rsid w:val="00EB67A2"/>
    <w:rsid w:val="00F46A15"/>
    <w:rsid w:val="00F7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BE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Text"/>
    <w:link w:val="1Char"/>
    <w:qFormat/>
    <w:rsid w:val="001438BE"/>
    <w:pPr>
      <w:keepNext/>
      <w:widowControl/>
      <w:spacing w:before="240" w:after="60"/>
      <w:outlineLvl w:val="0"/>
    </w:pPr>
    <w:rPr>
      <w:rFonts w:ascii="Times New Roman" w:hAnsi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Text"/>
    <w:link w:val="2Char"/>
    <w:qFormat/>
    <w:rsid w:val="001438BE"/>
    <w:pPr>
      <w:keepNext/>
      <w:widowControl/>
      <w:spacing w:before="240" w:after="60"/>
      <w:outlineLvl w:val="1"/>
    </w:pPr>
    <w:rPr>
      <w:rFonts w:ascii="Times New Roman" w:hAnsi="Times New Roman"/>
      <w:b/>
      <w:bCs/>
      <w:i/>
      <w:iCs/>
      <w:color w:val="0070C0"/>
      <w:kern w:val="0"/>
      <w:sz w:val="24"/>
      <w:szCs w:val="24"/>
      <w:lang w:eastAsia="en-US"/>
    </w:rPr>
  </w:style>
  <w:style w:type="paragraph" w:styleId="3">
    <w:name w:val="heading 3"/>
    <w:basedOn w:val="a"/>
    <w:next w:val="Text"/>
    <w:link w:val="3Char"/>
    <w:qFormat/>
    <w:rsid w:val="001438BE"/>
    <w:pPr>
      <w:keepNext/>
      <w:widowControl/>
      <w:spacing w:before="240" w:after="60"/>
      <w:outlineLvl w:val="2"/>
    </w:pPr>
    <w:rPr>
      <w:rFonts w:ascii="Times New Roman" w:hAnsi="Times New Roman"/>
      <w:bCs/>
      <w:i/>
      <w:iCs/>
      <w:color w:val="0070C0"/>
      <w:kern w:val="0"/>
      <w:sz w:val="24"/>
      <w:szCs w:val="24"/>
      <w:lang w:eastAsia="en-US"/>
    </w:rPr>
  </w:style>
  <w:style w:type="paragraph" w:styleId="4">
    <w:name w:val="heading 4"/>
    <w:basedOn w:val="3"/>
    <w:next w:val="Text"/>
    <w:link w:val="4Char"/>
    <w:uiPriority w:val="9"/>
    <w:unhideWhenUsed/>
    <w:qFormat/>
    <w:rsid w:val="001438BE"/>
    <w:pPr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143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43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8BE"/>
    <w:rPr>
      <w:sz w:val="18"/>
      <w:szCs w:val="18"/>
    </w:rPr>
  </w:style>
  <w:style w:type="character" w:customStyle="1" w:styleId="1Char">
    <w:name w:val="标题 1 Char"/>
    <w:basedOn w:val="a0"/>
    <w:link w:val="1"/>
    <w:rsid w:val="001438BE"/>
    <w:rPr>
      <w:rFonts w:ascii="Times New Roman" w:eastAsia="宋体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Char">
    <w:name w:val="标题 2 Char"/>
    <w:basedOn w:val="a0"/>
    <w:link w:val="2"/>
    <w:rsid w:val="001438BE"/>
    <w:rPr>
      <w:rFonts w:ascii="Times New Roman" w:eastAsia="宋体" w:hAnsi="Times New Roman" w:cs="Times New Roman"/>
      <w:b/>
      <w:bCs/>
      <w:i/>
      <w:iCs/>
      <w:color w:val="0070C0"/>
      <w:kern w:val="0"/>
      <w:sz w:val="24"/>
      <w:szCs w:val="24"/>
      <w:lang w:eastAsia="en-US"/>
    </w:rPr>
  </w:style>
  <w:style w:type="character" w:customStyle="1" w:styleId="3Char">
    <w:name w:val="标题 3 Char"/>
    <w:basedOn w:val="a0"/>
    <w:link w:val="3"/>
    <w:rsid w:val="001438BE"/>
    <w:rPr>
      <w:rFonts w:ascii="Times New Roman" w:eastAsia="宋体" w:hAnsi="Times New Roman" w:cs="Times New Roman"/>
      <w:bCs/>
      <w:i/>
      <w:iCs/>
      <w:color w:val="0070C0"/>
      <w:kern w:val="0"/>
      <w:sz w:val="24"/>
      <w:szCs w:val="24"/>
      <w:lang w:eastAsia="en-US"/>
    </w:rPr>
  </w:style>
  <w:style w:type="character" w:customStyle="1" w:styleId="4Char">
    <w:name w:val="标题 4 Char"/>
    <w:basedOn w:val="a0"/>
    <w:link w:val="4"/>
    <w:uiPriority w:val="9"/>
    <w:rsid w:val="001438BE"/>
    <w:rPr>
      <w:rFonts w:ascii="Times New Roman" w:eastAsia="宋体" w:hAnsi="Times New Roman" w:cs="Times New Roman"/>
      <w:bCs/>
      <w:i/>
      <w:iCs/>
      <w:color w:val="0070C0"/>
      <w:kern w:val="0"/>
      <w:sz w:val="24"/>
      <w:szCs w:val="24"/>
      <w:u w:val="single"/>
      <w:lang w:eastAsia="en-US"/>
    </w:rPr>
  </w:style>
  <w:style w:type="numbering" w:customStyle="1" w:styleId="10">
    <w:name w:val="无列表1"/>
    <w:next w:val="a2"/>
    <w:uiPriority w:val="99"/>
    <w:semiHidden/>
    <w:unhideWhenUsed/>
    <w:rsid w:val="001438BE"/>
  </w:style>
  <w:style w:type="paragraph" w:styleId="a5">
    <w:name w:val="Body Text Indent"/>
    <w:basedOn w:val="a"/>
    <w:link w:val="Char1"/>
    <w:semiHidden/>
    <w:rsid w:val="001438BE"/>
    <w:pPr>
      <w:widowControl/>
      <w:spacing w:line="480" w:lineRule="auto"/>
      <w:ind w:left="720"/>
      <w:jc w:val="left"/>
    </w:pPr>
    <w:rPr>
      <w:rFonts w:ascii="Times New Roman" w:hAnsi="Times New Roman"/>
      <w:kern w:val="0"/>
      <w:sz w:val="24"/>
      <w:szCs w:val="24"/>
      <w:lang w:val="en-GB" w:eastAsia="en-US"/>
    </w:rPr>
  </w:style>
  <w:style w:type="character" w:customStyle="1" w:styleId="Char1">
    <w:name w:val="正文文本缩进 Char"/>
    <w:basedOn w:val="a0"/>
    <w:link w:val="a5"/>
    <w:semiHidden/>
    <w:rsid w:val="001438BE"/>
    <w:rPr>
      <w:rFonts w:ascii="Times New Roman" w:eastAsia="宋体" w:hAnsi="Times New Roman" w:cs="Times New Roman"/>
      <w:kern w:val="0"/>
      <w:sz w:val="24"/>
      <w:szCs w:val="24"/>
      <w:lang w:val="en-GB" w:eastAsia="en-US"/>
    </w:rPr>
  </w:style>
  <w:style w:type="paragraph" w:customStyle="1" w:styleId="Tabletitle">
    <w:name w:val="Table title"/>
    <w:basedOn w:val="Text"/>
    <w:next w:val="Text"/>
    <w:link w:val="TabletitleChar"/>
    <w:qFormat/>
    <w:rsid w:val="001438BE"/>
    <w:pPr>
      <w:keepNext/>
      <w:spacing w:beforeLines="200"/>
    </w:pPr>
    <w:rPr>
      <w:lang w:val="en-US"/>
    </w:rPr>
  </w:style>
  <w:style w:type="paragraph" w:customStyle="1" w:styleId="justify">
    <w:name w:val="justify"/>
    <w:basedOn w:val="a"/>
    <w:rsid w:val="001438BE"/>
    <w:pPr>
      <w:widowControl/>
      <w:spacing w:before="100" w:beforeAutospacing="1" w:after="100" w:afterAutospacing="1" w:line="480" w:lineRule="auto"/>
    </w:pPr>
    <w:rPr>
      <w:rFonts w:ascii="Verdana" w:eastAsia="Arial Unicode MS" w:hAnsi="Verdana" w:cs="Arial Unicode MS"/>
      <w:kern w:val="0"/>
      <w:sz w:val="20"/>
      <w:szCs w:val="20"/>
      <w:lang w:val="en-GB" w:eastAsia="en-US"/>
    </w:rPr>
  </w:style>
  <w:style w:type="paragraph" w:styleId="a6">
    <w:name w:val="Normal (Web)"/>
    <w:basedOn w:val="a"/>
    <w:semiHidden/>
    <w:rsid w:val="001438BE"/>
    <w:pPr>
      <w:widowControl/>
      <w:spacing w:before="100" w:beforeAutospacing="1" w:after="100" w:afterAutospacing="1" w:line="48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  <w:lang w:val="en-GB" w:eastAsia="en-US"/>
    </w:rPr>
  </w:style>
  <w:style w:type="character" w:customStyle="1" w:styleId="smallhead">
    <w:name w:val="smallhead"/>
    <w:basedOn w:val="a0"/>
    <w:rsid w:val="001438BE"/>
  </w:style>
  <w:style w:type="character" w:styleId="a7">
    <w:name w:val="Hyperlink"/>
    <w:semiHidden/>
    <w:rsid w:val="001438B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38BE"/>
    <w:pPr>
      <w:widowControl/>
      <w:spacing w:line="480" w:lineRule="auto"/>
      <w:ind w:left="720"/>
      <w:contextualSpacing/>
      <w:jc w:val="left"/>
    </w:pPr>
    <w:rPr>
      <w:rFonts w:ascii="Times New Roman" w:hAnsi="Times New Roman"/>
      <w:kern w:val="0"/>
      <w:sz w:val="24"/>
      <w:szCs w:val="24"/>
      <w:lang w:val="en-GB" w:eastAsia="en-US"/>
    </w:rPr>
  </w:style>
  <w:style w:type="character" w:styleId="a9">
    <w:name w:val="annotation reference"/>
    <w:uiPriority w:val="99"/>
    <w:semiHidden/>
    <w:unhideWhenUsed/>
    <w:rsid w:val="001438BE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1438BE"/>
    <w:pPr>
      <w:widowControl/>
      <w:jc w:val="left"/>
    </w:pPr>
    <w:rPr>
      <w:rFonts w:ascii="Times New Roman" w:hAnsi="Times New Roman"/>
      <w:kern w:val="0"/>
      <w:sz w:val="24"/>
      <w:szCs w:val="24"/>
      <w:lang w:val="en-GB" w:eastAsia="en-US"/>
    </w:rPr>
  </w:style>
  <w:style w:type="character" w:customStyle="1" w:styleId="Char2">
    <w:name w:val="批注文字 Char"/>
    <w:basedOn w:val="a0"/>
    <w:link w:val="aa"/>
    <w:uiPriority w:val="99"/>
    <w:semiHidden/>
    <w:rsid w:val="001438BE"/>
    <w:rPr>
      <w:rFonts w:ascii="Times New Roman" w:eastAsia="宋体" w:hAnsi="Times New Roman" w:cs="Times New Roman"/>
      <w:kern w:val="0"/>
      <w:sz w:val="24"/>
      <w:szCs w:val="24"/>
      <w:lang w:val="en-GB"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438BE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b"/>
    <w:uiPriority w:val="99"/>
    <w:semiHidden/>
    <w:rsid w:val="001438BE"/>
    <w:rPr>
      <w:b/>
      <w:bCs/>
      <w:sz w:val="20"/>
      <w:szCs w:val="20"/>
    </w:rPr>
  </w:style>
  <w:style w:type="paragraph" w:styleId="ac">
    <w:name w:val="Balloon Text"/>
    <w:basedOn w:val="a"/>
    <w:link w:val="Char4"/>
    <w:uiPriority w:val="99"/>
    <w:semiHidden/>
    <w:unhideWhenUsed/>
    <w:rsid w:val="001438BE"/>
    <w:pPr>
      <w:widowControl/>
      <w:jc w:val="left"/>
    </w:pPr>
    <w:rPr>
      <w:rFonts w:ascii="Lucida Grande" w:hAnsi="Lucida Grande"/>
      <w:kern w:val="0"/>
      <w:sz w:val="18"/>
      <w:szCs w:val="18"/>
      <w:lang w:val="en-GB" w:eastAsia="en-US"/>
    </w:rPr>
  </w:style>
  <w:style w:type="character" w:customStyle="1" w:styleId="Char4">
    <w:name w:val="批注框文本 Char"/>
    <w:basedOn w:val="a0"/>
    <w:link w:val="ac"/>
    <w:uiPriority w:val="99"/>
    <w:semiHidden/>
    <w:rsid w:val="001438BE"/>
    <w:rPr>
      <w:rFonts w:ascii="Lucida Grande" w:eastAsia="宋体" w:hAnsi="Lucida Grande" w:cs="Times New Roman"/>
      <w:kern w:val="0"/>
      <w:sz w:val="18"/>
      <w:szCs w:val="18"/>
      <w:lang w:val="en-GB" w:eastAsia="en-US"/>
    </w:rPr>
  </w:style>
  <w:style w:type="character" w:styleId="ad">
    <w:name w:val="line number"/>
    <w:uiPriority w:val="99"/>
    <w:semiHidden/>
    <w:unhideWhenUsed/>
    <w:rsid w:val="001438B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next w:val="Textindent"/>
    <w:link w:val="TextChar"/>
    <w:qFormat/>
    <w:rsid w:val="001438BE"/>
    <w:pPr>
      <w:widowControl/>
    </w:pPr>
    <w:rPr>
      <w:rFonts w:ascii="Times New Roman" w:eastAsia="FangSong" w:hAnsi="Times New Roman"/>
      <w:kern w:val="0"/>
      <w:sz w:val="24"/>
      <w:szCs w:val="24"/>
      <w:lang w:val="en-GB" w:eastAsia="en-US"/>
    </w:rPr>
  </w:style>
  <w:style w:type="paragraph" w:customStyle="1" w:styleId="Textindent">
    <w:name w:val="Text indent"/>
    <w:basedOn w:val="Text"/>
    <w:link w:val="TextindentChar"/>
    <w:qFormat/>
    <w:rsid w:val="001438BE"/>
    <w:pPr>
      <w:ind w:firstLineChars="200" w:firstLine="480"/>
    </w:pPr>
  </w:style>
  <w:style w:type="character" w:customStyle="1" w:styleId="TextChar">
    <w:name w:val="Text Char"/>
    <w:link w:val="Text"/>
    <w:rsid w:val="001438BE"/>
    <w:rPr>
      <w:rFonts w:ascii="Times New Roman" w:eastAsia="FangSong" w:hAnsi="Times New Roman" w:cs="Times New Roman"/>
      <w:kern w:val="0"/>
      <w:sz w:val="24"/>
      <w:szCs w:val="24"/>
      <w:lang w:val="en-GB" w:eastAsia="en-US"/>
    </w:rPr>
  </w:style>
  <w:style w:type="character" w:customStyle="1" w:styleId="TextindentChar">
    <w:name w:val="Text indent Char"/>
    <w:basedOn w:val="TextChar"/>
    <w:link w:val="Textindent"/>
    <w:rsid w:val="001438BE"/>
  </w:style>
  <w:style w:type="paragraph" w:customStyle="1" w:styleId="Tablefootnote">
    <w:name w:val="Table footnote"/>
    <w:basedOn w:val="Text"/>
    <w:next w:val="Textindent"/>
    <w:link w:val="TablefootnoteChar"/>
    <w:qFormat/>
    <w:rsid w:val="001438BE"/>
    <w:pPr>
      <w:spacing w:afterLines="200"/>
      <w:contextualSpacing/>
    </w:pPr>
  </w:style>
  <w:style w:type="character" w:customStyle="1" w:styleId="TabletitleChar">
    <w:name w:val="Table title Char"/>
    <w:link w:val="Tabletitle"/>
    <w:rsid w:val="001438BE"/>
    <w:rPr>
      <w:rFonts w:ascii="Times New Roman" w:eastAsia="FangSong" w:hAnsi="Times New Roman" w:cs="Times New Roman"/>
      <w:kern w:val="0"/>
      <w:sz w:val="24"/>
      <w:szCs w:val="24"/>
      <w:lang w:eastAsia="en-US"/>
    </w:rPr>
  </w:style>
  <w:style w:type="paragraph" w:customStyle="1" w:styleId="Figure">
    <w:name w:val="Figure"/>
    <w:basedOn w:val="Text"/>
    <w:next w:val="Figurelegend"/>
    <w:link w:val="FigureChar"/>
    <w:qFormat/>
    <w:rsid w:val="001438BE"/>
    <w:pPr>
      <w:keepNext/>
      <w:jc w:val="center"/>
    </w:pPr>
  </w:style>
  <w:style w:type="character" w:customStyle="1" w:styleId="TablefootnoteChar">
    <w:name w:val="Table footnote Char"/>
    <w:basedOn w:val="TextChar"/>
    <w:link w:val="Tablefootnote"/>
    <w:rsid w:val="001438BE"/>
  </w:style>
  <w:style w:type="paragraph" w:customStyle="1" w:styleId="Figurelegend">
    <w:name w:val="Figure legend"/>
    <w:basedOn w:val="Text"/>
    <w:next w:val="Textindent"/>
    <w:link w:val="FigurelegendChar"/>
    <w:qFormat/>
    <w:rsid w:val="001438BE"/>
    <w:pPr>
      <w:spacing w:afterLines="200"/>
      <w:contextualSpacing/>
    </w:pPr>
    <w:rPr>
      <w:rFonts w:eastAsia="Times New Roman"/>
    </w:rPr>
  </w:style>
  <w:style w:type="character" w:customStyle="1" w:styleId="FigureChar">
    <w:name w:val="Figure Char"/>
    <w:basedOn w:val="TextChar"/>
    <w:link w:val="Figure"/>
    <w:rsid w:val="001438BE"/>
  </w:style>
  <w:style w:type="character" w:customStyle="1" w:styleId="FigurelegendChar">
    <w:name w:val="Figure legend Char"/>
    <w:link w:val="Figurelegend"/>
    <w:rsid w:val="001438BE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1438BE"/>
    <w:pPr>
      <w:widowControl/>
      <w:spacing w:line="480" w:lineRule="auto"/>
      <w:jc w:val="center"/>
    </w:pPr>
    <w:rPr>
      <w:rFonts w:ascii="Times New Roman" w:eastAsia="FangSong" w:hAnsi="Times New Roman"/>
      <w:noProof/>
      <w:kern w:val="0"/>
      <w:sz w:val="24"/>
      <w:szCs w:val="24"/>
      <w:lang w:val="en-GB" w:eastAsia="en-US"/>
    </w:rPr>
  </w:style>
  <w:style w:type="character" w:customStyle="1" w:styleId="EndNoteBibliographyTitleChar">
    <w:name w:val="EndNote Bibliography Title Char"/>
    <w:link w:val="EndNoteBibliographyTitle"/>
    <w:rsid w:val="001438BE"/>
    <w:rPr>
      <w:rFonts w:ascii="Times New Roman" w:eastAsia="FangSong" w:hAnsi="Times New Roman" w:cs="Times New Roman"/>
      <w:noProof/>
      <w:kern w:val="0"/>
      <w:sz w:val="24"/>
      <w:szCs w:val="24"/>
      <w:lang w:val="en-GB" w:eastAsia="en-US"/>
    </w:rPr>
  </w:style>
  <w:style w:type="paragraph" w:customStyle="1" w:styleId="EndNoteBibliography">
    <w:name w:val="EndNote Bibliography"/>
    <w:basedOn w:val="a"/>
    <w:link w:val="EndNoteBibliographyChar"/>
    <w:rsid w:val="001438BE"/>
    <w:pPr>
      <w:widowControl/>
    </w:pPr>
    <w:rPr>
      <w:rFonts w:ascii="Times New Roman" w:eastAsia="FangSong" w:hAnsi="Times New Roman"/>
      <w:noProof/>
      <w:kern w:val="0"/>
      <w:sz w:val="24"/>
      <w:szCs w:val="24"/>
      <w:lang w:val="en-GB" w:eastAsia="en-US"/>
    </w:rPr>
  </w:style>
  <w:style w:type="character" w:customStyle="1" w:styleId="EndNoteBibliographyChar">
    <w:name w:val="EndNote Bibliography Char"/>
    <w:link w:val="EndNoteBibliography"/>
    <w:rsid w:val="001438BE"/>
    <w:rPr>
      <w:rFonts w:ascii="Times New Roman" w:eastAsia="FangSong" w:hAnsi="Times New Roman" w:cs="Times New Roman"/>
      <w:noProof/>
      <w:kern w:val="0"/>
      <w:sz w:val="24"/>
      <w:szCs w:val="24"/>
      <w:lang w:val="en-GB" w:eastAsia="en-US"/>
    </w:rPr>
  </w:style>
  <w:style w:type="paragraph" w:styleId="ae">
    <w:name w:val="Subtitle"/>
    <w:basedOn w:val="Text"/>
    <w:next w:val="a"/>
    <w:link w:val="Char5"/>
    <w:uiPriority w:val="11"/>
    <w:qFormat/>
    <w:rsid w:val="001438BE"/>
    <w:rPr>
      <w:b/>
      <w:bCs/>
      <w:u w:val="single"/>
    </w:rPr>
  </w:style>
  <w:style w:type="character" w:customStyle="1" w:styleId="Char5">
    <w:name w:val="副标题 Char"/>
    <w:basedOn w:val="a0"/>
    <w:link w:val="ae"/>
    <w:uiPriority w:val="11"/>
    <w:rsid w:val="001438BE"/>
    <w:rPr>
      <w:rFonts w:ascii="Times New Roman" w:eastAsia="FangSong" w:hAnsi="Times New Roman" w:cs="Times New Roman"/>
      <w:b/>
      <w:bCs/>
      <w:kern w:val="0"/>
      <w:sz w:val="24"/>
      <w:szCs w:val="24"/>
      <w:u w:val="single"/>
      <w:lang w:val="en-GB" w:eastAsia="en-US"/>
    </w:rPr>
  </w:style>
  <w:style w:type="paragraph" w:styleId="af">
    <w:name w:val="Quote"/>
    <w:basedOn w:val="a"/>
    <w:next w:val="a"/>
    <w:link w:val="Char6"/>
    <w:uiPriority w:val="29"/>
    <w:qFormat/>
    <w:rsid w:val="001438BE"/>
    <w:pPr>
      <w:widowControl/>
      <w:snapToGrid w:val="0"/>
      <w:spacing w:before="200" w:after="160" w:line="240" w:lineRule="auto"/>
      <w:ind w:left="864" w:right="864"/>
    </w:pPr>
    <w:rPr>
      <w:rFonts w:ascii="Cambria" w:hAnsi="Cambria"/>
      <w:i/>
      <w:iCs/>
      <w:color w:val="404040"/>
      <w:kern w:val="0"/>
      <w:sz w:val="24"/>
      <w:szCs w:val="24"/>
    </w:rPr>
  </w:style>
  <w:style w:type="character" w:customStyle="1" w:styleId="Char6">
    <w:name w:val="引用 Char"/>
    <w:basedOn w:val="a0"/>
    <w:link w:val="af"/>
    <w:uiPriority w:val="29"/>
    <w:rsid w:val="001438BE"/>
    <w:rPr>
      <w:rFonts w:ascii="Cambria" w:eastAsia="宋体" w:hAnsi="Cambria" w:cs="Times New Roman"/>
      <w:i/>
      <w:iCs/>
      <w:color w:val="40404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1335</Words>
  <Characters>7610</Characters>
  <Application>Microsoft Office Word</Application>
  <DocSecurity>0</DocSecurity>
  <Lines>63</Lines>
  <Paragraphs>17</Paragraphs>
  <ScaleCrop>false</ScaleCrop>
  <Company>Microsoft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吴萍:职能部门办理</dc:creator>
  <cp:keywords/>
  <dc:description/>
  <cp:lastModifiedBy>吴萍:职能部门办理</cp:lastModifiedBy>
  <cp:revision>2</cp:revision>
  <dcterms:created xsi:type="dcterms:W3CDTF">2021-12-16T09:43:00Z</dcterms:created>
  <dcterms:modified xsi:type="dcterms:W3CDTF">2021-12-16T09:44:00Z</dcterms:modified>
</cp:coreProperties>
</file>