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4E346" w14:textId="77777777" w:rsidR="001E7471" w:rsidRPr="004469F3" w:rsidRDefault="001E7471" w:rsidP="001E7471">
      <w:pPr>
        <w:jc w:val="both"/>
        <w:rPr>
          <w:rFonts w:ascii="Arial" w:hAnsi="Arial" w:cs="Arial"/>
          <w:b/>
          <w:bCs/>
          <w:sz w:val="28"/>
          <w:szCs w:val="28"/>
        </w:rPr>
      </w:pPr>
      <w:r w:rsidRPr="004469F3">
        <w:rPr>
          <w:rFonts w:ascii="Arial" w:hAnsi="Arial" w:cs="Arial"/>
          <w:b/>
          <w:bCs/>
          <w:sz w:val="28"/>
          <w:szCs w:val="28"/>
        </w:rPr>
        <w:t>Supplementary material</w:t>
      </w:r>
    </w:p>
    <w:p w14:paraId="09CFC92D" w14:textId="77777777" w:rsidR="001E7471" w:rsidRDefault="001E7471" w:rsidP="001E7471">
      <w:pPr>
        <w:jc w:val="both"/>
        <w:rPr>
          <w:rFonts w:ascii="Arial" w:hAnsi="Arial" w:cs="Arial"/>
        </w:rPr>
      </w:pPr>
    </w:p>
    <w:p w14:paraId="0FD12516" w14:textId="5D1861C9" w:rsidR="0054145F" w:rsidRPr="003B6331" w:rsidRDefault="0054145F" w:rsidP="0054145F">
      <w:pPr>
        <w:jc w:val="both"/>
        <w:rPr>
          <w:rFonts w:ascii="Arial" w:hAnsi="Arial" w:cs="Arial"/>
          <w:b/>
          <w:bCs/>
          <w:szCs w:val="15"/>
        </w:rPr>
      </w:pPr>
      <w:r>
        <w:rPr>
          <w:rFonts w:ascii="Arial" w:hAnsi="Arial" w:cs="Arial"/>
          <w:b/>
          <w:bCs/>
          <w:szCs w:val="15"/>
          <w:lang w:val="it-IT"/>
        </w:rPr>
        <w:t>1.</w:t>
      </w:r>
      <w:r w:rsidRPr="003B6331">
        <w:rPr>
          <w:rFonts w:ascii="Arial" w:hAnsi="Arial" w:cs="Arial"/>
          <w:b/>
          <w:bCs/>
          <w:szCs w:val="15"/>
        </w:rPr>
        <w:t xml:space="preserve"> Whole exome sequencing (WES)</w:t>
      </w:r>
    </w:p>
    <w:p w14:paraId="65887004" w14:textId="77777777" w:rsidR="0054145F" w:rsidRPr="003B6331" w:rsidRDefault="0054145F" w:rsidP="0054145F">
      <w:pPr>
        <w:jc w:val="both"/>
        <w:rPr>
          <w:rFonts w:ascii="Arial" w:hAnsi="Arial" w:cs="Arial"/>
          <w:szCs w:val="15"/>
        </w:rPr>
      </w:pPr>
      <w:r w:rsidRPr="003B6331">
        <w:rPr>
          <w:rFonts w:ascii="Arial" w:hAnsi="Arial" w:cs="Arial"/>
          <w:szCs w:val="15"/>
        </w:rPr>
        <w:t xml:space="preserve">Genomic DNA was extracted from peripheral blood leukocytes (PBLs) using the QIAsymphony DSP DNA Midi kit (QIAGEN, Hilden, Germany), according to the manufacturer's instructions. NGS analysis was performed using the SureSelectQXT Clinical Research Exome V2 kit (Agilent, Santa Clara, CA). Libraries were sequenced by 151 bp paired-end reads on the Illumina NextSeq 550 platform (Illumina, San Diego, CA). The BaseSpace BWA Enrichment v2.1 App (Illumina) was used to align sequences (through BWA-MEM v0.7.7 on GRCh37/hg19 and Picard v1.79) and call variants (through GATK HaplotypeCaller v1.6). Variants were then annotated using ANNOVAR (April 2018) and filtered according to a custom pipeline (guided by GATK Best Practice), which removes reads with bad quality calling score, low coverage (&lt;10), falling in segmental duplication regions (SuperDups&gt;0.9), synonymous and unknown variants and common SNPs (MAF&gt;1%). </w:t>
      </w:r>
    </w:p>
    <w:p w14:paraId="3E3E3E0B" w14:textId="77777777" w:rsidR="0054145F" w:rsidRPr="003B6331" w:rsidRDefault="0054145F" w:rsidP="0054145F">
      <w:pPr>
        <w:jc w:val="both"/>
        <w:rPr>
          <w:rFonts w:ascii="Arial" w:hAnsi="Arial" w:cs="Arial"/>
          <w:szCs w:val="15"/>
        </w:rPr>
      </w:pPr>
      <w:r w:rsidRPr="003B6331">
        <w:rPr>
          <w:rFonts w:ascii="Arial" w:hAnsi="Arial" w:cs="Arial"/>
          <w:szCs w:val="15"/>
        </w:rPr>
        <w:t>Trio analysis was then performed starting from these filtered VCF files, in order to collect autosomal dominant/recessive</w:t>
      </w:r>
      <w:r w:rsidRPr="00933D75">
        <w:rPr>
          <w:rFonts w:ascii="Arial" w:hAnsi="Arial" w:cs="Arial"/>
          <w:szCs w:val="15"/>
          <w:lang w:val="en-US"/>
        </w:rPr>
        <w:t xml:space="preserve">, </w:t>
      </w:r>
      <w:r w:rsidRPr="00933D75">
        <w:rPr>
          <w:rFonts w:ascii="Arial" w:hAnsi="Arial" w:cs="Arial"/>
          <w:szCs w:val="15"/>
        </w:rPr>
        <w:t xml:space="preserve">X-linked </w:t>
      </w:r>
      <w:r w:rsidRPr="00933D75">
        <w:rPr>
          <w:rFonts w:ascii="Arial" w:hAnsi="Arial" w:cs="Arial"/>
          <w:szCs w:val="15"/>
          <w:lang w:val="en-US"/>
        </w:rPr>
        <w:t>and</w:t>
      </w:r>
      <w:r w:rsidRPr="003B6331">
        <w:rPr>
          <w:rFonts w:ascii="Arial" w:hAnsi="Arial" w:cs="Arial"/>
          <w:szCs w:val="15"/>
        </w:rPr>
        <w:t xml:space="preserve"> </w:t>
      </w:r>
      <w:r w:rsidRPr="003B6331">
        <w:rPr>
          <w:rFonts w:ascii="Arial" w:hAnsi="Arial" w:cs="Arial"/>
          <w:i/>
          <w:iCs/>
          <w:szCs w:val="15"/>
        </w:rPr>
        <w:t>de novo</w:t>
      </w:r>
      <w:r w:rsidRPr="003B6331">
        <w:rPr>
          <w:rFonts w:ascii="Arial" w:hAnsi="Arial" w:cs="Arial"/>
          <w:szCs w:val="15"/>
        </w:rPr>
        <w:t xml:space="preserve"> variants. Several </w:t>
      </w:r>
      <w:r w:rsidRPr="003B6331">
        <w:rPr>
          <w:rFonts w:ascii="Arial" w:hAnsi="Arial" w:cs="Arial"/>
          <w:i/>
          <w:iCs/>
          <w:szCs w:val="15"/>
        </w:rPr>
        <w:t xml:space="preserve">in silico </w:t>
      </w:r>
      <w:r w:rsidRPr="003B6331">
        <w:rPr>
          <w:rFonts w:ascii="Arial" w:hAnsi="Arial" w:cs="Arial"/>
          <w:szCs w:val="15"/>
        </w:rPr>
        <w:t>prediction tools (including SIFT, PolyPhen2, MutationTaster) were used to define the pathogenic score of identified variants and disease-variant/gene databases (e.g. HGMD, ClinVar, OMIM) were used to assess causative associations.</w:t>
      </w:r>
    </w:p>
    <w:p w14:paraId="2DDF8DFA" w14:textId="79EFD6D1" w:rsidR="0054145F" w:rsidRDefault="0054145F" w:rsidP="00BE5FDD">
      <w:pPr>
        <w:jc w:val="both"/>
        <w:rPr>
          <w:rFonts w:ascii="Arial" w:hAnsi="Arial" w:cs="Arial"/>
          <w:b/>
          <w:bCs/>
          <w:szCs w:val="15"/>
          <w:lang w:val="en-US"/>
        </w:rPr>
      </w:pPr>
    </w:p>
    <w:p w14:paraId="0111021F" w14:textId="048B0BD9" w:rsidR="0054145F" w:rsidRPr="0054145F" w:rsidRDefault="0054145F" w:rsidP="00BE5FDD">
      <w:pPr>
        <w:jc w:val="both"/>
        <w:rPr>
          <w:rFonts w:ascii="Arial" w:hAnsi="Arial" w:cs="Arial"/>
          <w:b/>
          <w:bCs/>
          <w:szCs w:val="15"/>
          <w:lang w:val="en-US"/>
        </w:rPr>
      </w:pPr>
      <w:r w:rsidRPr="0054145F">
        <w:rPr>
          <w:rFonts w:ascii="Arial" w:hAnsi="Arial" w:cs="Arial"/>
        </w:rPr>
        <w:t xml:space="preserve">WES identified 72901 variants, with a Q30 sequencing percentage of 91,5% and uniform coverage above 100X. After the filtering steps, the variants left were 1952. </w:t>
      </w:r>
      <w:r w:rsidRPr="0054145F">
        <w:rPr>
          <w:rFonts w:ascii="Arial" w:hAnsi="Arial" w:cs="Arial"/>
          <w:szCs w:val="15"/>
        </w:rPr>
        <w:t xml:space="preserve">Trio analysis was then performed starting from these filtered VCF files, finally retaining </w:t>
      </w:r>
      <w:r w:rsidRPr="0054145F">
        <w:rPr>
          <w:rFonts w:ascii="Arial" w:hAnsi="Arial" w:cs="Arial"/>
        </w:rPr>
        <w:t>152 variants.</w:t>
      </w:r>
    </w:p>
    <w:p w14:paraId="36EBEA11" w14:textId="77777777" w:rsidR="0054145F" w:rsidRPr="0054145F" w:rsidRDefault="0054145F" w:rsidP="00BE5FDD">
      <w:pPr>
        <w:jc w:val="both"/>
        <w:rPr>
          <w:rFonts w:ascii="Arial" w:hAnsi="Arial" w:cs="Arial"/>
          <w:b/>
          <w:bCs/>
          <w:szCs w:val="15"/>
          <w:lang w:val="en-US"/>
        </w:rPr>
      </w:pPr>
    </w:p>
    <w:p w14:paraId="19BAB3A5" w14:textId="77777777" w:rsidR="0054145F" w:rsidRDefault="0054145F" w:rsidP="00BE5FDD">
      <w:pPr>
        <w:jc w:val="both"/>
        <w:rPr>
          <w:rFonts w:ascii="Arial" w:hAnsi="Arial" w:cs="Arial"/>
          <w:b/>
          <w:bCs/>
          <w:szCs w:val="15"/>
          <w:lang w:val="en-US"/>
        </w:rPr>
      </w:pPr>
    </w:p>
    <w:p w14:paraId="79BFBD22" w14:textId="54DBE23E" w:rsidR="00BE5FDD" w:rsidRPr="003B6331" w:rsidRDefault="0054145F" w:rsidP="00BE5FDD">
      <w:pPr>
        <w:jc w:val="both"/>
        <w:rPr>
          <w:rFonts w:ascii="Arial" w:hAnsi="Arial" w:cs="Arial"/>
          <w:b/>
          <w:bCs/>
          <w:szCs w:val="15"/>
        </w:rPr>
      </w:pPr>
      <w:r>
        <w:rPr>
          <w:rFonts w:ascii="Arial" w:hAnsi="Arial" w:cs="Arial"/>
          <w:b/>
          <w:bCs/>
          <w:szCs w:val="15"/>
          <w:lang w:val="en-US"/>
        </w:rPr>
        <w:t>2</w:t>
      </w:r>
      <w:r w:rsidR="00BE5FDD" w:rsidRPr="0054145F">
        <w:rPr>
          <w:rFonts w:ascii="Arial" w:hAnsi="Arial" w:cs="Arial"/>
          <w:b/>
          <w:bCs/>
          <w:szCs w:val="15"/>
          <w:lang w:val="en-US"/>
        </w:rPr>
        <w:t>.</w:t>
      </w:r>
      <w:r w:rsidR="00BE5FDD" w:rsidRPr="003B6331">
        <w:rPr>
          <w:rFonts w:ascii="Arial" w:hAnsi="Arial" w:cs="Arial"/>
          <w:b/>
          <w:bCs/>
          <w:szCs w:val="15"/>
        </w:rPr>
        <w:t xml:space="preserve"> Sanger sequencing </w:t>
      </w:r>
    </w:p>
    <w:p w14:paraId="4BC7AB13" w14:textId="77777777" w:rsidR="00BE5FDD" w:rsidRDefault="00BE5FDD" w:rsidP="00BE5FDD">
      <w:pPr>
        <w:jc w:val="both"/>
        <w:rPr>
          <w:rFonts w:ascii="Arial" w:hAnsi="Arial" w:cs="Arial"/>
          <w:szCs w:val="15"/>
        </w:rPr>
      </w:pPr>
      <w:r w:rsidRPr="003B6331">
        <w:rPr>
          <w:rFonts w:ascii="Arial" w:hAnsi="Arial" w:cs="Arial"/>
          <w:szCs w:val="15"/>
        </w:rPr>
        <w:t xml:space="preserve">The presence of the putative </w:t>
      </w:r>
      <w:r w:rsidRPr="003B6331">
        <w:rPr>
          <w:rFonts w:ascii="Arial" w:hAnsi="Arial" w:cs="Arial"/>
          <w:i/>
          <w:szCs w:val="15"/>
        </w:rPr>
        <w:t>DDX3X</w:t>
      </w:r>
      <w:r w:rsidRPr="003B6331">
        <w:rPr>
          <w:rFonts w:ascii="Arial" w:hAnsi="Arial" w:cs="Arial"/>
          <w:szCs w:val="15"/>
        </w:rPr>
        <w:t xml:space="preserve"> pathogenic variant identified by WES was subsequently confirmed by Sanger sequencing. DNAs from the proband and her parents were sequenced using the BigDye Terminator v3.1 Cycl</w:t>
      </w:r>
      <w:r w:rsidRPr="003B6331">
        <w:rPr>
          <w:rFonts w:ascii="Arial" w:hAnsi="Arial" w:cs="Arial"/>
          <w:szCs w:val="15"/>
          <w:lang w:eastAsia="it-IT"/>
        </w:rPr>
        <w:t xml:space="preserve">e Sequencing Kit on an </w:t>
      </w:r>
      <w:r w:rsidRPr="003B6331">
        <w:rPr>
          <w:rFonts w:ascii="Arial" w:hAnsi="Arial" w:cs="Arial"/>
          <w:szCs w:val="15"/>
        </w:rPr>
        <w:t>ABI PRISM 3130xl Genetic Analyzer (Thermo Fisher Scientific, Waltham, MA, USA). Electropherograms were analyzed with the ChromasPro software 1.42 (Technelysium Pty Ltd, Tewantin, QLD, Australia) using the wild-type sequence of the </w:t>
      </w:r>
      <w:r w:rsidRPr="003B6331">
        <w:rPr>
          <w:rFonts w:ascii="Arial" w:hAnsi="Arial" w:cs="Arial"/>
          <w:i/>
          <w:szCs w:val="15"/>
        </w:rPr>
        <w:t>DDX3X</w:t>
      </w:r>
      <w:r w:rsidRPr="003B6331">
        <w:rPr>
          <w:rFonts w:ascii="Arial" w:hAnsi="Arial" w:cs="Arial"/>
          <w:szCs w:val="15"/>
        </w:rPr>
        <w:t> gene (</w:t>
      </w:r>
      <w:r w:rsidRPr="003B6331">
        <w:rPr>
          <w:rFonts w:ascii="Arial" w:hAnsi="Arial" w:cs="Arial"/>
        </w:rPr>
        <w:t>NM_001356</w:t>
      </w:r>
      <w:r w:rsidRPr="003B6331">
        <w:rPr>
          <w:rFonts w:ascii="Arial" w:hAnsi="Arial" w:cs="Arial"/>
          <w:szCs w:val="15"/>
          <w:lang w:eastAsia="it-IT"/>
        </w:rPr>
        <w:t>) as reference.</w:t>
      </w:r>
      <w:r w:rsidRPr="003B6331">
        <w:rPr>
          <w:rFonts w:ascii="Arial" w:hAnsi="Arial" w:cs="Arial"/>
          <w:szCs w:val="15"/>
        </w:rPr>
        <w:t xml:space="preserve"> </w:t>
      </w:r>
    </w:p>
    <w:p w14:paraId="73875A29" w14:textId="77777777" w:rsidR="00BE5FDD" w:rsidRDefault="00BE5FDD" w:rsidP="001E7471">
      <w:pPr>
        <w:jc w:val="both"/>
        <w:rPr>
          <w:rFonts w:ascii="Arial" w:hAnsi="Arial" w:cs="Arial"/>
        </w:rPr>
      </w:pPr>
    </w:p>
    <w:p w14:paraId="0EF605F5" w14:textId="77777777" w:rsidR="00BE5FDD" w:rsidRDefault="00BE5FDD" w:rsidP="001E7471">
      <w:pPr>
        <w:jc w:val="both"/>
        <w:rPr>
          <w:rFonts w:ascii="Arial" w:hAnsi="Arial" w:cs="Arial"/>
        </w:rPr>
      </w:pPr>
    </w:p>
    <w:p w14:paraId="6CE91805" w14:textId="77777777" w:rsidR="00BE5FDD" w:rsidRDefault="00BE5FDD" w:rsidP="001E7471">
      <w:pPr>
        <w:jc w:val="both"/>
        <w:rPr>
          <w:rFonts w:ascii="Arial" w:hAnsi="Arial" w:cs="Arial"/>
        </w:rPr>
      </w:pPr>
    </w:p>
    <w:p w14:paraId="76997F90" w14:textId="77777777" w:rsidR="00BE5FDD" w:rsidRDefault="00BE5FDD" w:rsidP="001E7471">
      <w:pPr>
        <w:jc w:val="both"/>
        <w:rPr>
          <w:rFonts w:ascii="Arial" w:hAnsi="Arial" w:cs="Arial"/>
        </w:rPr>
      </w:pPr>
    </w:p>
    <w:p w14:paraId="03658789" w14:textId="52B3E829" w:rsidR="001E7471" w:rsidRPr="009D7931" w:rsidRDefault="0054145F" w:rsidP="001E7471">
      <w:pPr>
        <w:jc w:val="both"/>
        <w:rPr>
          <w:rFonts w:ascii="Arial" w:hAnsi="Arial" w:cs="Arial"/>
        </w:rPr>
      </w:pPr>
      <w:r>
        <w:rPr>
          <w:rFonts w:ascii="Arial" w:hAnsi="Arial" w:cs="Arial"/>
          <w:b/>
          <w:bCs/>
          <w:lang w:val="en-US"/>
        </w:rPr>
        <w:t>3</w:t>
      </w:r>
      <w:r w:rsidR="00BE5FDD" w:rsidRPr="0054145F">
        <w:rPr>
          <w:rFonts w:ascii="Arial" w:hAnsi="Arial" w:cs="Arial"/>
          <w:b/>
          <w:bCs/>
          <w:lang w:val="en-US"/>
        </w:rPr>
        <w:t xml:space="preserve">. </w:t>
      </w:r>
      <w:r w:rsidR="001E7471" w:rsidRPr="00BE5FDD">
        <w:rPr>
          <w:rFonts w:ascii="Arial" w:hAnsi="Arial" w:cs="Arial"/>
          <w:b/>
          <w:bCs/>
        </w:rPr>
        <w:t>Supplementary Table 1.</w:t>
      </w:r>
      <w:r w:rsidR="001E7471" w:rsidRPr="003B394B">
        <w:rPr>
          <w:rFonts w:ascii="Arial" w:hAnsi="Arial" w:cs="Arial"/>
        </w:rPr>
        <w:t xml:space="preserve"> Prediction of pathogenicity of the identified </w:t>
      </w:r>
      <w:r w:rsidR="001E7471" w:rsidRPr="003B394B">
        <w:rPr>
          <w:rFonts w:ascii="Arial" w:hAnsi="Arial" w:cs="Arial"/>
          <w:i/>
          <w:iCs/>
        </w:rPr>
        <w:t>DDX3X</w:t>
      </w:r>
      <w:r w:rsidR="001E7471" w:rsidRPr="003B394B">
        <w:rPr>
          <w:rFonts w:ascii="Arial" w:hAnsi="Arial" w:cs="Arial"/>
        </w:rPr>
        <w:t xml:space="preserve"> variant by </w:t>
      </w:r>
      <w:r w:rsidR="001E7471" w:rsidRPr="003B394B">
        <w:rPr>
          <w:rFonts w:ascii="Arial" w:hAnsi="Arial" w:cs="Arial"/>
          <w:i/>
          <w:iCs/>
        </w:rPr>
        <w:t>in silico</w:t>
      </w:r>
      <w:r w:rsidR="001E7471" w:rsidRPr="003B394B">
        <w:rPr>
          <w:rFonts w:ascii="Arial" w:hAnsi="Arial" w:cs="Arial"/>
        </w:rPr>
        <w:t xml:space="preserve"> tools.</w:t>
      </w:r>
      <w:r w:rsidR="001E7471">
        <w:rPr>
          <w:rFonts w:ascii="Arial" w:hAnsi="Arial" w:cs="Arial"/>
        </w:rPr>
        <w:t xml:space="preserve"> </w:t>
      </w:r>
    </w:p>
    <w:tbl>
      <w:tblPr>
        <w:tblStyle w:val="TableGrid"/>
        <w:tblW w:w="8849" w:type="dxa"/>
        <w:jc w:val="center"/>
        <w:tblLook w:val="04A0" w:firstRow="1" w:lastRow="0" w:firstColumn="1" w:lastColumn="0" w:noHBand="0" w:noVBand="1"/>
      </w:tblPr>
      <w:tblGrid>
        <w:gridCol w:w="2263"/>
        <w:gridCol w:w="2937"/>
        <w:gridCol w:w="3649"/>
      </w:tblGrid>
      <w:tr w:rsidR="001E7471" w:rsidRPr="009D7931" w14:paraId="0AF4D140" w14:textId="77777777" w:rsidTr="00625DC0">
        <w:trPr>
          <w:jc w:val="center"/>
        </w:trPr>
        <w:tc>
          <w:tcPr>
            <w:tcW w:w="2263" w:type="dxa"/>
            <w:vAlign w:val="center"/>
          </w:tcPr>
          <w:p w14:paraId="690D517B" w14:textId="77777777" w:rsidR="001E7471" w:rsidRPr="00EE6C88" w:rsidRDefault="001E7471" w:rsidP="00625DC0">
            <w:pPr>
              <w:jc w:val="both"/>
              <w:rPr>
                <w:rFonts w:ascii="Arial" w:hAnsi="Arial" w:cs="Arial"/>
                <w:b/>
                <w:bCs/>
                <w:lang w:val="en-US"/>
              </w:rPr>
            </w:pPr>
            <w:r w:rsidRPr="00EE6C88">
              <w:rPr>
                <w:rFonts w:ascii="Arial" w:hAnsi="Arial" w:cs="Arial"/>
                <w:b/>
                <w:bCs/>
                <w:lang w:val="en-US"/>
              </w:rPr>
              <w:t>Predictor</w:t>
            </w:r>
          </w:p>
        </w:tc>
        <w:tc>
          <w:tcPr>
            <w:tcW w:w="2937" w:type="dxa"/>
            <w:vAlign w:val="center"/>
          </w:tcPr>
          <w:p w14:paraId="3EFBDD29" w14:textId="77777777" w:rsidR="001E7471" w:rsidRPr="00EE6C88" w:rsidRDefault="001E7471" w:rsidP="00625DC0">
            <w:pPr>
              <w:jc w:val="both"/>
              <w:rPr>
                <w:rFonts w:ascii="Arial" w:hAnsi="Arial" w:cs="Arial"/>
                <w:b/>
                <w:bCs/>
                <w:lang w:val="en-US"/>
              </w:rPr>
            </w:pPr>
            <w:r w:rsidRPr="00EE6C88">
              <w:rPr>
                <w:rFonts w:ascii="Arial" w:hAnsi="Arial" w:cs="Arial"/>
                <w:b/>
                <w:bCs/>
                <w:lang w:val="en-US"/>
              </w:rPr>
              <w:t>Damaging score range</w:t>
            </w:r>
          </w:p>
        </w:tc>
        <w:tc>
          <w:tcPr>
            <w:tcW w:w="3649" w:type="dxa"/>
            <w:vAlign w:val="center"/>
          </w:tcPr>
          <w:p w14:paraId="5F6042F0" w14:textId="77777777" w:rsidR="001E7471" w:rsidRPr="00EE6C88" w:rsidRDefault="001E7471" w:rsidP="00625DC0">
            <w:pPr>
              <w:jc w:val="both"/>
              <w:rPr>
                <w:rFonts w:ascii="Arial" w:hAnsi="Arial" w:cs="Arial"/>
                <w:b/>
                <w:bCs/>
                <w:lang w:val="en-US"/>
              </w:rPr>
            </w:pPr>
            <w:r w:rsidRPr="00EE6C88">
              <w:rPr>
                <w:rFonts w:ascii="Arial" w:hAnsi="Arial" w:cs="Arial"/>
                <w:b/>
                <w:bCs/>
                <w:lang w:val="en-US"/>
              </w:rPr>
              <w:t>Score and functional impact</w:t>
            </w:r>
          </w:p>
        </w:tc>
      </w:tr>
      <w:tr w:rsidR="001E7471" w:rsidRPr="009D7931" w14:paraId="4263B40A" w14:textId="77777777" w:rsidTr="00625DC0">
        <w:trPr>
          <w:jc w:val="center"/>
        </w:trPr>
        <w:tc>
          <w:tcPr>
            <w:tcW w:w="2263" w:type="dxa"/>
          </w:tcPr>
          <w:p w14:paraId="6D0C327A" w14:textId="77777777" w:rsidR="001E7471" w:rsidRPr="00EE6C88" w:rsidRDefault="001E7471" w:rsidP="00625DC0">
            <w:pPr>
              <w:jc w:val="both"/>
              <w:rPr>
                <w:rFonts w:ascii="Arial" w:hAnsi="Arial" w:cs="Arial"/>
                <w:lang w:val="en-US"/>
              </w:rPr>
            </w:pPr>
            <w:r w:rsidRPr="00EE6C88">
              <w:rPr>
                <w:rFonts w:ascii="Arial" w:hAnsi="Arial" w:cs="Arial"/>
                <w:lang w:val="en-US"/>
              </w:rPr>
              <w:t>SIFT</w:t>
            </w:r>
          </w:p>
        </w:tc>
        <w:tc>
          <w:tcPr>
            <w:tcW w:w="2937" w:type="dxa"/>
          </w:tcPr>
          <w:p w14:paraId="07F9754C" w14:textId="77777777" w:rsidR="001E7471" w:rsidRPr="00EE6C88" w:rsidRDefault="001E7471" w:rsidP="00625DC0">
            <w:pPr>
              <w:jc w:val="both"/>
              <w:rPr>
                <w:rFonts w:ascii="Arial" w:hAnsi="Arial" w:cs="Arial"/>
                <w:lang w:val="en-US"/>
              </w:rPr>
            </w:pPr>
            <w:r w:rsidRPr="00EE6C88">
              <w:rPr>
                <w:rFonts w:ascii="Arial" w:hAnsi="Arial" w:cs="Arial"/>
                <w:lang w:val="en-US"/>
              </w:rPr>
              <w:t>from 0 to 0.05</w:t>
            </w:r>
          </w:p>
        </w:tc>
        <w:tc>
          <w:tcPr>
            <w:tcW w:w="3649" w:type="dxa"/>
          </w:tcPr>
          <w:p w14:paraId="0815AB92" w14:textId="77777777" w:rsidR="001E7471" w:rsidRPr="00EE6C88" w:rsidRDefault="001E7471" w:rsidP="00625DC0">
            <w:pPr>
              <w:jc w:val="both"/>
              <w:rPr>
                <w:rFonts w:ascii="Arial" w:hAnsi="Arial" w:cs="Arial"/>
                <w:lang w:val="en-US"/>
              </w:rPr>
            </w:pPr>
            <w:r w:rsidRPr="00EE6C88">
              <w:rPr>
                <w:rFonts w:ascii="Arial" w:hAnsi="Arial" w:cs="Arial"/>
                <w:bCs/>
                <w:color w:val="FF0000"/>
                <w:lang w:val="en-US"/>
              </w:rPr>
              <w:t>0.008 (damaging)</w:t>
            </w:r>
          </w:p>
        </w:tc>
      </w:tr>
      <w:tr w:rsidR="001E7471" w:rsidRPr="009D7931" w14:paraId="31D9DD0C" w14:textId="77777777" w:rsidTr="00625DC0">
        <w:trPr>
          <w:jc w:val="center"/>
        </w:trPr>
        <w:tc>
          <w:tcPr>
            <w:tcW w:w="2263" w:type="dxa"/>
          </w:tcPr>
          <w:p w14:paraId="05FEBFB9" w14:textId="77777777" w:rsidR="001E7471" w:rsidRPr="00EE6C88" w:rsidRDefault="001E7471" w:rsidP="00625DC0">
            <w:pPr>
              <w:jc w:val="both"/>
              <w:rPr>
                <w:rFonts w:ascii="Arial" w:hAnsi="Arial" w:cs="Arial"/>
                <w:lang w:val="en-US"/>
              </w:rPr>
            </w:pPr>
            <w:r w:rsidRPr="00EE6C88">
              <w:rPr>
                <w:rFonts w:ascii="Arial" w:hAnsi="Arial" w:cs="Arial"/>
                <w:lang w:val="en-US"/>
              </w:rPr>
              <w:t>Polyphen-2 HVAR</w:t>
            </w:r>
          </w:p>
        </w:tc>
        <w:tc>
          <w:tcPr>
            <w:tcW w:w="2937" w:type="dxa"/>
          </w:tcPr>
          <w:p w14:paraId="190DD8C0" w14:textId="77777777" w:rsidR="001E7471" w:rsidRPr="00EE6C88" w:rsidRDefault="001E7471" w:rsidP="00625DC0">
            <w:pPr>
              <w:jc w:val="both"/>
              <w:rPr>
                <w:rFonts w:ascii="Arial" w:hAnsi="Arial" w:cs="Arial"/>
                <w:lang w:val="en-US"/>
              </w:rPr>
            </w:pPr>
            <w:r w:rsidRPr="00EE6C88">
              <w:rPr>
                <w:rFonts w:ascii="Arial" w:hAnsi="Arial" w:cs="Arial"/>
                <w:lang w:val="en-US"/>
              </w:rPr>
              <w:t>from 0.447 to 1</w:t>
            </w:r>
          </w:p>
        </w:tc>
        <w:tc>
          <w:tcPr>
            <w:tcW w:w="3649" w:type="dxa"/>
          </w:tcPr>
          <w:p w14:paraId="43410E99" w14:textId="77777777" w:rsidR="001E7471" w:rsidRPr="00EE6C88" w:rsidRDefault="001E7471" w:rsidP="00625DC0">
            <w:pPr>
              <w:jc w:val="both"/>
              <w:rPr>
                <w:rFonts w:ascii="Arial" w:hAnsi="Arial" w:cs="Arial"/>
                <w:lang w:val="en-US"/>
              </w:rPr>
            </w:pPr>
            <w:r w:rsidRPr="00EE6C88">
              <w:rPr>
                <w:rFonts w:ascii="Arial" w:hAnsi="Arial" w:cs="Arial"/>
                <w:bCs/>
                <w:color w:val="FF0000"/>
                <w:lang w:val="en-US"/>
              </w:rPr>
              <w:t>0.859 (probably damaging)</w:t>
            </w:r>
          </w:p>
        </w:tc>
      </w:tr>
      <w:tr w:rsidR="001E7471" w:rsidRPr="009D7931" w14:paraId="5DA45319" w14:textId="77777777" w:rsidTr="00625DC0">
        <w:trPr>
          <w:jc w:val="center"/>
        </w:trPr>
        <w:tc>
          <w:tcPr>
            <w:tcW w:w="2263" w:type="dxa"/>
          </w:tcPr>
          <w:p w14:paraId="0E01EA8E" w14:textId="77777777" w:rsidR="001E7471" w:rsidRPr="00EE6C88" w:rsidRDefault="001E7471" w:rsidP="00625DC0">
            <w:pPr>
              <w:jc w:val="both"/>
              <w:rPr>
                <w:rFonts w:ascii="Arial" w:hAnsi="Arial" w:cs="Arial"/>
                <w:lang w:val="en-US"/>
              </w:rPr>
            </w:pPr>
            <w:r w:rsidRPr="00EE6C88">
              <w:rPr>
                <w:rFonts w:ascii="Arial" w:hAnsi="Arial" w:cs="Arial"/>
                <w:lang w:val="en-US"/>
              </w:rPr>
              <w:t>LRT</w:t>
            </w:r>
          </w:p>
        </w:tc>
        <w:tc>
          <w:tcPr>
            <w:tcW w:w="2937" w:type="dxa"/>
          </w:tcPr>
          <w:p w14:paraId="7A901137" w14:textId="77777777" w:rsidR="001E7471" w:rsidRPr="00EE6C88" w:rsidRDefault="001E7471" w:rsidP="00625DC0">
            <w:pPr>
              <w:jc w:val="both"/>
              <w:rPr>
                <w:rFonts w:ascii="Arial" w:hAnsi="Arial" w:cs="Arial"/>
                <w:lang w:val="en-US"/>
              </w:rPr>
            </w:pPr>
            <w:r w:rsidRPr="00EE6C88">
              <w:rPr>
                <w:rFonts w:ascii="Arial" w:hAnsi="Arial" w:cs="Arial"/>
                <w:lang w:val="en-US"/>
              </w:rPr>
              <w:t>from 0 to 0.0005</w:t>
            </w:r>
          </w:p>
        </w:tc>
        <w:tc>
          <w:tcPr>
            <w:tcW w:w="3649" w:type="dxa"/>
          </w:tcPr>
          <w:p w14:paraId="03F15DB3" w14:textId="77777777" w:rsidR="001E7471" w:rsidRPr="00EE6C88" w:rsidRDefault="001E7471" w:rsidP="00625DC0">
            <w:pPr>
              <w:jc w:val="both"/>
              <w:rPr>
                <w:rFonts w:ascii="Arial" w:hAnsi="Arial" w:cs="Arial"/>
                <w:lang w:val="en-US"/>
              </w:rPr>
            </w:pPr>
            <w:r w:rsidRPr="00EE6C88">
              <w:rPr>
                <w:rFonts w:ascii="Arial" w:hAnsi="Arial" w:cs="Arial"/>
                <w:bCs/>
                <w:color w:val="FF0000"/>
                <w:lang w:val="en-US"/>
              </w:rPr>
              <w:t>0 (damaging)</w:t>
            </w:r>
          </w:p>
        </w:tc>
      </w:tr>
      <w:tr w:rsidR="001E7471" w:rsidRPr="009D7931" w14:paraId="363E7FBA" w14:textId="77777777" w:rsidTr="00625DC0">
        <w:trPr>
          <w:jc w:val="center"/>
        </w:trPr>
        <w:tc>
          <w:tcPr>
            <w:tcW w:w="2263" w:type="dxa"/>
          </w:tcPr>
          <w:p w14:paraId="0414D355" w14:textId="77777777" w:rsidR="001E7471" w:rsidRPr="00EE6C88" w:rsidRDefault="001E7471" w:rsidP="00625DC0">
            <w:pPr>
              <w:jc w:val="both"/>
              <w:rPr>
                <w:rFonts w:ascii="Arial" w:hAnsi="Arial" w:cs="Arial"/>
                <w:lang w:val="en-US"/>
              </w:rPr>
            </w:pPr>
            <w:r w:rsidRPr="00EE6C88">
              <w:rPr>
                <w:rFonts w:ascii="Arial" w:hAnsi="Arial" w:cs="Arial"/>
                <w:lang w:val="en-US"/>
              </w:rPr>
              <w:t>MutationTaster</w:t>
            </w:r>
          </w:p>
        </w:tc>
        <w:tc>
          <w:tcPr>
            <w:tcW w:w="2937" w:type="dxa"/>
          </w:tcPr>
          <w:p w14:paraId="2DFC10EA" w14:textId="77777777" w:rsidR="001E7471" w:rsidRPr="00EE6C88" w:rsidRDefault="001E7471" w:rsidP="00625DC0">
            <w:pPr>
              <w:jc w:val="both"/>
              <w:rPr>
                <w:rFonts w:ascii="Arial" w:hAnsi="Arial" w:cs="Arial"/>
                <w:lang w:val="en-US"/>
              </w:rPr>
            </w:pPr>
            <w:r w:rsidRPr="00EE6C88">
              <w:rPr>
                <w:rFonts w:ascii="Arial" w:hAnsi="Arial" w:cs="Arial"/>
                <w:lang w:val="en-US"/>
              </w:rPr>
              <w:t>from 0.5 to 1</w:t>
            </w:r>
          </w:p>
        </w:tc>
        <w:tc>
          <w:tcPr>
            <w:tcW w:w="3649" w:type="dxa"/>
          </w:tcPr>
          <w:p w14:paraId="3A219ADA" w14:textId="77777777" w:rsidR="001E7471" w:rsidRPr="00EE6C88" w:rsidRDefault="001E7471" w:rsidP="00625DC0">
            <w:pPr>
              <w:jc w:val="both"/>
              <w:rPr>
                <w:rFonts w:ascii="Arial" w:hAnsi="Arial" w:cs="Arial"/>
                <w:lang w:val="en-US"/>
              </w:rPr>
            </w:pPr>
            <w:r w:rsidRPr="00EE6C88">
              <w:rPr>
                <w:rFonts w:ascii="Arial" w:hAnsi="Arial" w:cs="Arial"/>
                <w:bCs/>
                <w:color w:val="FF0000"/>
                <w:lang w:val="en-US"/>
              </w:rPr>
              <w:t>1 (disease-causing)</w:t>
            </w:r>
          </w:p>
        </w:tc>
      </w:tr>
      <w:tr w:rsidR="001E7471" w:rsidRPr="009D7931" w14:paraId="49B9B2D9" w14:textId="77777777" w:rsidTr="00625DC0">
        <w:trPr>
          <w:jc w:val="center"/>
        </w:trPr>
        <w:tc>
          <w:tcPr>
            <w:tcW w:w="2263" w:type="dxa"/>
          </w:tcPr>
          <w:p w14:paraId="16B6D6F1" w14:textId="77777777" w:rsidR="001E7471" w:rsidRPr="00EE6C88" w:rsidRDefault="001E7471" w:rsidP="00625DC0">
            <w:pPr>
              <w:jc w:val="both"/>
              <w:rPr>
                <w:rFonts w:ascii="Arial" w:hAnsi="Arial" w:cs="Arial"/>
                <w:lang w:val="en-US"/>
              </w:rPr>
            </w:pPr>
            <w:r w:rsidRPr="00EE6C88">
              <w:rPr>
                <w:rFonts w:ascii="Arial" w:hAnsi="Arial" w:cs="Arial"/>
                <w:lang w:val="en-US"/>
              </w:rPr>
              <w:t>MutationAssessor</w:t>
            </w:r>
          </w:p>
        </w:tc>
        <w:tc>
          <w:tcPr>
            <w:tcW w:w="2937" w:type="dxa"/>
          </w:tcPr>
          <w:p w14:paraId="7F60A341" w14:textId="77777777" w:rsidR="001E7471" w:rsidRPr="00EE6C88" w:rsidRDefault="001E7471" w:rsidP="00625DC0">
            <w:pPr>
              <w:jc w:val="both"/>
              <w:rPr>
                <w:rFonts w:ascii="Arial" w:hAnsi="Arial" w:cs="Arial"/>
                <w:lang w:val="en-US"/>
              </w:rPr>
            </w:pPr>
            <w:r w:rsidRPr="00EE6C88">
              <w:rPr>
                <w:rFonts w:ascii="Arial" w:hAnsi="Arial" w:cs="Arial"/>
                <w:lang w:val="en-US"/>
              </w:rPr>
              <w:t>&gt; 0.935</w:t>
            </w:r>
          </w:p>
        </w:tc>
        <w:tc>
          <w:tcPr>
            <w:tcW w:w="3649" w:type="dxa"/>
          </w:tcPr>
          <w:p w14:paraId="3963EE4C" w14:textId="77777777" w:rsidR="001E7471" w:rsidRPr="00EE6C88" w:rsidRDefault="001E7471" w:rsidP="00625DC0">
            <w:pPr>
              <w:jc w:val="both"/>
              <w:rPr>
                <w:rFonts w:ascii="Arial" w:hAnsi="Arial" w:cs="Arial"/>
                <w:color w:val="00B050"/>
                <w:lang w:val="en-US"/>
              </w:rPr>
            </w:pPr>
            <w:r w:rsidRPr="00EE6C88">
              <w:rPr>
                <w:rFonts w:ascii="Arial" w:hAnsi="Arial" w:cs="Arial"/>
                <w:bCs/>
                <w:color w:val="00B050"/>
                <w:lang w:val="en-US"/>
              </w:rPr>
              <w:t>0.695 (neutral)</w:t>
            </w:r>
          </w:p>
        </w:tc>
      </w:tr>
      <w:tr w:rsidR="001E7471" w:rsidRPr="009D7931" w14:paraId="42FF3981" w14:textId="77777777" w:rsidTr="00625DC0">
        <w:trPr>
          <w:jc w:val="center"/>
        </w:trPr>
        <w:tc>
          <w:tcPr>
            <w:tcW w:w="2263" w:type="dxa"/>
          </w:tcPr>
          <w:p w14:paraId="740F157B" w14:textId="77777777" w:rsidR="001E7471" w:rsidRPr="00EE6C88" w:rsidRDefault="001E7471" w:rsidP="00625DC0">
            <w:pPr>
              <w:jc w:val="both"/>
              <w:rPr>
                <w:rFonts w:ascii="Arial" w:hAnsi="Arial" w:cs="Arial"/>
                <w:lang w:val="en-US"/>
              </w:rPr>
            </w:pPr>
            <w:r w:rsidRPr="00EE6C88">
              <w:rPr>
                <w:rFonts w:ascii="Arial" w:hAnsi="Arial" w:cs="Arial"/>
                <w:lang w:val="en-US"/>
              </w:rPr>
              <w:t>FATHMM</w:t>
            </w:r>
          </w:p>
        </w:tc>
        <w:tc>
          <w:tcPr>
            <w:tcW w:w="2937" w:type="dxa"/>
          </w:tcPr>
          <w:p w14:paraId="01B80A0C" w14:textId="77777777" w:rsidR="001E7471" w:rsidRPr="00EE6C88" w:rsidRDefault="001E7471" w:rsidP="00625DC0">
            <w:pPr>
              <w:jc w:val="both"/>
              <w:rPr>
                <w:rFonts w:ascii="Arial" w:hAnsi="Arial" w:cs="Arial"/>
                <w:lang w:val="en-US"/>
              </w:rPr>
            </w:pPr>
            <w:r w:rsidRPr="00EE6C88">
              <w:rPr>
                <w:rFonts w:ascii="Arial" w:hAnsi="Arial" w:cs="Arial"/>
                <w:lang w:val="en-US"/>
              </w:rPr>
              <w:t>&lt; -1.5</w:t>
            </w:r>
          </w:p>
        </w:tc>
        <w:tc>
          <w:tcPr>
            <w:tcW w:w="3649" w:type="dxa"/>
          </w:tcPr>
          <w:p w14:paraId="0C66134D" w14:textId="77777777" w:rsidR="001E7471" w:rsidRPr="00EE6C88" w:rsidRDefault="001E7471" w:rsidP="00625DC0">
            <w:pPr>
              <w:jc w:val="both"/>
              <w:rPr>
                <w:rFonts w:ascii="Arial" w:hAnsi="Arial" w:cs="Arial"/>
                <w:lang w:val="en-US"/>
              </w:rPr>
            </w:pPr>
            <w:r w:rsidRPr="00EE6C88">
              <w:rPr>
                <w:rFonts w:ascii="Arial" w:hAnsi="Arial" w:cs="Arial"/>
                <w:bCs/>
                <w:color w:val="00B050"/>
                <w:lang w:val="en-US"/>
              </w:rPr>
              <w:t>2.53 (tolerated)</w:t>
            </w:r>
          </w:p>
        </w:tc>
      </w:tr>
      <w:tr w:rsidR="001E7471" w:rsidRPr="009D7931" w14:paraId="4B77F8C9" w14:textId="77777777" w:rsidTr="00625DC0">
        <w:trPr>
          <w:jc w:val="center"/>
        </w:trPr>
        <w:tc>
          <w:tcPr>
            <w:tcW w:w="2263" w:type="dxa"/>
          </w:tcPr>
          <w:p w14:paraId="544DF41A" w14:textId="77777777" w:rsidR="001E7471" w:rsidRPr="00EE6C88" w:rsidRDefault="001E7471" w:rsidP="00625DC0">
            <w:pPr>
              <w:jc w:val="both"/>
              <w:rPr>
                <w:rFonts w:ascii="Arial" w:hAnsi="Arial" w:cs="Arial"/>
                <w:lang w:val="en-US"/>
              </w:rPr>
            </w:pPr>
            <w:r w:rsidRPr="00EE6C88">
              <w:rPr>
                <w:rFonts w:ascii="Arial" w:hAnsi="Arial" w:cs="Arial"/>
                <w:lang w:val="en-US"/>
              </w:rPr>
              <w:t>PROVEAN</w:t>
            </w:r>
          </w:p>
        </w:tc>
        <w:tc>
          <w:tcPr>
            <w:tcW w:w="2937" w:type="dxa"/>
          </w:tcPr>
          <w:p w14:paraId="4D9A69BA" w14:textId="77777777" w:rsidR="001E7471" w:rsidRPr="00EE6C88" w:rsidRDefault="001E7471" w:rsidP="00625DC0">
            <w:pPr>
              <w:jc w:val="both"/>
              <w:rPr>
                <w:rFonts w:ascii="Arial" w:hAnsi="Arial" w:cs="Arial"/>
                <w:lang w:val="en-US"/>
              </w:rPr>
            </w:pPr>
            <w:r w:rsidRPr="00EE6C88">
              <w:rPr>
                <w:rFonts w:ascii="Arial" w:hAnsi="Arial" w:cs="Arial"/>
                <w:lang w:val="en-US"/>
              </w:rPr>
              <w:t>from 14 to -2.5</w:t>
            </w:r>
          </w:p>
        </w:tc>
        <w:tc>
          <w:tcPr>
            <w:tcW w:w="3649" w:type="dxa"/>
          </w:tcPr>
          <w:p w14:paraId="37D6EE12" w14:textId="77777777" w:rsidR="001E7471" w:rsidRPr="00EE6C88" w:rsidRDefault="001E7471" w:rsidP="00625DC0">
            <w:pPr>
              <w:jc w:val="both"/>
              <w:rPr>
                <w:rFonts w:ascii="Arial" w:hAnsi="Arial" w:cs="Arial"/>
                <w:lang w:val="en-US"/>
              </w:rPr>
            </w:pPr>
            <w:r w:rsidRPr="00EE6C88">
              <w:rPr>
                <w:rFonts w:ascii="Arial" w:hAnsi="Arial" w:cs="Arial"/>
                <w:bCs/>
                <w:color w:val="FF0000"/>
                <w:lang w:val="en-US"/>
              </w:rPr>
              <w:t>-5.79 (damaging)</w:t>
            </w:r>
          </w:p>
        </w:tc>
      </w:tr>
      <w:tr w:rsidR="001E7471" w:rsidRPr="009D7931" w14:paraId="4A7797A8" w14:textId="77777777" w:rsidTr="00625DC0">
        <w:trPr>
          <w:jc w:val="center"/>
        </w:trPr>
        <w:tc>
          <w:tcPr>
            <w:tcW w:w="2263" w:type="dxa"/>
          </w:tcPr>
          <w:p w14:paraId="54902577" w14:textId="77777777" w:rsidR="001E7471" w:rsidRPr="00EE6C88" w:rsidRDefault="001E7471" w:rsidP="00625DC0">
            <w:pPr>
              <w:jc w:val="both"/>
              <w:rPr>
                <w:rFonts w:ascii="Arial" w:hAnsi="Arial" w:cs="Arial"/>
                <w:lang w:val="en-US"/>
              </w:rPr>
            </w:pPr>
            <w:r w:rsidRPr="00EE6C88">
              <w:rPr>
                <w:rFonts w:ascii="Arial" w:hAnsi="Arial" w:cs="Arial"/>
                <w:lang w:val="en-US"/>
              </w:rPr>
              <w:t>VEST3</w:t>
            </w:r>
          </w:p>
        </w:tc>
        <w:tc>
          <w:tcPr>
            <w:tcW w:w="2937" w:type="dxa"/>
          </w:tcPr>
          <w:p w14:paraId="38FA1608" w14:textId="77777777" w:rsidR="001E7471" w:rsidRPr="00EE6C88" w:rsidRDefault="001E7471" w:rsidP="00625DC0">
            <w:pPr>
              <w:jc w:val="both"/>
              <w:rPr>
                <w:rFonts w:ascii="Arial" w:hAnsi="Arial" w:cs="Arial"/>
                <w:lang w:val="en-US"/>
              </w:rPr>
            </w:pPr>
            <w:r w:rsidRPr="00EE6C88">
              <w:rPr>
                <w:rFonts w:ascii="Arial" w:hAnsi="Arial" w:cs="Arial"/>
                <w:lang w:val="en-US"/>
              </w:rPr>
              <w:t>from 0.5 to 1</w:t>
            </w:r>
          </w:p>
        </w:tc>
        <w:tc>
          <w:tcPr>
            <w:tcW w:w="3649" w:type="dxa"/>
          </w:tcPr>
          <w:p w14:paraId="6D2BF58A" w14:textId="77777777" w:rsidR="001E7471" w:rsidRPr="00EE6C88" w:rsidRDefault="001E7471" w:rsidP="00625DC0">
            <w:pPr>
              <w:jc w:val="both"/>
              <w:rPr>
                <w:rFonts w:ascii="Arial" w:hAnsi="Arial" w:cs="Arial"/>
                <w:lang w:val="en-US"/>
              </w:rPr>
            </w:pPr>
            <w:r w:rsidRPr="00EE6C88">
              <w:rPr>
                <w:rFonts w:ascii="Arial" w:hAnsi="Arial" w:cs="Arial"/>
                <w:bCs/>
                <w:color w:val="FF0000"/>
                <w:lang w:val="en-US"/>
              </w:rPr>
              <w:t>0.699 (damaging)</w:t>
            </w:r>
          </w:p>
        </w:tc>
      </w:tr>
      <w:tr w:rsidR="001E7471" w:rsidRPr="009D7931" w14:paraId="0E188583" w14:textId="77777777" w:rsidTr="00625DC0">
        <w:trPr>
          <w:jc w:val="center"/>
        </w:trPr>
        <w:tc>
          <w:tcPr>
            <w:tcW w:w="2263" w:type="dxa"/>
          </w:tcPr>
          <w:p w14:paraId="6901F0DB" w14:textId="77777777" w:rsidR="001E7471" w:rsidRPr="00EE6C88" w:rsidRDefault="001E7471" w:rsidP="00625DC0">
            <w:pPr>
              <w:jc w:val="both"/>
              <w:rPr>
                <w:rFonts w:ascii="Arial" w:hAnsi="Arial" w:cs="Arial"/>
                <w:lang w:val="en-US"/>
              </w:rPr>
            </w:pPr>
            <w:r w:rsidRPr="00EE6C88">
              <w:rPr>
                <w:rFonts w:ascii="Arial" w:hAnsi="Arial" w:cs="Arial"/>
                <w:lang w:val="en-US"/>
              </w:rPr>
              <w:lastRenderedPageBreak/>
              <w:t>CADD</w:t>
            </w:r>
          </w:p>
        </w:tc>
        <w:tc>
          <w:tcPr>
            <w:tcW w:w="2937" w:type="dxa"/>
          </w:tcPr>
          <w:p w14:paraId="0A81DFD2" w14:textId="77777777" w:rsidR="001E7471" w:rsidRPr="00EE6C88" w:rsidRDefault="001E7471" w:rsidP="00625DC0">
            <w:pPr>
              <w:jc w:val="both"/>
              <w:rPr>
                <w:rFonts w:ascii="Arial" w:hAnsi="Arial" w:cs="Arial"/>
                <w:lang w:val="en-US"/>
              </w:rPr>
            </w:pPr>
            <w:r w:rsidRPr="00EE6C88">
              <w:rPr>
                <w:rFonts w:ascii="Arial" w:hAnsi="Arial" w:cs="Arial"/>
                <w:lang w:val="en-US"/>
              </w:rPr>
              <w:t>from 20 to 39</w:t>
            </w:r>
          </w:p>
        </w:tc>
        <w:tc>
          <w:tcPr>
            <w:tcW w:w="3649" w:type="dxa"/>
          </w:tcPr>
          <w:p w14:paraId="33744219" w14:textId="77777777" w:rsidR="001E7471" w:rsidRPr="00EE6C88" w:rsidRDefault="001E7471" w:rsidP="00625DC0">
            <w:pPr>
              <w:jc w:val="both"/>
              <w:rPr>
                <w:rFonts w:ascii="Arial" w:hAnsi="Arial" w:cs="Arial"/>
                <w:lang w:val="en-US"/>
              </w:rPr>
            </w:pPr>
            <w:r w:rsidRPr="00EE6C88">
              <w:rPr>
                <w:rFonts w:ascii="Arial" w:hAnsi="Arial" w:cs="Arial"/>
                <w:bCs/>
                <w:color w:val="FF0000"/>
                <w:lang w:val="en-US"/>
              </w:rPr>
              <w:t>26.9 (damaging)</w:t>
            </w:r>
          </w:p>
        </w:tc>
      </w:tr>
      <w:tr w:rsidR="001E7471" w:rsidRPr="009D7931" w14:paraId="568A9E52" w14:textId="77777777" w:rsidTr="00625DC0">
        <w:trPr>
          <w:jc w:val="center"/>
        </w:trPr>
        <w:tc>
          <w:tcPr>
            <w:tcW w:w="2263" w:type="dxa"/>
          </w:tcPr>
          <w:p w14:paraId="5DC6B08E" w14:textId="77777777" w:rsidR="001E7471" w:rsidRPr="00EE6C88" w:rsidRDefault="001E7471" w:rsidP="00625DC0">
            <w:pPr>
              <w:jc w:val="both"/>
              <w:rPr>
                <w:rFonts w:ascii="Arial" w:hAnsi="Arial" w:cs="Arial"/>
                <w:lang w:val="en-US"/>
              </w:rPr>
            </w:pPr>
            <w:r w:rsidRPr="00EE6C88">
              <w:rPr>
                <w:rFonts w:ascii="Arial" w:hAnsi="Arial" w:cs="Arial"/>
                <w:lang w:val="en-US"/>
              </w:rPr>
              <w:t>DANN</w:t>
            </w:r>
          </w:p>
        </w:tc>
        <w:tc>
          <w:tcPr>
            <w:tcW w:w="2937" w:type="dxa"/>
          </w:tcPr>
          <w:p w14:paraId="2A7019BE" w14:textId="77777777" w:rsidR="001E7471" w:rsidRPr="00EE6C88" w:rsidRDefault="001E7471" w:rsidP="00625DC0">
            <w:pPr>
              <w:jc w:val="both"/>
              <w:rPr>
                <w:rFonts w:ascii="Arial" w:hAnsi="Arial" w:cs="Arial"/>
                <w:lang w:val="en-US"/>
              </w:rPr>
            </w:pPr>
            <w:r w:rsidRPr="00EE6C88">
              <w:rPr>
                <w:rFonts w:ascii="Arial" w:hAnsi="Arial" w:cs="Arial"/>
                <w:lang w:val="en-US"/>
              </w:rPr>
              <w:t>from 0.96 to 1</w:t>
            </w:r>
          </w:p>
        </w:tc>
        <w:tc>
          <w:tcPr>
            <w:tcW w:w="3649" w:type="dxa"/>
          </w:tcPr>
          <w:p w14:paraId="299865EB" w14:textId="77777777" w:rsidR="001E7471" w:rsidRPr="00EE6C88" w:rsidRDefault="001E7471" w:rsidP="00625DC0">
            <w:pPr>
              <w:jc w:val="both"/>
              <w:rPr>
                <w:rFonts w:ascii="Arial" w:hAnsi="Arial" w:cs="Arial"/>
                <w:lang w:val="en-US"/>
              </w:rPr>
            </w:pPr>
            <w:r w:rsidRPr="00EE6C88">
              <w:rPr>
                <w:rFonts w:ascii="Arial" w:hAnsi="Arial" w:cs="Arial"/>
                <w:bCs/>
                <w:color w:val="FF0000"/>
                <w:lang w:val="en-US"/>
              </w:rPr>
              <w:t>0.993 (damaging)</w:t>
            </w:r>
          </w:p>
        </w:tc>
      </w:tr>
      <w:tr w:rsidR="001E7471" w:rsidRPr="009D7931" w14:paraId="268D9D09" w14:textId="77777777" w:rsidTr="00625DC0">
        <w:trPr>
          <w:jc w:val="center"/>
        </w:trPr>
        <w:tc>
          <w:tcPr>
            <w:tcW w:w="2263" w:type="dxa"/>
          </w:tcPr>
          <w:p w14:paraId="1EE8813D" w14:textId="77777777" w:rsidR="001E7471" w:rsidRPr="00EE6C88" w:rsidRDefault="001E7471" w:rsidP="00625DC0">
            <w:pPr>
              <w:jc w:val="both"/>
              <w:rPr>
                <w:rFonts w:ascii="Arial" w:hAnsi="Arial" w:cs="Arial"/>
                <w:lang w:val="en-US"/>
              </w:rPr>
            </w:pPr>
            <w:r w:rsidRPr="00EE6C88">
              <w:rPr>
                <w:rFonts w:ascii="Arial" w:hAnsi="Arial" w:cs="Arial"/>
                <w:lang w:val="en-US"/>
              </w:rPr>
              <w:t>fathmm_MKL</w:t>
            </w:r>
          </w:p>
        </w:tc>
        <w:tc>
          <w:tcPr>
            <w:tcW w:w="2937" w:type="dxa"/>
          </w:tcPr>
          <w:p w14:paraId="58B2C5A5" w14:textId="77777777" w:rsidR="001E7471" w:rsidRPr="00EE6C88" w:rsidRDefault="001E7471" w:rsidP="00625DC0">
            <w:pPr>
              <w:jc w:val="both"/>
              <w:rPr>
                <w:rFonts w:ascii="Arial" w:hAnsi="Arial" w:cs="Arial"/>
                <w:lang w:val="en-US"/>
              </w:rPr>
            </w:pPr>
            <w:r w:rsidRPr="00EE6C88">
              <w:rPr>
                <w:rFonts w:ascii="Arial" w:hAnsi="Arial" w:cs="Arial"/>
                <w:lang w:val="en-US"/>
              </w:rPr>
              <w:t>from 0.5 to 1</w:t>
            </w:r>
          </w:p>
        </w:tc>
        <w:tc>
          <w:tcPr>
            <w:tcW w:w="3649" w:type="dxa"/>
          </w:tcPr>
          <w:p w14:paraId="5D552587" w14:textId="77777777" w:rsidR="001E7471" w:rsidRPr="00EE6C88" w:rsidRDefault="001E7471" w:rsidP="00625DC0">
            <w:pPr>
              <w:jc w:val="both"/>
              <w:rPr>
                <w:rFonts w:ascii="Arial" w:hAnsi="Arial" w:cs="Arial"/>
                <w:lang w:val="en-US"/>
              </w:rPr>
            </w:pPr>
            <w:r w:rsidRPr="00EE6C88">
              <w:rPr>
                <w:rFonts w:ascii="Arial" w:hAnsi="Arial" w:cs="Arial"/>
                <w:bCs/>
                <w:color w:val="FF0000"/>
                <w:lang w:val="en-US"/>
              </w:rPr>
              <w:t>0.91 (damaging)</w:t>
            </w:r>
          </w:p>
        </w:tc>
      </w:tr>
      <w:tr w:rsidR="001E7471" w:rsidRPr="009D7931" w14:paraId="68207F4C" w14:textId="77777777" w:rsidTr="00625DC0">
        <w:trPr>
          <w:jc w:val="center"/>
        </w:trPr>
        <w:tc>
          <w:tcPr>
            <w:tcW w:w="2263" w:type="dxa"/>
          </w:tcPr>
          <w:p w14:paraId="21CE38D0" w14:textId="77777777" w:rsidR="001E7471" w:rsidRPr="00EE6C88" w:rsidRDefault="001E7471" w:rsidP="00625DC0">
            <w:pPr>
              <w:jc w:val="both"/>
              <w:rPr>
                <w:rFonts w:ascii="Arial" w:hAnsi="Arial" w:cs="Arial"/>
                <w:lang w:val="en-US"/>
              </w:rPr>
            </w:pPr>
            <w:r w:rsidRPr="00EE6C88">
              <w:rPr>
                <w:rFonts w:ascii="Arial" w:hAnsi="Arial" w:cs="Arial"/>
                <w:lang w:val="en-US"/>
              </w:rPr>
              <w:t>MetaSVM</w:t>
            </w:r>
          </w:p>
        </w:tc>
        <w:tc>
          <w:tcPr>
            <w:tcW w:w="2937" w:type="dxa"/>
          </w:tcPr>
          <w:p w14:paraId="7F665588" w14:textId="77777777" w:rsidR="001E7471" w:rsidRPr="00EE6C88" w:rsidRDefault="001E7471" w:rsidP="00625DC0">
            <w:pPr>
              <w:jc w:val="both"/>
              <w:rPr>
                <w:rFonts w:ascii="Arial" w:hAnsi="Arial" w:cs="Arial"/>
                <w:lang w:val="en-US"/>
              </w:rPr>
            </w:pPr>
            <w:r w:rsidRPr="00EE6C88">
              <w:rPr>
                <w:rFonts w:ascii="Arial" w:hAnsi="Arial" w:cs="Arial"/>
                <w:lang w:val="en-US"/>
              </w:rPr>
              <w:t>from 0.5 to 1</w:t>
            </w:r>
          </w:p>
        </w:tc>
        <w:tc>
          <w:tcPr>
            <w:tcW w:w="3649" w:type="dxa"/>
          </w:tcPr>
          <w:p w14:paraId="13EC37AC" w14:textId="77777777" w:rsidR="001E7471" w:rsidRPr="00EE6C88" w:rsidRDefault="001E7471" w:rsidP="00625DC0">
            <w:pPr>
              <w:jc w:val="both"/>
              <w:rPr>
                <w:rFonts w:ascii="Arial" w:hAnsi="Arial" w:cs="Arial"/>
                <w:color w:val="00B050"/>
                <w:lang w:val="en-US"/>
              </w:rPr>
            </w:pPr>
            <w:r w:rsidRPr="00EE6C88">
              <w:rPr>
                <w:rFonts w:ascii="Arial" w:hAnsi="Arial" w:cs="Arial"/>
                <w:bCs/>
                <w:color w:val="00B050"/>
                <w:lang w:val="en-US"/>
              </w:rPr>
              <w:t>-0.905 (tolerated)</w:t>
            </w:r>
          </w:p>
        </w:tc>
      </w:tr>
      <w:tr w:rsidR="001E7471" w:rsidRPr="009D7931" w14:paraId="6E56DE74" w14:textId="77777777" w:rsidTr="00625DC0">
        <w:trPr>
          <w:jc w:val="center"/>
        </w:trPr>
        <w:tc>
          <w:tcPr>
            <w:tcW w:w="2263" w:type="dxa"/>
          </w:tcPr>
          <w:p w14:paraId="41C08131" w14:textId="77777777" w:rsidR="001E7471" w:rsidRPr="00EE6C88" w:rsidRDefault="001E7471" w:rsidP="00625DC0">
            <w:pPr>
              <w:jc w:val="both"/>
              <w:rPr>
                <w:rFonts w:ascii="Arial" w:hAnsi="Arial" w:cs="Arial"/>
                <w:lang w:val="en-US"/>
              </w:rPr>
            </w:pPr>
            <w:r w:rsidRPr="00EE6C88">
              <w:rPr>
                <w:rFonts w:ascii="Arial" w:hAnsi="Arial" w:cs="Arial"/>
                <w:lang w:val="en-US"/>
              </w:rPr>
              <w:t>MetaLR</w:t>
            </w:r>
          </w:p>
        </w:tc>
        <w:tc>
          <w:tcPr>
            <w:tcW w:w="2937" w:type="dxa"/>
          </w:tcPr>
          <w:p w14:paraId="112914F0" w14:textId="77777777" w:rsidR="001E7471" w:rsidRPr="00EE6C88" w:rsidRDefault="001E7471" w:rsidP="00625DC0">
            <w:pPr>
              <w:jc w:val="both"/>
              <w:rPr>
                <w:rFonts w:ascii="Arial" w:hAnsi="Arial" w:cs="Arial"/>
                <w:lang w:val="en-US"/>
              </w:rPr>
            </w:pPr>
            <w:r w:rsidRPr="00EE6C88">
              <w:rPr>
                <w:rFonts w:ascii="Arial" w:hAnsi="Arial" w:cs="Arial"/>
                <w:lang w:val="en-US"/>
              </w:rPr>
              <w:t>from 0.5 to 1</w:t>
            </w:r>
          </w:p>
        </w:tc>
        <w:tc>
          <w:tcPr>
            <w:tcW w:w="3649" w:type="dxa"/>
          </w:tcPr>
          <w:p w14:paraId="7014F062" w14:textId="77777777" w:rsidR="001E7471" w:rsidRPr="00EE6C88" w:rsidRDefault="001E7471" w:rsidP="00625DC0">
            <w:pPr>
              <w:jc w:val="both"/>
              <w:rPr>
                <w:rFonts w:ascii="Arial" w:hAnsi="Arial" w:cs="Arial"/>
                <w:color w:val="00B050"/>
                <w:lang w:val="en-US"/>
              </w:rPr>
            </w:pPr>
            <w:r w:rsidRPr="00EE6C88">
              <w:rPr>
                <w:rFonts w:ascii="Arial" w:hAnsi="Arial" w:cs="Arial"/>
                <w:bCs/>
                <w:color w:val="00B050"/>
                <w:lang w:val="en-US"/>
              </w:rPr>
              <w:t>0.140 (tolerated)</w:t>
            </w:r>
          </w:p>
        </w:tc>
      </w:tr>
    </w:tbl>
    <w:p w14:paraId="15A0F5EA" w14:textId="77777777" w:rsidR="001E7471" w:rsidRPr="00CB2F3A" w:rsidRDefault="001E7471" w:rsidP="001E7471">
      <w:pPr>
        <w:rPr>
          <w:lang w:val="en-US"/>
        </w:rPr>
      </w:pPr>
    </w:p>
    <w:p w14:paraId="5B06C987" w14:textId="77777777" w:rsidR="00903954" w:rsidRDefault="00903954"/>
    <w:sectPr w:rsidR="00903954" w:rsidSect="000138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71"/>
    <w:rsid w:val="0001388C"/>
    <w:rsid w:val="001E7471"/>
    <w:rsid w:val="0027038C"/>
    <w:rsid w:val="0054145F"/>
    <w:rsid w:val="00903954"/>
    <w:rsid w:val="00A40205"/>
    <w:rsid w:val="00BE5FDD"/>
    <w:rsid w:val="00DA3647"/>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6EE09DF5"/>
  <w15:chartTrackingRefBased/>
  <w15:docId w15:val="{8ABB8ACF-CDE6-9042-ABDB-80432413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4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471"/>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2467</Characters>
  <Application>Microsoft Office Word</Application>
  <DocSecurity>0</DocSecurity>
  <Lines>57</Lines>
  <Paragraphs>22</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 Moresco</dc:creator>
  <cp:keywords/>
  <dc:description/>
  <cp:lastModifiedBy>Giada Moresco</cp:lastModifiedBy>
  <cp:revision>3</cp:revision>
  <dcterms:created xsi:type="dcterms:W3CDTF">2020-08-15T12:58:00Z</dcterms:created>
  <dcterms:modified xsi:type="dcterms:W3CDTF">2020-08-16T13:25:00Z</dcterms:modified>
</cp:coreProperties>
</file>