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Ascorbic acid modulation by ABI4 transcriptional repression of </w:t>
      </w:r>
      <w:r>
        <w:rPr>
          <w:i/>
          <w:iCs/>
        </w:rPr>
        <w:t xml:space="preserve">VTC2 </w:t>
      </w:r>
      <w:r>
        <w:t xml:space="preserve">in the salt tolerance of </w:t>
      </w:r>
      <w:r>
        <w:rPr>
          <w:i/>
          <w:iCs/>
        </w:rPr>
        <w:t>Arabidopsis</w:t>
      </w:r>
    </w:p>
    <w:p>
      <w:pPr>
        <w:spacing w:before="240" w:beforeLines="100" w:afterLines="100"/>
        <w:rPr>
          <w:bCs/>
        </w:rPr>
      </w:pPr>
      <w:r>
        <w:rPr>
          <w:rFonts w:hint="eastAsia"/>
          <w:b/>
          <w:szCs w:val="24"/>
        </w:rPr>
        <w:t>X</w:t>
      </w:r>
      <w:r>
        <w:rPr>
          <w:b/>
          <w:szCs w:val="24"/>
        </w:rPr>
        <w:t>iamusiya Kakan</w:t>
      </w:r>
      <w:r>
        <w:rPr>
          <w:b/>
          <w:szCs w:val="24"/>
          <w:vertAlign w:val="superscript"/>
        </w:rPr>
        <w:t>1</w:t>
      </w:r>
      <w:r>
        <w:rPr>
          <w:rFonts w:hint="eastAsia"/>
          <w:b/>
          <w:szCs w:val="24"/>
          <w:vertAlign w:val="superscript"/>
        </w:rPr>
        <w:t>,</w:t>
      </w:r>
      <w:r>
        <w:rPr>
          <w:b/>
          <w:szCs w:val="24"/>
          <w:vertAlign w:val="superscript"/>
        </w:rPr>
        <w:t xml:space="preserve"> </w:t>
      </w:r>
      <w:r>
        <w:rPr>
          <w:rFonts w:hint="eastAsia"/>
          <w:b/>
          <w:szCs w:val="24"/>
          <w:vertAlign w:val="superscript"/>
        </w:rPr>
        <w:t>5</w:t>
      </w:r>
      <w:r>
        <w:rPr>
          <w:b/>
          <w:szCs w:val="24"/>
        </w:rPr>
        <w:t>, Yanwen</w:t>
      </w:r>
      <w:r>
        <w:rPr>
          <w:bCs/>
        </w:rPr>
        <w:t xml:space="preserve"> </w:t>
      </w:r>
      <w:r>
        <w:rPr>
          <w:b/>
          <w:szCs w:val="24"/>
        </w:rPr>
        <w:t>Yu</w:t>
      </w:r>
      <w:r>
        <w:rPr>
          <w:rFonts w:hint="eastAsia"/>
          <w:b/>
          <w:szCs w:val="24"/>
          <w:vertAlign w:val="superscript"/>
        </w:rPr>
        <w:t>2</w:t>
      </w:r>
      <w:r>
        <w:rPr>
          <w:b/>
          <w:szCs w:val="24"/>
        </w:rPr>
        <w:t>, Shenghui Li</w:t>
      </w:r>
      <w:r>
        <w:rPr>
          <w:rFonts w:hint="eastAsia"/>
          <w:b/>
          <w:szCs w:val="24"/>
          <w:vertAlign w:val="superscript"/>
        </w:rPr>
        <w:t>3</w:t>
      </w:r>
      <w:r>
        <w:rPr>
          <w:b/>
          <w:szCs w:val="24"/>
        </w:rPr>
        <w:t>, Xiaoying Li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, Rongfeng Huang</w:t>
      </w:r>
      <w:r>
        <w:rPr>
          <w:rFonts w:hint="eastAsia"/>
          <w:b/>
          <w:szCs w:val="24"/>
          <w:vertAlign w:val="superscript"/>
        </w:rPr>
        <w:t>1, 4</w:t>
      </w:r>
      <w:r>
        <w:rPr>
          <w:b/>
          <w:szCs w:val="24"/>
        </w:rPr>
        <w:t>, Juan Wang</w:t>
      </w:r>
      <w:r>
        <w:rPr>
          <w:rFonts w:hint="eastAsia"/>
          <w:b/>
          <w:szCs w:val="24"/>
          <w:vertAlign w:val="superscript"/>
        </w:rPr>
        <w:t>1, 4, *</w:t>
      </w:r>
    </w:p>
    <w:p>
      <w:pPr>
        <w:adjustRightInd w:val="0"/>
        <w:snapToGrid w:val="0"/>
        <w:spacing w:before="0" w:after="0"/>
        <w:ind w:left="312" w:hanging="198"/>
        <w:rPr>
          <w:szCs w:val="24"/>
        </w:rPr>
      </w:pPr>
      <w:r>
        <w:rPr>
          <w:szCs w:val="21"/>
          <w:vertAlign w:val="superscript"/>
          <w:lang w:bidi="en-US"/>
        </w:rPr>
        <w:t xml:space="preserve">1 </w:t>
      </w:r>
      <w:r>
        <w:rPr>
          <w:szCs w:val="24"/>
        </w:rPr>
        <w:t>Biotechnology Research Institute, Chinese Academy of Agricultural Sciences, Beijing 100081, China</w:t>
      </w:r>
    </w:p>
    <w:p>
      <w:pPr>
        <w:adjustRightInd w:val="0"/>
        <w:snapToGrid w:val="0"/>
        <w:spacing w:before="0" w:after="0"/>
        <w:ind w:left="312" w:hanging="198"/>
        <w:rPr>
          <w:szCs w:val="21"/>
          <w:lang w:bidi="en-US"/>
        </w:rPr>
      </w:pPr>
      <w:r>
        <w:rPr>
          <w:rFonts w:hint="eastAsia"/>
          <w:szCs w:val="24"/>
          <w:vertAlign w:val="superscript"/>
          <w:lang w:eastAsia="zh-CN"/>
        </w:rPr>
        <w:t>2</w:t>
      </w:r>
      <w:r>
        <w:rPr>
          <w:rFonts w:hint="eastAsia"/>
          <w:szCs w:val="21"/>
          <w:lang w:bidi="en-US"/>
        </w:rPr>
        <w:t>College of Agronomy, Henan Agricultural University, Zhengzhou 450002, China</w:t>
      </w:r>
    </w:p>
    <w:p>
      <w:pPr>
        <w:adjustRightInd w:val="0"/>
        <w:snapToGrid w:val="0"/>
        <w:spacing w:before="0" w:after="0"/>
        <w:ind w:left="312" w:hanging="198"/>
        <w:rPr>
          <w:szCs w:val="21"/>
          <w:lang w:bidi="en-US"/>
        </w:rPr>
      </w:pPr>
      <w:r>
        <w:rPr>
          <w:rFonts w:hint="eastAsia"/>
          <w:szCs w:val="24"/>
          <w:vertAlign w:val="superscript"/>
          <w:lang w:eastAsia="zh-CN"/>
        </w:rPr>
        <w:t>3</w:t>
      </w:r>
      <w:r>
        <w:rPr>
          <w:rFonts w:hint="eastAsia"/>
          <w:szCs w:val="21"/>
          <w:lang w:bidi="en-US"/>
        </w:rPr>
        <w:t>College of Landscape and Ecological Engineering, Hebei University of Engineering, Handan 056038, China</w:t>
      </w:r>
    </w:p>
    <w:p>
      <w:pPr>
        <w:adjustRightInd w:val="0"/>
        <w:snapToGrid w:val="0"/>
        <w:spacing w:before="0" w:after="0"/>
        <w:ind w:left="312" w:hanging="198"/>
        <w:rPr>
          <w:rFonts w:eastAsia="Times New Roman"/>
          <w:szCs w:val="21"/>
          <w:lang w:eastAsia="de-DE" w:bidi="en-US"/>
        </w:rPr>
      </w:pPr>
      <w:r>
        <w:rPr>
          <w:rFonts w:hint="eastAsia"/>
          <w:szCs w:val="24"/>
          <w:vertAlign w:val="superscript"/>
          <w:lang w:eastAsia="zh-CN"/>
        </w:rPr>
        <w:t>4</w:t>
      </w:r>
      <w:r>
        <w:rPr>
          <w:rFonts w:eastAsia="Times New Roman"/>
          <w:szCs w:val="21"/>
          <w:lang w:eastAsia="de-DE" w:bidi="en-US"/>
        </w:rPr>
        <w:t>China National Key Facility of Crop Gene Resources and Genetic Improvement, Beijing 100081, China</w:t>
      </w:r>
    </w:p>
    <w:p>
      <w:pPr>
        <w:adjustRightInd w:val="0"/>
        <w:snapToGrid w:val="0"/>
        <w:spacing w:before="0" w:after="0"/>
        <w:ind w:left="312" w:hanging="198"/>
        <w:rPr>
          <w:b/>
          <w:szCs w:val="24"/>
        </w:rPr>
      </w:pPr>
      <w:r>
        <w:rPr>
          <w:rFonts w:hint="eastAsia"/>
          <w:szCs w:val="24"/>
          <w:vertAlign w:val="superscript"/>
          <w:lang w:eastAsia="zh-CN"/>
        </w:rPr>
        <w:t>5</w:t>
      </w:r>
      <w:r>
        <w:rPr>
          <w:rFonts w:hint="eastAsia"/>
          <w:szCs w:val="21"/>
          <w:lang w:bidi="en-US"/>
        </w:rPr>
        <w:t>College of Agronomy, Xinjiang Agricultural University, Urumchi 830052, China</w:t>
      </w:r>
    </w:p>
    <w:p>
      <w:pPr>
        <w:spacing w:before="240" w:after="0"/>
        <w:rPr>
          <w:szCs w:val="24"/>
          <w:lang w:eastAsia="de-DE"/>
        </w:rPr>
      </w:pPr>
      <w:r>
        <w:rPr>
          <w:b/>
          <w:szCs w:val="24"/>
        </w:rPr>
        <w:t xml:space="preserve">* Correspondence: </w:t>
      </w:r>
      <w:r>
        <w:fldChar w:fldCharType="begin"/>
      </w:r>
      <w:r>
        <w:instrText xml:space="preserve"> HYPERLINK "mailto:wangjuan@caas.cn" </w:instrText>
      </w:r>
      <w:r>
        <w:fldChar w:fldCharType="separate"/>
      </w:r>
      <w:r>
        <w:rPr>
          <w:szCs w:val="24"/>
          <w:lang w:eastAsia="de-DE"/>
        </w:rPr>
        <w:t>wangjuan@caas.cn</w:t>
      </w:r>
      <w:r>
        <w:rPr>
          <w:szCs w:val="24"/>
          <w:lang w:eastAsia="de-DE"/>
        </w:rPr>
        <w:fldChar w:fldCharType="end"/>
      </w:r>
      <w:r>
        <w:rPr>
          <w:szCs w:val="24"/>
          <w:lang w:eastAsia="de-DE"/>
        </w:rPr>
        <w:t xml:space="preserve"> (J.W.)</w:t>
      </w:r>
    </w:p>
    <w:p>
      <w:pPr>
        <w:spacing w:before="240" w:after="0"/>
        <w:rPr>
          <w:szCs w:val="24"/>
          <w:lang w:eastAsia="de-DE"/>
        </w:rPr>
      </w:pPr>
      <w:bookmarkStart w:id="0" w:name="_GoBack"/>
      <w:bookmarkEnd w:id="0"/>
    </w:p>
    <w:p>
      <w:pPr>
        <w:pStyle w:val="7"/>
        <w:numPr>
          <w:ilvl w:val="0"/>
          <w:numId w:val="0"/>
        </w:numPr>
        <w:jc w:val="left"/>
        <w:rPr>
          <w:rFonts w:hint="default" w:ascii="Times New Roman" w:hAnsi="Times New Roman" w:eastAsia="font000000001d89059f" w:cs="Times New Roman"/>
          <w:b/>
          <w:bCs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font000000001d89059f" w:cs="Times New Roman"/>
          <w:b/>
          <w:bCs/>
          <w:kern w:val="0"/>
          <w:sz w:val="28"/>
          <w:szCs w:val="28"/>
          <w:lang w:bidi="ar"/>
        </w:rPr>
        <w:t>Supplemental Table 1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lang w:bidi="ar"/>
        </w:rPr>
        <w:t>.</w:t>
      </w:r>
      <w:r>
        <w:rPr>
          <w:rFonts w:hint="default" w:ascii="Times New Roman" w:hAnsi="Times New Roman" w:eastAsia="font000000001d89059f" w:cs="Times New Roman"/>
          <w:b/>
          <w:bCs/>
          <w:kern w:val="0"/>
          <w:sz w:val="28"/>
          <w:szCs w:val="28"/>
          <w:lang w:bidi="ar"/>
        </w:rPr>
        <w:t xml:space="preserve"> Primers used in this 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lang w:bidi="ar"/>
        </w:rPr>
        <w:t>study</w:t>
      </w:r>
      <w:r>
        <w:rPr>
          <w:rFonts w:hint="default" w:ascii="Times New Roman" w:hAnsi="Times New Roman" w:eastAsia="font000000001d89059f" w:cs="Times New Roman"/>
          <w:b/>
          <w:bCs/>
          <w:kern w:val="0"/>
          <w:sz w:val="28"/>
          <w:szCs w:val="28"/>
          <w:lang w:bidi="ar"/>
        </w:rPr>
        <w:t xml:space="preserve"> </w:t>
      </w:r>
    </w:p>
    <w:tbl>
      <w:tblPr>
        <w:tblStyle w:val="5"/>
        <w:tblpPr w:leftFromText="180" w:rightFromText="180" w:vertAnchor="text" w:horzAnchor="page" w:tblpX="2741" w:tblpY="2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Primer name</w:t>
            </w:r>
          </w:p>
        </w:tc>
        <w:tc>
          <w:tcPr>
            <w:tcW w:w="38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Primer sequence (5' - 3'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4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AtABI4-F</w:t>
            </w:r>
          </w:p>
        </w:tc>
        <w:tc>
          <w:tcPr>
            <w:tcW w:w="387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CTTCCCAACATCAACACAAC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AtABI4-R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GGCATAACATAGAGGTCCCAC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AtVTC2-F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GCTTCCACCTTCAAAGAGAA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AtVTC2-R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CCAGTGTTGTTGCCATCA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qAtACTIN-F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GGCAAGTCATCACGATTGG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qAtACTIN-R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CAGCTTCCATTCCCACAAAC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qAtABI4-F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CGTTAGGGCAGGAACAAGGA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qAtABI4-R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ATAACCCGGATCCAGACCCA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Primer name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Primer sequence (5' - 3'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qAtVTC2-F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TTCAGACTGCTGTGTTTGCCT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qAtVTC2-R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CAATACCTCCGGGCTCACTT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qAtVTC1-F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CAAAACCGGTCCAACACCAGA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qAtVTC1-R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CTGAGCTGGGAAATGGCTGTA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qAtVTC4-F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GGATGAGTGGTTCGTGTGCA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qAtVTC4-R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CTCAGCGAATAACTCCTTGA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qAtVTC5-F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AATGTGAGTCCGATTGAGTA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qAtVTC5-R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AGTAAGCCTGAAAGTGAAGA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qAtGalDH-F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ATTTCGTCGGTGTTGGTTGG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qAtGalDH-R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CCACTTGGCCATGTCAGATT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qAtGLDH-F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GCAGATTGGTGGTATTATTC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qAtGLDH-R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GACCTCAGCAACAACTCC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qAtAPX1-F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ATTGCTTAATGTACTCTCGGATTTACG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qAtAPX1-R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CAAAAGCGCAACGGATGTG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qAtAPX2-F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CTGGTGGACACACCTTGGG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qAtAPX2-R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GCAGCATATTTTTCAACAAATGGGA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qAtAPX3-F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GTTCCGTCGTCTTGTTGAGC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qAtAPX3-R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GTCTGCAACTGCTTTGCCTG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qAtAPX4-F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ACTGACCCTCAAGTTGCTCC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qAtAPX4-R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GCCTCGAAGTTGATTTGCTGT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qAtAPX5-F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GCATGATGCAGGAACCTATGATG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qAtAPX5-R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ACGGTTTAGCTCTTCCTTGAATCTG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qAtAPX6-F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CGGCCCAACAATTCCAGTAGT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qAtAPX6-R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GAGGTAGCTTGCCTTCTGGATC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qAtAPX7-F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AAGTTACTGGTGGCCCTAAAATTC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qAtAPX7-R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left"/>
              <w:textAlignment w:val="auto"/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font000000001d89059f" w:cs="Times New Roman"/>
                <w:kern w:val="0"/>
                <w:sz w:val="20"/>
                <w:szCs w:val="20"/>
                <w:lang w:bidi="ar"/>
              </w:rPr>
              <w:t>GGGCTTGTCACTCTCAGGAATG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AdvPSUnv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MinionPro-Regular" w:cs="Times New Roman"/>
          <w:kern w:val="0"/>
          <w:sz w:val="20"/>
          <w:szCs w:val="20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Times New Roman" w:hAnsi="Times New Roman" w:eastAsia="宋体" w:cs="Times New Roman"/>
          <w:sz w:val="20"/>
          <w:szCs w:val="2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font000000001d89059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宋体"/>
    <w:panose1 w:val="02040503050306020203"/>
    <w:charset w:val="86"/>
    <w:family w:val="auto"/>
    <w:pitch w:val="default"/>
    <w:sig w:usb0="00000000" w:usb1="00000000" w:usb2="00000010" w:usb3="00000000" w:csb0="00040000" w:csb1="00000000"/>
  </w:font>
  <w:font w:name="AdvPSUnv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7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F7DBE"/>
    <w:rsid w:val="6C892274"/>
    <w:rsid w:val="7CD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styleId="2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kern w:val="15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customStyle="1" w:styleId="7">
    <w:name w:val="MDPI_7.1_References"/>
    <w:basedOn w:val="8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8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2020-04-15T15:56:00Z</dcterms:created>
  <dc:creator>xamsy</dc:creator>
  <cp:lastModifiedBy>夏天</cp:lastModifiedBy>
  <dcterms:modified xsi:type="dcterms:W3CDTF">2020-11-29T14:39:30Z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