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6D9BA" w14:textId="77777777" w:rsidR="007D6FAC" w:rsidRPr="009B3B8F" w:rsidRDefault="007D6FAC" w:rsidP="007D6FAC">
      <w:pPr>
        <w:pStyle w:val="ListParagraph"/>
        <w:numPr>
          <w:ilvl w:val="1"/>
          <w:numId w:val="1"/>
        </w:numPr>
        <w:ind w:firstLineChars="0"/>
        <w:rPr>
          <w:rFonts w:ascii="Times New Roman" w:hAnsi="Times New Roman" w:cs="Times New Roman"/>
          <w:b/>
          <w:szCs w:val="21"/>
        </w:rPr>
      </w:pPr>
      <w:r w:rsidRPr="009B3B8F">
        <w:rPr>
          <w:rFonts w:ascii="Times New Roman" w:hAnsi="Times New Roman" w:cs="Times New Roman"/>
          <w:b/>
          <w:szCs w:val="21"/>
        </w:rPr>
        <w:t>Data Sources</w:t>
      </w:r>
    </w:p>
    <w:p w14:paraId="46BB717D" w14:textId="77777777" w:rsidR="007D6FAC" w:rsidRPr="009B3B8F" w:rsidRDefault="007D6FAC" w:rsidP="007D6FAC">
      <w:pPr>
        <w:rPr>
          <w:rFonts w:ascii="Times New Roman" w:hAnsi="Times New Roman" w:cs="Times New Roman"/>
          <w:szCs w:val="21"/>
        </w:rPr>
      </w:pPr>
      <w:r w:rsidRPr="009B3B8F">
        <w:rPr>
          <w:rFonts w:ascii="Times New Roman" w:hAnsi="Times New Roman" w:cs="Times New Roman"/>
          <w:szCs w:val="21"/>
        </w:rPr>
        <w:t>The 4</w:t>
      </w:r>
      <w:r w:rsidRPr="009B3B8F">
        <w:rPr>
          <w:rFonts w:ascii="Times New Roman" w:hAnsi="Times New Roman" w:cs="Times New Roman"/>
          <w:szCs w:val="21"/>
          <w:vertAlign w:val="superscript"/>
        </w:rPr>
        <w:t>th</w:t>
      </w:r>
      <w:r w:rsidRPr="009B3B8F">
        <w:rPr>
          <w:rFonts w:ascii="Times New Roman" w:hAnsi="Times New Roman" w:cs="Times New Roman"/>
          <w:szCs w:val="21"/>
        </w:rPr>
        <w:t xml:space="preserve"> NOHES in China was a pathfinding survey used a multistage, random, stratified, equal volume sampling method. Groups of 35-44 years old and 65-74 years old adults were selected representing young adults and the elderly under the WHO guideline. A 55-65 </w:t>
      </w:r>
      <w:proofErr w:type="gramStart"/>
      <w:r w:rsidRPr="009B3B8F">
        <w:rPr>
          <w:rFonts w:ascii="Times New Roman" w:hAnsi="Times New Roman" w:cs="Times New Roman"/>
          <w:szCs w:val="21"/>
        </w:rPr>
        <w:t>years</w:t>
      </w:r>
      <w:proofErr w:type="gramEnd"/>
      <w:r w:rsidRPr="009B3B8F">
        <w:rPr>
          <w:rFonts w:ascii="Times New Roman" w:hAnsi="Times New Roman" w:cs="Times New Roman"/>
          <w:szCs w:val="21"/>
        </w:rPr>
        <w:t xml:space="preserve"> old group was additionally investigated to know more about the middle-aged. All 13,464 participants were included as a representative sample of Chinese adults. The detailed sampling methods can be found in the series of publication</w:t>
      </w:r>
      <w:r w:rsidRPr="009B3B8F">
        <w:rPr>
          <w:rFonts w:ascii="Times New Roman" w:eastAsiaTheme="minorEastAsia" w:hAnsi="Times New Roman" w:cs="Times New Roman"/>
          <w:szCs w:val="21"/>
        </w:rPr>
        <w:t>s</w:t>
      </w:r>
      <w:r w:rsidRPr="009B3B8F">
        <w:rPr>
          <w:rFonts w:ascii="Times New Roman" w:hAnsi="Times New Roman" w:cs="Times New Roman"/>
          <w:szCs w:val="21"/>
        </w:rPr>
        <w:fldChar w:fldCharType="begin"/>
      </w:r>
      <w:r w:rsidRPr="009B3B8F">
        <w:rPr>
          <w:rFonts w:ascii="Times New Roman" w:hAnsi="Times New Roman" w:cs="Times New Roman"/>
          <w:szCs w:val="21"/>
        </w:rPr>
        <w:instrText xml:space="preserve"> ADDIN EN.CITE &lt;EndNote&gt;&lt;Cite&gt;&lt;Author&gt;Lu&lt;/Author&gt;&lt;Year&gt;2018&lt;/Year&gt;&lt;RecNum&gt;159&lt;/RecNum&gt;&lt;DisplayText&gt;[14]&lt;/DisplayText&gt;&lt;record&gt;&lt;rec-number&gt;159&lt;/rec-number&gt;&lt;foreign-keys&gt;&lt;key app="EN" db-id="9fxw505am52fzpeppzfvdr57x2ez9f5svxpv" timestamp="1555739275"&gt;159&lt;/key&gt;&lt;/foreign-keys&gt;&lt;ref-type name="Journal Article"&gt;17&lt;/ref-type&gt;&lt;contributors&gt;&lt;authors&gt;&lt;author&gt;Lu, H. X.&lt;/author&gt;&lt;author&gt;Tao, D. Y.&lt;/author&gt;&lt;author&gt;Lo, E. C. M.&lt;/author&gt;&lt;author&gt;Li, R.&lt;/author&gt;&lt;author&gt;Wang, X.&lt;/author&gt;&lt;author&gt;Tai, B. J.&lt;/author&gt;&lt;author&gt;Hu, Y.&lt;/author&gt;&lt;author&gt;Lin, H. C.&lt;/author&gt;&lt;author&gt;Wang, B.&lt;/author&gt;&lt;author&gt;Si, Y.&lt;/author&gt;&lt;author&gt;Wang, C. X.&lt;/author&gt;&lt;author&gt;Zheng, S. G.&lt;/author&gt;&lt;author&gt;Liu, X. N.&lt;/author&gt;&lt;author&gt;Rong, W. S.&lt;/author&gt;&lt;author&gt;Wang, W. J.&lt;/author&gt;&lt;author&gt;Feng, X. P.&lt;/author&gt;&lt;/authors&gt;&lt;/contributors&gt;&lt;titles&gt;&lt;title&gt;The 4th National Oral Health Survey in the Mainland of China: Background and Methodology&lt;/title&gt;&lt;secondary-title&gt;Chin J Dent Res&lt;/secondary-title&gt;&lt;/titles&gt;&lt;periodical&gt;&lt;full-title&gt;Chin J Dent Res&lt;/full-title&gt;&lt;/periodical&gt;&lt;pages&gt;161-165&lt;/pages&gt;&lt;volume&gt;21&lt;/volume&gt;&lt;number&gt;3&lt;/number&gt;&lt;keywords&gt;&lt;keyword&gt;China&lt;/keyword&gt;&lt;keyword&gt;epidemiology&lt;/keyword&gt;&lt;keyword&gt;methodology&lt;/keyword&gt;&lt;keyword&gt;the 4th National Oral Health Survey&lt;/keyword&gt;&lt;/keywords&gt;&lt;dates&gt;&lt;year&gt;2018&lt;/year&gt;&lt;/dates&gt;&lt;isbn&gt;1462-6446 (Print)&amp;#xD;1462-6446 (Linking)&lt;/isbn&gt;&lt;accession-num&gt;30255167&lt;/accession-num&gt;&lt;urls&gt;&lt;related-urls&gt;&lt;url&gt;https://www.ncbi.nlm.nih.gov/pubmed/30255167&lt;/url&gt;&lt;/related-urls&gt;&lt;/urls&gt;&lt;electronic-resource-num&gt;10.3290/j.cjdr.a41079&lt;/electronic-resource-num&gt;&lt;/record&gt;&lt;/Cite&gt;&lt;/EndNote&gt;</w:instrText>
      </w:r>
      <w:r w:rsidRPr="009B3B8F">
        <w:rPr>
          <w:rFonts w:ascii="Times New Roman" w:hAnsi="Times New Roman" w:cs="Times New Roman"/>
          <w:szCs w:val="21"/>
        </w:rPr>
        <w:fldChar w:fldCharType="separate"/>
      </w:r>
      <w:r w:rsidRPr="009B3B8F">
        <w:rPr>
          <w:rFonts w:ascii="Times New Roman" w:hAnsi="Times New Roman" w:cs="Times New Roman"/>
          <w:noProof/>
          <w:szCs w:val="21"/>
        </w:rPr>
        <w:t>[14]</w:t>
      </w:r>
      <w:r w:rsidRPr="009B3B8F">
        <w:rPr>
          <w:rFonts w:ascii="Times New Roman" w:hAnsi="Times New Roman" w:cs="Times New Roman"/>
          <w:szCs w:val="21"/>
        </w:rPr>
        <w:fldChar w:fldCharType="end"/>
      </w:r>
      <w:r w:rsidRPr="009B3B8F">
        <w:rPr>
          <w:rFonts w:ascii="Times New Roman" w:hAnsi="Times New Roman" w:cs="Times New Roman"/>
          <w:szCs w:val="21"/>
        </w:rPr>
        <w:t xml:space="preserve">. Based on the </w:t>
      </w:r>
      <w:r w:rsidRPr="009B3B8F">
        <w:rPr>
          <w:rFonts w:ascii="Times New Roman" w:eastAsiaTheme="minorEastAsia" w:hAnsi="Times New Roman" w:cs="Times New Roman"/>
          <w:szCs w:val="21"/>
        </w:rPr>
        <w:t>5</w:t>
      </w:r>
      <w:r w:rsidRPr="009B3B8F">
        <w:rPr>
          <w:rFonts w:ascii="Times New Roman" w:eastAsiaTheme="minorEastAsia" w:hAnsi="Times New Roman" w:cs="Times New Roman"/>
          <w:szCs w:val="21"/>
          <w:vertAlign w:val="superscript"/>
        </w:rPr>
        <w:t>th</w:t>
      </w:r>
      <w:r w:rsidRPr="009B3B8F">
        <w:rPr>
          <w:rFonts w:ascii="Times New Roman" w:eastAsiaTheme="minorEastAsia" w:hAnsi="Times New Roman" w:cs="Times New Roman"/>
          <w:szCs w:val="21"/>
        </w:rPr>
        <w:t xml:space="preserve"> edition of the </w:t>
      </w:r>
      <w:r w:rsidRPr="009B3B8F">
        <w:rPr>
          <w:rFonts w:ascii="Times New Roman" w:hAnsi="Times New Roman" w:cs="Times New Roman"/>
          <w:szCs w:val="21"/>
        </w:rPr>
        <w:t>WHO Oral Health Survey</w:t>
      </w:r>
      <w:r w:rsidRPr="009B3B8F">
        <w:rPr>
          <w:rFonts w:ascii="Times New Roman" w:hAnsi="Times New Roman" w:cs="Times New Roman"/>
          <w:szCs w:val="21"/>
        </w:rPr>
        <w:fldChar w:fldCharType="begin"/>
      </w:r>
      <w:r w:rsidRPr="009B3B8F">
        <w:rPr>
          <w:rFonts w:ascii="Times New Roman" w:hAnsi="Times New Roman" w:cs="Times New Roman"/>
          <w:szCs w:val="21"/>
        </w:rPr>
        <w:instrText xml:space="preserve"> ADDIN EN.CITE &lt;EndNote&gt;&lt;Cite&gt;&lt;Author&gt;World Health Organization&lt;/Author&gt;&lt;Year&gt;2013&lt;/Year&gt;&lt;RecNum&gt;179&lt;/RecNum&gt;&lt;DisplayText&gt;[15]&lt;/DisplayText&gt;&lt;record&gt;&lt;rec-number&gt;179&lt;/rec-number&gt;&lt;foreign-keys&gt;&lt;key app="EN" db-id="9fxw505am52fzpeppzfvdr57x2ez9f5svxpv" timestamp="1559371006"&gt;179&lt;/key&gt;&lt;/foreign-keys&gt;&lt;ref-type name="Book"&gt;6&lt;/ref-type&gt;&lt;contributors&gt;&lt;authors&gt;&lt;author&gt;World Health Organization,&lt;/author&gt;&lt;/authors&gt;&lt;/contributors&gt;&lt;titles&gt;&lt;title&gt;Oral Health Surveys: Basic Methods. 5th ed&lt;/title&gt;&lt;/titles&gt;&lt;dates&gt;&lt;year&gt;2013&lt;/year&gt;&lt;/dates&gt;&lt;pub-location&gt; Geneva&lt;/pub-location&gt;&lt;publisher&gt;World Health Organization&lt;/publisher&gt;&lt;urls&gt;&lt;/urls&gt;&lt;/record&gt;&lt;/Cite&gt;&lt;/EndNote&gt;</w:instrText>
      </w:r>
      <w:r w:rsidRPr="009B3B8F">
        <w:rPr>
          <w:rFonts w:ascii="Times New Roman" w:hAnsi="Times New Roman" w:cs="Times New Roman"/>
          <w:szCs w:val="21"/>
        </w:rPr>
        <w:fldChar w:fldCharType="separate"/>
      </w:r>
      <w:r w:rsidRPr="009B3B8F">
        <w:rPr>
          <w:rFonts w:ascii="Times New Roman" w:hAnsi="Times New Roman" w:cs="Times New Roman"/>
          <w:noProof/>
          <w:szCs w:val="21"/>
        </w:rPr>
        <w:t>[15]</w:t>
      </w:r>
      <w:r w:rsidRPr="009B3B8F">
        <w:rPr>
          <w:rFonts w:ascii="Times New Roman" w:hAnsi="Times New Roman" w:cs="Times New Roman"/>
          <w:szCs w:val="21"/>
        </w:rPr>
        <w:fldChar w:fldCharType="end"/>
      </w:r>
      <w:r w:rsidRPr="009B3B8F">
        <w:rPr>
          <w:rFonts w:ascii="Times New Roman" w:hAnsi="Times New Roman" w:cs="Times New Roman"/>
          <w:szCs w:val="21"/>
        </w:rPr>
        <w:t>, oral health examination and oral health-related questionnaires were conducted. The 6</w:t>
      </w:r>
      <w:r w:rsidRPr="009B3B8F">
        <w:rPr>
          <w:rFonts w:ascii="Times New Roman" w:hAnsi="Times New Roman" w:cs="Times New Roman"/>
          <w:szCs w:val="21"/>
          <w:vertAlign w:val="superscript"/>
        </w:rPr>
        <w:t>th</w:t>
      </w:r>
      <w:r w:rsidRPr="009B3B8F">
        <w:rPr>
          <w:rFonts w:ascii="Times New Roman" w:hAnsi="Times New Roman" w:cs="Times New Roman"/>
          <w:szCs w:val="21"/>
        </w:rPr>
        <w:t xml:space="preserve"> Census statistics data from the National Bureau of Statistics online</w:t>
      </w:r>
      <w:r w:rsidRPr="009B3B8F">
        <w:rPr>
          <w:rFonts w:ascii="Times New Roman" w:hAnsi="Times New Roman" w:cs="Times New Roman"/>
          <w:szCs w:val="21"/>
        </w:rPr>
        <w:fldChar w:fldCharType="begin"/>
      </w:r>
      <w:r w:rsidRPr="009B3B8F">
        <w:rPr>
          <w:rFonts w:ascii="Times New Roman" w:hAnsi="Times New Roman" w:cs="Times New Roman"/>
          <w:szCs w:val="21"/>
        </w:rPr>
        <w:instrText xml:space="preserve"> ADDIN EN.CITE &lt;EndNote&gt;&lt;Cite&gt;&lt;Author&gt;Jiantang&lt;/Author&gt;&lt;Year&gt;2011&lt;/Year&gt;&lt;RecNum&gt;160&lt;/RecNum&gt;&lt;DisplayText&gt;[16]&lt;/DisplayText&gt;&lt;record&gt;&lt;rec-number&gt;160&lt;/rec-number&gt;&lt;foreign-keys&gt;&lt;key app="EN" db-id="9fxw505am52fzpeppzfvdr57x2ez9f5svxpv" timestamp="1555900919"&gt;160&lt;/key&gt;&lt;/foreign-keys&gt;&lt;ref-type name="Online Database"&gt;45&lt;/ref-type&gt;&lt;contributors&gt;&lt;authors&gt;&lt;author&gt;Jiantang Ma.&lt;/author&gt;&lt;/authors&gt;&lt;/contributors&gt;&lt;titles&gt;&lt;title&gt;TABULATION ON THE POPULATION CENCUS OF THE PEOPLE&amp;apos;S REPUBLIC OF CHINA&lt;/title&gt;&lt;/titles&gt;&lt;dates&gt;&lt;year&gt;2011&lt;/year&gt;&lt;/dates&gt;&lt;pub-location&gt;http://www.stats.gov.cn/tjsj/pcsj/rkpc/6rp/indexch.htm&lt;/pub-location&gt;&lt;publisher&gt;National Bureau of Statistics&lt;/publisher&gt;&lt;urls&gt;&lt;/urls&gt;&lt;/record&gt;&lt;/Cite&gt;&lt;/EndNote&gt;</w:instrText>
      </w:r>
      <w:r w:rsidRPr="009B3B8F">
        <w:rPr>
          <w:rFonts w:ascii="Times New Roman" w:hAnsi="Times New Roman" w:cs="Times New Roman"/>
          <w:szCs w:val="21"/>
        </w:rPr>
        <w:fldChar w:fldCharType="separate"/>
      </w:r>
      <w:r w:rsidRPr="009B3B8F">
        <w:rPr>
          <w:rFonts w:ascii="Times New Roman" w:hAnsi="Times New Roman" w:cs="Times New Roman"/>
          <w:noProof/>
          <w:szCs w:val="21"/>
        </w:rPr>
        <w:t>[16]</w:t>
      </w:r>
      <w:r w:rsidRPr="009B3B8F">
        <w:rPr>
          <w:rFonts w:ascii="Times New Roman" w:hAnsi="Times New Roman" w:cs="Times New Roman"/>
          <w:szCs w:val="21"/>
        </w:rPr>
        <w:fldChar w:fldCharType="end"/>
      </w:r>
      <w:r w:rsidRPr="009B3B8F">
        <w:rPr>
          <w:rFonts w:ascii="Times New Roman" w:hAnsi="Times New Roman" w:cs="Times New Roman"/>
          <w:szCs w:val="21"/>
        </w:rPr>
        <w:t xml:space="preserve"> was used to computed the weight based on the sample’s province, residential location (urban or rural area), age and gender in order to obtain an unbiased estimation</w:t>
      </w:r>
      <w:r w:rsidRPr="009B3B8F">
        <w:rPr>
          <w:rFonts w:ascii="Times New Roman" w:hAnsi="Times New Roman" w:cs="Times New Roman"/>
          <w:szCs w:val="21"/>
        </w:rPr>
        <w:fldChar w:fldCharType="begin">
          <w:fldData xml:space="preserve">PEVuZE5vdGU+PENpdGU+PEF1dGhvcj5DYXBsYW48L0F1dGhvcj48WWVhcj4xOTk5PC9ZZWFyPjxS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</w:fldData>
        </w:fldChar>
      </w:r>
      <w:r w:rsidRPr="009B3B8F">
        <w:rPr>
          <w:rFonts w:ascii="Times New Roman" w:hAnsi="Times New Roman" w:cs="Times New Roman"/>
          <w:szCs w:val="21"/>
        </w:rPr>
        <w:instrText xml:space="preserve"> ADDIN EN.CITE </w:instrText>
      </w:r>
      <w:r w:rsidRPr="009B3B8F">
        <w:rPr>
          <w:rFonts w:ascii="Times New Roman" w:hAnsi="Times New Roman" w:cs="Times New Roman"/>
          <w:szCs w:val="21"/>
        </w:rPr>
        <w:fldChar w:fldCharType="begin">
          <w:fldData xml:space="preserve">PEVuZE5vdGU+PENpdGU+PEF1dGhvcj5DYXBsYW48L0F1dGhvcj48WWVhcj4xOTk5PC9ZZWFyPjxS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</w:fldData>
        </w:fldChar>
      </w:r>
      <w:r w:rsidRPr="009B3B8F">
        <w:rPr>
          <w:rFonts w:ascii="Times New Roman" w:hAnsi="Times New Roman" w:cs="Times New Roman"/>
          <w:szCs w:val="21"/>
        </w:rPr>
        <w:instrText xml:space="preserve"> ADDIN EN.CITE.DATA </w:instrText>
      </w:r>
      <w:r w:rsidRPr="009B3B8F">
        <w:rPr>
          <w:rFonts w:ascii="Times New Roman" w:hAnsi="Times New Roman" w:cs="Times New Roman"/>
          <w:szCs w:val="21"/>
        </w:rPr>
      </w:r>
      <w:r w:rsidRPr="009B3B8F">
        <w:rPr>
          <w:rFonts w:ascii="Times New Roman" w:hAnsi="Times New Roman" w:cs="Times New Roman"/>
          <w:szCs w:val="21"/>
        </w:rPr>
        <w:fldChar w:fldCharType="end"/>
      </w:r>
      <w:r w:rsidRPr="009B3B8F">
        <w:rPr>
          <w:rFonts w:ascii="Times New Roman" w:hAnsi="Times New Roman" w:cs="Times New Roman"/>
          <w:szCs w:val="21"/>
        </w:rPr>
      </w:r>
      <w:r w:rsidRPr="009B3B8F">
        <w:rPr>
          <w:rFonts w:ascii="Times New Roman" w:hAnsi="Times New Roman" w:cs="Times New Roman"/>
          <w:szCs w:val="21"/>
        </w:rPr>
        <w:fldChar w:fldCharType="separate"/>
      </w:r>
      <w:r w:rsidRPr="009B3B8F">
        <w:rPr>
          <w:rFonts w:ascii="Times New Roman" w:hAnsi="Times New Roman" w:cs="Times New Roman"/>
          <w:noProof/>
          <w:szCs w:val="21"/>
        </w:rPr>
        <w:t>[17, 18]</w:t>
      </w:r>
      <w:r w:rsidRPr="009B3B8F">
        <w:rPr>
          <w:rFonts w:ascii="Times New Roman" w:hAnsi="Times New Roman" w:cs="Times New Roman"/>
          <w:szCs w:val="21"/>
        </w:rPr>
        <w:fldChar w:fldCharType="end"/>
      </w:r>
      <w:r w:rsidRPr="009B3B8F">
        <w:rPr>
          <w:rFonts w:ascii="Times New Roman" w:hAnsi="Times New Roman" w:cs="Times New Roman"/>
          <w:szCs w:val="21"/>
        </w:rPr>
        <w:t xml:space="preserve">. </w:t>
      </w:r>
    </w:p>
    <w:p w14:paraId="1FFD95BD" w14:textId="77777777" w:rsidR="007D6FAC" w:rsidRPr="009B3B8F" w:rsidRDefault="007D6FAC" w:rsidP="007D6FAC">
      <w:pPr>
        <w:ind w:firstLineChars="100" w:firstLine="210"/>
        <w:rPr>
          <w:rFonts w:ascii="Times New Roman" w:hAnsi="Times New Roman" w:cs="Times New Roman"/>
          <w:szCs w:val="21"/>
        </w:rPr>
      </w:pPr>
      <w:r w:rsidRPr="009B3B8F">
        <w:rPr>
          <w:rFonts w:ascii="Times New Roman" w:hAnsi="Times New Roman" w:cs="Times New Roman"/>
          <w:szCs w:val="21"/>
        </w:rPr>
        <w:t xml:space="preserve">Ethical approval (Approval No: 2014-003) for the study was received from the Ethics Committee of Chinese </w:t>
      </w:r>
      <w:proofErr w:type="spellStart"/>
      <w:r w:rsidRPr="009B3B8F">
        <w:rPr>
          <w:rFonts w:ascii="Times New Roman" w:hAnsi="Times New Roman" w:cs="Times New Roman"/>
          <w:szCs w:val="21"/>
        </w:rPr>
        <w:t>Stomatological</w:t>
      </w:r>
      <w:proofErr w:type="spellEnd"/>
      <w:r w:rsidRPr="009B3B8F">
        <w:rPr>
          <w:rFonts w:ascii="Times New Roman" w:hAnsi="Times New Roman" w:cs="Times New Roman"/>
          <w:szCs w:val="21"/>
        </w:rPr>
        <w:t xml:space="preserve"> Association and informed consent was obtained.</w:t>
      </w:r>
    </w:p>
    <w:p w14:paraId="5E663885" w14:textId="77777777" w:rsidR="007D6FAC" w:rsidRPr="009B3B8F" w:rsidRDefault="007D6FAC" w:rsidP="007D6FAC">
      <w:pPr>
        <w:pStyle w:val="ListParagraph"/>
        <w:numPr>
          <w:ilvl w:val="1"/>
          <w:numId w:val="1"/>
        </w:numPr>
        <w:ind w:firstLineChars="0"/>
        <w:rPr>
          <w:rFonts w:ascii="Times New Roman" w:hAnsi="Times New Roman" w:cs="Times New Roman"/>
          <w:b/>
          <w:szCs w:val="21"/>
        </w:rPr>
      </w:pPr>
      <w:r w:rsidRPr="009B3B8F">
        <w:rPr>
          <w:rFonts w:ascii="Times New Roman" w:hAnsi="Times New Roman" w:cs="Times New Roman"/>
          <w:b/>
          <w:szCs w:val="21"/>
        </w:rPr>
        <w:t>Expenditure estimation and distribution of health insurance</w:t>
      </w:r>
    </w:p>
    <w:p w14:paraId="12931D63" w14:textId="77777777" w:rsidR="007D6FAC" w:rsidRPr="009B3B8F" w:rsidRDefault="007D6FAC" w:rsidP="007D6FAC">
      <w:pPr>
        <w:rPr>
          <w:rFonts w:ascii="Times New Roman" w:eastAsiaTheme="minorEastAsia" w:hAnsi="Times New Roman" w:cs="Times New Roman"/>
          <w:szCs w:val="21"/>
        </w:rPr>
      </w:pPr>
      <w:r w:rsidRPr="009B3B8F">
        <w:rPr>
          <w:rFonts w:ascii="Times New Roman" w:eastAsiaTheme="minorEastAsia" w:hAnsi="Times New Roman" w:cs="Times New Roman"/>
          <w:szCs w:val="21"/>
        </w:rPr>
        <w:t>The questions for dental expenditure and out-of-pocket payment were given as “How much have you paid for a dental visit last year?” and “What was the self-paid ratio in the above dental expenditure?” The health insurance payment was calculated as the difference between total expenditure and out-of-pocket payment. I</w:t>
      </w:r>
      <w:r w:rsidRPr="009B3B8F">
        <w:rPr>
          <w:rFonts w:ascii="Times New Roman" w:hAnsi="Times New Roman" w:cs="Times New Roman"/>
          <w:szCs w:val="21"/>
        </w:rPr>
        <w:t>nformation like household income and expenditure was avoided because of privacy concerns</w:t>
      </w:r>
      <w:r w:rsidRPr="009B3B8F">
        <w:rPr>
          <w:rFonts w:ascii="Times New Roman" w:eastAsiaTheme="minorEastAsia" w:hAnsi="Times New Roman" w:cs="Times New Roman"/>
          <w:szCs w:val="21"/>
        </w:rPr>
        <w:t xml:space="preserve">, </w:t>
      </w:r>
      <w:r w:rsidRPr="009B3B8F">
        <w:rPr>
          <w:rFonts w:ascii="Times New Roman" w:hAnsi="Times New Roman" w:cs="Times New Roman"/>
          <w:szCs w:val="21"/>
        </w:rPr>
        <w:t xml:space="preserve">the demographic and socioeconomic characteristics of these 15.5% participants who did not report the two key information were unbalanced with the total population, missing values of key variables were filled by medians. </w:t>
      </w:r>
      <w:r w:rsidRPr="009B3B8F">
        <w:rPr>
          <w:rFonts w:ascii="Times New Roman" w:eastAsiaTheme="minorEastAsia" w:hAnsi="Times New Roman" w:cs="Times New Roman"/>
          <w:szCs w:val="21"/>
        </w:rPr>
        <w:t>Dental expenditure incurred when participants used dental service. Only 2740 people of the total 13464 participants used dental services in the past year and the expenditures of these two populations were both estimated. The expenditure was converted according to the 2016 Chinese Yuan (RMB) to the USD exchange rate that 100USD was equivalent to 664.23RMB.</w:t>
      </w:r>
      <w:r w:rsidRPr="009B3B8F">
        <w:rPr>
          <w:rFonts w:ascii="Times New Roman" w:eastAsia="DengXian" w:hAnsi="Times New Roman" w:cs="Times New Roman"/>
          <w:kern w:val="0"/>
          <w:szCs w:val="21"/>
        </w:rPr>
        <w:t xml:space="preserve"> According to the data from the National Bureau of Statistics, the medical expenditure per capita was equivalent to 504.61USD(</w:t>
      </w:r>
      <w:hyperlink r:id="rId5" w:history="1">
        <w:r w:rsidRPr="009B3B8F">
          <w:rPr>
            <w:rStyle w:val="Hyperlink"/>
            <w:rFonts w:ascii="Times New Roman" w:hAnsi="Times New Roman" w:cs="Times New Roman"/>
            <w:szCs w:val="21"/>
          </w:rPr>
          <w:t>http://data.stats.gov.cn/easyquery.htm?cn=C01&amp;zb=A0O0K&amp;sj=2016</w:t>
        </w:r>
      </w:hyperlink>
      <w:r w:rsidRPr="009B3B8F">
        <w:rPr>
          <w:rFonts w:ascii="Times New Roman" w:eastAsia="DengXian" w:hAnsi="Times New Roman" w:cs="Times New Roman"/>
          <w:kern w:val="0"/>
          <w:szCs w:val="21"/>
        </w:rPr>
        <w:t xml:space="preserve">) and the dental expenditure per capita as a proportion of it was roughly calculated. </w:t>
      </w:r>
    </w:p>
    <w:p w14:paraId="30DB14FD" w14:textId="77777777" w:rsidR="007D6FAC" w:rsidRPr="009B3B8F" w:rsidRDefault="007D6FAC" w:rsidP="007D6FAC">
      <w:pPr>
        <w:ind w:firstLineChars="100" w:firstLine="210"/>
        <w:rPr>
          <w:rFonts w:ascii="Times New Roman" w:eastAsiaTheme="minorEastAsia" w:hAnsi="Times New Roman" w:cs="Times New Roman"/>
          <w:szCs w:val="21"/>
        </w:rPr>
      </w:pPr>
      <w:r w:rsidRPr="009B3B8F">
        <w:rPr>
          <w:rFonts w:ascii="Times New Roman" w:eastAsiaTheme="minorEastAsia" w:hAnsi="Times New Roman" w:cs="Times New Roman"/>
          <w:szCs w:val="21"/>
        </w:rPr>
        <w:t xml:space="preserve">The basic medical insurance consists of urban employee basic medical insurance (UEBMI), urban resident basic medical </w:t>
      </w:r>
      <w:proofErr w:type="gramStart"/>
      <w:r w:rsidRPr="009B3B8F">
        <w:rPr>
          <w:rFonts w:ascii="Times New Roman" w:eastAsiaTheme="minorEastAsia" w:hAnsi="Times New Roman" w:cs="Times New Roman"/>
          <w:szCs w:val="21"/>
        </w:rPr>
        <w:t>insurance(</w:t>
      </w:r>
      <w:proofErr w:type="gramEnd"/>
      <w:r w:rsidRPr="009B3B8F">
        <w:rPr>
          <w:rFonts w:ascii="Times New Roman" w:eastAsiaTheme="minorEastAsia" w:hAnsi="Times New Roman" w:cs="Times New Roman"/>
          <w:szCs w:val="21"/>
        </w:rPr>
        <w:t>URBMI) and new rural cooperative medical care(NRCMC). Other health insurance</w:t>
      </w:r>
      <w:r w:rsidRPr="009B3B8F">
        <w:rPr>
          <w:rFonts w:ascii="Times New Roman" w:eastAsiaTheme="minorEastAsia" w:hAnsi="Times New Roman" w:cs="Times New Roman" w:hint="eastAsia"/>
          <w:szCs w:val="21"/>
        </w:rPr>
        <w:t>s</w:t>
      </w:r>
      <w:r w:rsidRPr="009B3B8F">
        <w:rPr>
          <w:rFonts w:ascii="Times New Roman" w:eastAsiaTheme="minorEastAsia" w:hAnsi="Times New Roman" w:cs="Times New Roman"/>
          <w:szCs w:val="21"/>
        </w:rPr>
        <w:t xml:space="preserve"> include government medical insurance for government officials and private commercial health insurance, accounting for a small proportion. The UEBMI is covered by urban employees and has the highest reimbursement ratio and the highest paid premiums. The URBMI and the NRCMC are covered by urban and rural residents based on household registration, respectively. The URBMI has higher reimbursement in hospitalization and outpatient treatment for severe diseases than NRCMC. Among the public health insurance, many basic oral</w:t>
      </w:r>
      <w:r w:rsidRPr="009B3B8F">
        <w:rPr>
          <w:szCs w:val="21"/>
        </w:rPr>
        <w:t xml:space="preserve"> </w:t>
      </w:r>
      <w:r w:rsidRPr="009B3B8F">
        <w:rPr>
          <w:rFonts w:ascii="Times New Roman" w:eastAsiaTheme="minorEastAsia" w:hAnsi="Times New Roman" w:cs="Times New Roman"/>
          <w:szCs w:val="21"/>
        </w:rPr>
        <w:t xml:space="preserve">therapeutic services have been included or adjusted in the catalog </w:t>
      </w:r>
      <w:r w:rsidRPr="009B3B8F">
        <w:rPr>
          <w:rFonts w:ascii="Times New Roman" w:hAnsi="Times New Roman" w:cs="Times New Roman"/>
          <w:szCs w:val="21"/>
          <w:shd w:val="clear" w:color="auto" w:fill="FFFFFF"/>
        </w:rPr>
        <w:t>of</w:t>
      </w:r>
      <w:r w:rsidRPr="009B3B8F">
        <w:rPr>
          <w:rFonts w:ascii="Arial" w:hAnsi="Arial" w:cs="Arial"/>
          <w:szCs w:val="21"/>
          <w:shd w:val="clear" w:color="auto" w:fill="FFFFFF"/>
        </w:rPr>
        <w:t xml:space="preserve"> </w:t>
      </w:r>
      <w:r w:rsidRPr="009B3B8F">
        <w:rPr>
          <w:rFonts w:ascii="Times New Roman" w:eastAsiaTheme="minorEastAsia" w:hAnsi="Times New Roman" w:cs="Times New Roman"/>
          <w:szCs w:val="21"/>
        </w:rPr>
        <w:t xml:space="preserve">basic medical insurance. However, the thresholds and reimbursement for different types of insurance are different. </w:t>
      </w:r>
    </w:p>
    <w:p w14:paraId="5FC10653" w14:textId="77777777" w:rsidR="007D6FAC" w:rsidRPr="009B3B8F" w:rsidRDefault="007D6FAC" w:rsidP="007D6FAC">
      <w:pPr>
        <w:pStyle w:val="ListParagraph"/>
        <w:numPr>
          <w:ilvl w:val="1"/>
          <w:numId w:val="1"/>
        </w:numPr>
        <w:ind w:firstLineChars="0"/>
        <w:rPr>
          <w:rFonts w:ascii="Times New Roman" w:hAnsi="Times New Roman" w:cs="Times New Roman"/>
          <w:b/>
          <w:szCs w:val="21"/>
        </w:rPr>
      </w:pPr>
      <w:r w:rsidRPr="009B3B8F">
        <w:rPr>
          <w:rFonts w:ascii="Times New Roman" w:hAnsi="Times New Roman" w:cs="Times New Roman"/>
          <w:b/>
          <w:szCs w:val="21"/>
        </w:rPr>
        <w:t>Horizontal inequality and progressivity</w:t>
      </w:r>
    </w:p>
    <w:p w14:paraId="0B1C84E2" w14:textId="77777777" w:rsidR="007D6FAC" w:rsidRPr="009B3B8F" w:rsidRDefault="007D6FAC" w:rsidP="007D6FAC">
      <w:pPr>
        <w:autoSpaceDE w:val="0"/>
        <w:autoSpaceDN w:val="0"/>
        <w:adjustRightInd w:val="0"/>
        <w:jc w:val="left"/>
        <w:rPr>
          <w:rFonts w:ascii="Times New Roman" w:hAnsi="Times New Roman" w:cs="Times New Roman"/>
          <w:szCs w:val="21"/>
        </w:rPr>
      </w:pPr>
      <w:r w:rsidRPr="009B3B8F">
        <w:rPr>
          <w:rFonts w:ascii="Times New Roman" w:hAnsi="Times New Roman" w:cs="Times New Roman"/>
          <w:szCs w:val="21"/>
        </w:rPr>
        <w:lastRenderedPageBreak/>
        <w:t xml:space="preserve">The inequality can be assessed through </w:t>
      </w:r>
      <w:r w:rsidRPr="009B3B8F">
        <w:rPr>
          <w:rFonts w:ascii="Palatino-Roman" w:eastAsiaTheme="minorEastAsia" w:hAnsi="Palatino-Roman" w:cs="Palatino-Roman"/>
          <w:kern w:val="0"/>
          <w:szCs w:val="21"/>
        </w:rPr>
        <w:t>variation in interest</w:t>
      </w:r>
      <w:r w:rsidRPr="009B3B8F">
        <w:rPr>
          <w:rFonts w:ascii="Palatino-Roman" w:eastAsiaTheme="minorEastAsia" w:hAnsi="Palatino-Roman" w:cs="Palatino-Roman" w:hint="eastAsia"/>
          <w:kern w:val="0"/>
          <w:szCs w:val="21"/>
        </w:rPr>
        <w:t>ing</w:t>
      </w:r>
      <w:r w:rsidRPr="009B3B8F">
        <w:rPr>
          <w:rFonts w:ascii="Palatino-Roman" w:eastAsiaTheme="minorEastAsia" w:hAnsi="Palatino-Roman" w:cs="Palatino-Roman"/>
          <w:kern w:val="0"/>
          <w:szCs w:val="21"/>
        </w:rPr>
        <w:t xml:space="preserve"> variables such as health needs, medical services and expenditure across quintiles of income</w:t>
      </w:r>
      <w:r w:rsidRPr="009B3B8F">
        <w:rPr>
          <w:rFonts w:ascii="Palatino-Roman" w:eastAsiaTheme="minorEastAsia" w:hAnsi="Palatino-Roman" w:cs="Palatino-Roman"/>
          <w:kern w:val="0"/>
          <w:szCs w:val="21"/>
        </w:rPr>
        <w:fldChar w:fldCharType="begin"/>
      </w:r>
      <w:r w:rsidRPr="009B3B8F">
        <w:rPr>
          <w:rFonts w:ascii="Palatino-Roman" w:eastAsiaTheme="minorEastAsia" w:hAnsi="Palatino-Roman" w:cs="Palatino-Roman"/>
          <w:kern w:val="0"/>
          <w:szCs w:val="21"/>
        </w:rPr>
        <w:instrText xml:space="preserve"> ADDIN EN.CITE &lt;EndNote&gt;&lt;Cite&gt;&lt;Author&gt;Owen O&amp;apos;Donnell&lt;/Author&gt;&lt;Year&gt;2007&lt;/Year&gt;&lt;RecNum&gt;33&lt;/RecNum&gt;&lt;DisplayText&gt;[19]&lt;/DisplayText&gt;&lt;record&gt;&lt;rec-number&gt;33&lt;/rec-number&gt;&lt;foreign-keys&gt;&lt;key app="EN" db-id="sadtezrw7f50aeetdx1p5fzdtwt5d25zvafx" timestamp="1543932396"&gt;33&lt;/key&gt;&lt;/foreign-keys&gt;&lt;ref-type name="Journal Article"&gt;17&lt;/ref-type&gt;&lt;contributors&gt;&lt;authors&gt;&lt;author&gt;Owen O&amp;apos;Donnell, &lt;/author&gt;&lt;author&gt;Eddy van Doorslaer, &lt;/author&gt;&lt;author&gt;Adam Wagstaff, &lt;/author&gt;&lt;author&gt;Magnus Lindelow&lt;/author&gt;&lt;/authors&gt;&lt;/contributors&gt;&lt;titles&gt;&lt;title&gt;Analyzing Health Equity Using Household Survey Data: A Guide to Techniques and Their Implementation&lt;/title&gt;&lt;secondary-title&gt;The World Bank&lt;/secondary-title&gt;&lt;/titles&gt;&lt;periodical&gt;&lt;full-title&gt;The World Bank&lt;/full-title&gt;&lt;/periodical&gt;&lt;dates&gt;&lt;year&gt;2007&lt;/year&gt;&lt;/dates&gt;&lt;urls&gt;&lt;/urls&gt;&lt;/record&gt;&lt;/Cite&gt;&lt;/EndNote&gt;</w:instrText>
      </w:r>
      <w:r w:rsidRPr="009B3B8F">
        <w:rPr>
          <w:rFonts w:ascii="Palatino-Roman" w:eastAsiaTheme="minorEastAsia" w:hAnsi="Palatino-Roman" w:cs="Palatino-Roman"/>
          <w:kern w:val="0"/>
          <w:szCs w:val="21"/>
        </w:rPr>
        <w:fldChar w:fldCharType="separate"/>
      </w:r>
      <w:r w:rsidRPr="009B3B8F">
        <w:rPr>
          <w:rFonts w:ascii="Palatino-Roman" w:eastAsiaTheme="minorEastAsia" w:hAnsi="Palatino-Roman" w:cs="Palatino-Roman"/>
          <w:noProof/>
          <w:kern w:val="0"/>
          <w:szCs w:val="21"/>
        </w:rPr>
        <w:t>[19]</w:t>
      </w:r>
      <w:r w:rsidRPr="009B3B8F">
        <w:rPr>
          <w:rFonts w:ascii="Palatino-Roman" w:eastAsiaTheme="minorEastAsia" w:hAnsi="Palatino-Roman" w:cs="Palatino-Roman"/>
          <w:kern w:val="0"/>
          <w:szCs w:val="21"/>
        </w:rPr>
        <w:fldChar w:fldCharType="end"/>
      </w:r>
      <w:r w:rsidRPr="009B3B8F">
        <w:rPr>
          <w:rFonts w:ascii="Times New Roman" w:hAnsi="Times New Roman" w:cs="Times New Roman"/>
          <w:szCs w:val="21"/>
        </w:rPr>
        <w:t>. In the household income quintiles figure, participants are sorted by household income from poor to rich and divided evenly into five groups. As income increase, the change of expenditure, oral health need, and dental service indicated whether inequality exists. And this figure will give an intuitive, qualitative description of inequality.</w:t>
      </w:r>
      <w:r w:rsidRPr="009B3B8F">
        <w:rPr>
          <w:rFonts w:ascii="Times New Roman" w:eastAsiaTheme="minorEastAsia" w:hAnsi="Times New Roman" w:cs="Times New Roman"/>
          <w:szCs w:val="21"/>
        </w:rPr>
        <w:t xml:space="preserve"> </w:t>
      </w:r>
      <w:r w:rsidRPr="009B3B8F">
        <w:rPr>
          <w:rFonts w:ascii="Times New Roman" w:hAnsi="Times New Roman" w:cs="Times New Roman"/>
          <w:szCs w:val="21"/>
        </w:rPr>
        <w:t xml:space="preserve">Besides, a complete picture can be drawn by concentration curves. And the associated horizontal inequality index and </w:t>
      </w:r>
      <w:proofErr w:type="spellStart"/>
      <w:r w:rsidRPr="009B3B8F">
        <w:rPr>
          <w:rFonts w:ascii="Times New Roman" w:hAnsi="Times New Roman" w:cs="Times New Roman"/>
          <w:szCs w:val="21"/>
        </w:rPr>
        <w:t>Kakwani</w:t>
      </w:r>
      <w:proofErr w:type="spellEnd"/>
      <w:r w:rsidRPr="009B3B8F">
        <w:rPr>
          <w:rFonts w:ascii="Times New Roman" w:hAnsi="Times New Roman" w:cs="Times New Roman"/>
          <w:szCs w:val="21"/>
        </w:rPr>
        <w:t xml:space="preserve"> index are described as follows</w:t>
      </w:r>
      <w:r w:rsidRPr="009B3B8F">
        <w:rPr>
          <w:rFonts w:asciiTheme="minorEastAsia" w:eastAsiaTheme="minorEastAsia" w:hAnsiTheme="minorEastAsia" w:cs="Times New Roman" w:hint="eastAsia"/>
          <w:szCs w:val="21"/>
        </w:rPr>
        <w:t>:</w:t>
      </w:r>
      <w:r w:rsidRPr="009B3B8F">
        <w:rPr>
          <w:rFonts w:ascii="Times New Roman" w:hAnsi="Times New Roman" w:cs="Times New Roman"/>
          <w:szCs w:val="21"/>
        </w:rPr>
        <w:t xml:space="preserve"> </w:t>
      </w:r>
    </w:p>
    <w:p w14:paraId="602286B3" w14:textId="77777777" w:rsidR="007D6FAC" w:rsidRPr="009B3B8F" w:rsidRDefault="007D6FAC" w:rsidP="007D6FAC">
      <w:pPr>
        <w:rPr>
          <w:rFonts w:ascii="Times New Roman" w:hAnsi="Times New Roman" w:cs="Times New Roman"/>
          <w:szCs w:val="21"/>
        </w:rPr>
      </w:pPr>
      <w:r w:rsidRPr="009B3B8F">
        <w:rPr>
          <w:rFonts w:ascii="Times New Roman" w:hAnsi="Times New Roman" w:cs="Times New Roman"/>
          <w:szCs w:val="21"/>
        </w:rPr>
        <w:t xml:space="preserve"> The horizontal equality indicates that people with equal health need to obtain equal medical care</w:t>
      </w:r>
      <w:r w:rsidRPr="009B3B8F">
        <w:rPr>
          <w:rFonts w:ascii="Times New Roman" w:hAnsi="Times New Roman" w:cs="Times New Roman"/>
          <w:szCs w:val="21"/>
        </w:rPr>
        <w:fldChar w:fldCharType="begin"/>
      </w:r>
      <w:r w:rsidRPr="009B3B8F">
        <w:rPr>
          <w:rFonts w:ascii="Times New Roman" w:hAnsi="Times New Roman" w:cs="Times New Roman"/>
          <w:szCs w:val="21"/>
        </w:rPr>
        <w:instrText xml:space="preserve"> ADDIN EN.CITE &lt;EndNote&gt;&lt;Cite&gt;&lt;Author&gt;Wagstaff&lt;/Author&gt;&lt;Year&gt;1991&lt;/Year&gt;&lt;RecNum&gt;294&lt;/RecNum&gt;&lt;DisplayText&gt;[20]&lt;/DisplayText&gt;&lt;record&gt;&lt;rec-number&gt;294&lt;/rec-number&gt;&lt;foreign-keys&gt;&lt;key app="EN" db-id="9fxw505am52fzpeppzfvdr57x2ez9f5svxpv" timestamp="1576288159"&gt;294&lt;/key&gt;&lt;/foreign-keys&gt;&lt;ref-type name="Journal Article"&gt;17&lt;/ref-type&gt;&lt;contributors&gt;&lt;authors&gt;&lt;author&gt;Wagstaff, A.&lt;/author&gt;&lt;author&gt;van Doorslaer, E.&lt;/author&gt;&lt;author&gt;Paci, P.&lt;/author&gt;&lt;/authors&gt;&lt;/contributors&gt;&lt;auth-address&gt;University of Sussex, Brighton, UK.&lt;/auth-address&gt;&lt;titles&gt;&lt;title&gt;On the measurement of horizontal inequity in the delivery of health care&lt;/title&gt;&lt;secondary-title&gt;J Health Econ&lt;/secondary-title&gt;&lt;/titles&gt;&lt;periodical&gt;&lt;full-title&gt;J Health Econ&lt;/full-title&gt;&lt;/periodical&gt;&lt;pages&gt;169-205; discussion 247-9, 251-6&lt;/pages&gt;&lt;volume&gt;10&lt;/volume&gt;&lt;number&gt;2&lt;/number&gt;&lt;keywords&gt;&lt;keyword&gt;Acute Disease&lt;/keyword&gt;&lt;keyword&gt;Chronic Disease&lt;/keyword&gt;&lt;keyword&gt;Cross-Cultural Comparison&lt;/keyword&gt;&lt;keyword&gt;Delivery of Health Care/*standards&lt;/keyword&gt;&lt;keyword&gt;Demography&lt;/keyword&gt;&lt;keyword&gt;Europe&lt;/keyword&gt;&lt;keyword&gt;Health Expenditures/*statistics &amp;amp; numerical data&lt;/keyword&gt;&lt;keyword&gt;Health Services Research/*methods&lt;/keyword&gt;&lt;keyword&gt;Humans&lt;/keyword&gt;&lt;keyword&gt;Models, Statistical&lt;/keyword&gt;&lt;keyword&gt;Regression Analysis&lt;/keyword&gt;&lt;keyword&gt;*Social Justice&lt;/keyword&gt;&lt;keyword&gt;Socioeconomic Factors&lt;/keyword&gt;&lt;/keywords&gt;&lt;dates&gt;&lt;year&gt;1991&lt;/year&gt;&lt;pub-dates&gt;&lt;date&gt;Jul&lt;/date&gt;&lt;/pub-dates&gt;&lt;/dates&gt;&lt;isbn&gt;0167-6296 (Print)&amp;#xD;0167-6296 (Linking)&lt;/isbn&gt;&lt;accession-num&gt;10113709&lt;/accession-num&gt;&lt;urls&gt;&lt;related-urls&gt;&lt;url&gt;https://www.ncbi.nlm.nih.gov/pubmed/10113709&lt;/url&gt;&lt;/related-urls&gt;&lt;/urls&gt;&lt;electronic-resource-num&gt;10.1016/0167-6296(91)90003-6&lt;/electronic-resource-num&gt;&lt;/record&gt;&lt;/Cite&gt;&lt;/EndNote&gt;</w:instrText>
      </w:r>
      <w:r w:rsidRPr="009B3B8F">
        <w:rPr>
          <w:rFonts w:ascii="Times New Roman" w:hAnsi="Times New Roman" w:cs="Times New Roman"/>
          <w:szCs w:val="21"/>
        </w:rPr>
        <w:fldChar w:fldCharType="separate"/>
      </w:r>
      <w:r w:rsidRPr="009B3B8F">
        <w:rPr>
          <w:rFonts w:ascii="Times New Roman" w:hAnsi="Times New Roman" w:cs="Times New Roman"/>
          <w:noProof/>
          <w:szCs w:val="21"/>
        </w:rPr>
        <w:t>[20]</w:t>
      </w:r>
      <w:r w:rsidRPr="009B3B8F">
        <w:rPr>
          <w:rFonts w:ascii="Times New Roman" w:hAnsi="Times New Roman" w:cs="Times New Roman"/>
          <w:szCs w:val="21"/>
        </w:rPr>
        <w:fldChar w:fldCharType="end"/>
      </w:r>
      <w:r w:rsidRPr="009B3B8F">
        <w:rPr>
          <w:rFonts w:ascii="Times New Roman" w:hAnsi="Times New Roman" w:cs="Times New Roman"/>
          <w:szCs w:val="21"/>
        </w:rPr>
        <w:t>. When the index is negative and the concentration curve of medical need is above the concentration curve of medical care, the inequality is in favor of the rich</w:t>
      </w:r>
      <w:r w:rsidRPr="009B3B8F">
        <w:rPr>
          <w:rFonts w:ascii="Times New Roman" w:hAnsi="Times New Roman" w:cs="Times New Roman"/>
          <w:szCs w:val="21"/>
        </w:rPr>
        <w:fldChar w:fldCharType="begin"/>
      </w:r>
      <w:r w:rsidRPr="009B3B8F">
        <w:rPr>
          <w:rFonts w:ascii="Times New Roman" w:hAnsi="Times New Roman" w:cs="Times New Roman"/>
          <w:szCs w:val="21"/>
        </w:rPr>
        <w:instrText xml:space="preserve"> ADDIN EN.CITE &lt;EndNote&gt;&lt;Cite&gt;&lt;Author&gt;Cisse&lt;/Author&gt;&lt;Year&gt;2007&lt;/Year&gt;&lt;RecNum&gt;102&lt;/RecNum&gt;&lt;DisplayText&gt;[21]&lt;/DisplayText&gt;&lt;record&gt;&lt;rec-number&gt;102&lt;/rec-number&gt;&lt;foreign-keys&gt;&lt;key app="EN" db-id="9fxw505am52fzpeppzfvdr57x2ez9f5svxpv" timestamp="1547811852"&gt;102&lt;/key&gt;&lt;/foreign-keys&gt;&lt;ref-type name="Journal Article"&gt;17&lt;/ref-type&gt;&lt;contributors&gt;&lt;authors&gt;&lt;author&gt;Cisse, B.&lt;/author&gt;&lt;author&gt;Luchini, S.&lt;/author&gt;&lt;author&gt;Moatti, J. P.&lt;/author&gt;&lt;/authors&gt;&lt;/contributors&gt;&lt;auth-address&gt;INSERM Research Unit U-379, Social Sciences Applied to Medical Innovation, Marseille, France. bcisse@worldbank.org&lt;/auth-address&gt;&lt;titles&gt;&lt;title&gt;Progressivity and horizontal equity in health care finance and delivery: what about Africa?&lt;/title&gt;&lt;secondary-title&gt;Health Policy&lt;/secondary-title&gt;&lt;/titles&gt;&lt;periodical&gt;&lt;full-title&gt;Health Policy&lt;/full-title&gt;&lt;/periodical&gt;&lt;pages&gt;51-68&lt;/pages&gt;&lt;volume&gt;80&lt;/volume&gt;&lt;number&gt;1&lt;/number&gt;&lt;keywords&gt;&lt;keyword&gt;Africa, Western&lt;/keyword&gt;&lt;keyword&gt;Data Collection&lt;/keyword&gt;&lt;keyword&gt;*Financing, Government&lt;/keyword&gt;&lt;keyword&gt;Health Care Sector/*organization &amp;amp; administration&lt;/keyword&gt;&lt;keyword&gt;Health Services Accessibility/*economics&lt;/keyword&gt;&lt;keyword&gt;Humans&lt;/keyword&gt;&lt;keyword&gt;Models, Statistical&lt;/keyword&gt;&lt;keyword&gt;Socioeconomic Factors&lt;/keyword&gt;&lt;/keywords&gt;&lt;dates&gt;&lt;year&gt;2007&lt;/year&gt;&lt;pub-dates&gt;&lt;date&gt;Jan&lt;/date&gt;&lt;/pub-dates&gt;&lt;/dates&gt;&lt;isbn&gt;0168-8510 (Print)&amp;#xD;0168-8510 (Linking)&lt;/isbn&gt;&lt;accession-num&gt;16584803&lt;/accession-num&gt;&lt;urls&gt;&lt;related-urls&gt;&lt;url&gt;https://www.ncbi.nlm.nih.gov/pubmed/16584803&lt;/url&gt;&lt;/related-urls&gt;&lt;/urls&gt;&lt;electronic-resource-num&gt;10.1016/j.healthpol.2006.02.011&lt;/electronic-resource-num&gt;&lt;/record&gt;&lt;/Cite&gt;&lt;/EndNote&gt;</w:instrText>
      </w:r>
      <w:r w:rsidRPr="009B3B8F">
        <w:rPr>
          <w:rFonts w:ascii="Times New Roman" w:hAnsi="Times New Roman" w:cs="Times New Roman"/>
          <w:szCs w:val="21"/>
        </w:rPr>
        <w:fldChar w:fldCharType="separate"/>
      </w:r>
      <w:r w:rsidRPr="009B3B8F">
        <w:rPr>
          <w:rFonts w:ascii="Times New Roman" w:hAnsi="Times New Roman" w:cs="Times New Roman"/>
          <w:noProof/>
          <w:szCs w:val="21"/>
        </w:rPr>
        <w:t>[21]</w:t>
      </w:r>
      <w:r w:rsidRPr="009B3B8F">
        <w:rPr>
          <w:rFonts w:ascii="Times New Roman" w:hAnsi="Times New Roman" w:cs="Times New Roman"/>
          <w:szCs w:val="21"/>
        </w:rPr>
        <w:fldChar w:fldCharType="end"/>
      </w:r>
      <w:r w:rsidRPr="009B3B8F">
        <w:rPr>
          <w:rFonts w:ascii="Times New Roman" w:hAnsi="Times New Roman" w:cs="Times New Roman"/>
          <w:szCs w:val="21"/>
        </w:rPr>
        <w:t>. In this case, poor people with more medical needs receive less medical care. The formula of horizontal inequality is:</w:t>
      </w:r>
    </w:p>
    <w:p w14:paraId="27966E80" w14:textId="77777777" w:rsidR="007D6FAC" w:rsidRPr="009B3B8F" w:rsidRDefault="007D6FAC" w:rsidP="007D6FAC">
      <w:pPr>
        <w:jc w:val="center"/>
        <w:rPr>
          <w:rFonts w:ascii="Times New Roman" w:eastAsiaTheme="minorEastAsia" w:hAnsi="Times New Roman" w:cs="Times New Roman"/>
          <w:i/>
          <w:szCs w:val="21"/>
          <w:vertAlign w:val="subscript"/>
        </w:rPr>
      </w:pPr>
      <w:r w:rsidRPr="009B3B8F">
        <w:rPr>
          <w:rFonts w:ascii="Times New Roman" w:hAnsi="Times New Roman" w:cs="Times New Roman"/>
          <w:i/>
          <w:szCs w:val="21"/>
        </w:rPr>
        <w:t>HI=C</w:t>
      </w:r>
      <w:r w:rsidRPr="009B3B8F">
        <w:rPr>
          <w:rFonts w:ascii="Times New Roman" w:hAnsi="Times New Roman" w:cs="Times New Roman"/>
          <w:i/>
          <w:szCs w:val="21"/>
          <w:vertAlign w:val="subscript"/>
        </w:rPr>
        <w:t>M</w:t>
      </w:r>
      <w:r w:rsidRPr="009B3B8F">
        <w:rPr>
          <w:rFonts w:ascii="Times New Roman" w:hAnsi="Times New Roman" w:cs="Times New Roman"/>
          <w:i/>
          <w:szCs w:val="21"/>
        </w:rPr>
        <w:t>-C</w:t>
      </w:r>
      <w:r w:rsidRPr="009B3B8F">
        <w:rPr>
          <w:rFonts w:ascii="Times New Roman" w:hAnsi="Times New Roman" w:cs="Times New Roman"/>
          <w:i/>
          <w:szCs w:val="21"/>
          <w:vertAlign w:val="subscript"/>
        </w:rPr>
        <w:t>N</w:t>
      </w:r>
    </w:p>
    <w:p w14:paraId="5119E670" w14:textId="77777777" w:rsidR="007D6FAC" w:rsidRPr="009B3B8F" w:rsidRDefault="007D6FAC" w:rsidP="007D6FAC">
      <w:pPr>
        <w:ind w:firstLineChars="100" w:firstLine="210"/>
        <w:jc w:val="left"/>
        <w:rPr>
          <w:rFonts w:ascii="Times New Roman" w:hAnsi="Times New Roman" w:cs="Times New Roman"/>
          <w:szCs w:val="21"/>
        </w:rPr>
      </w:pPr>
      <w:r w:rsidRPr="009B3B8F">
        <w:rPr>
          <w:rFonts w:ascii="Times New Roman" w:eastAsiaTheme="minorEastAsia" w:hAnsi="Times New Roman" w:cs="Times New Roman"/>
          <w:szCs w:val="21"/>
        </w:rPr>
        <w:t>The</w:t>
      </w:r>
      <w:r w:rsidRPr="009B3B8F">
        <w:rPr>
          <w:rFonts w:ascii="Times New Roman" w:eastAsiaTheme="minorEastAsia" w:hAnsi="Times New Roman" w:cs="Times New Roman"/>
          <w:i/>
          <w:szCs w:val="21"/>
        </w:rPr>
        <w:t xml:space="preserve"> C</w:t>
      </w:r>
      <w:r w:rsidRPr="009B3B8F">
        <w:rPr>
          <w:rFonts w:ascii="Times New Roman" w:eastAsiaTheme="minorEastAsia" w:hAnsi="Times New Roman" w:cs="Times New Roman"/>
          <w:i/>
          <w:szCs w:val="21"/>
          <w:vertAlign w:val="subscript"/>
        </w:rPr>
        <w:t>M</w:t>
      </w:r>
      <w:r w:rsidRPr="009B3B8F">
        <w:rPr>
          <w:rFonts w:ascii="Times New Roman" w:eastAsiaTheme="minorEastAsia" w:hAnsi="Times New Roman" w:cs="Times New Roman"/>
          <w:i/>
          <w:szCs w:val="21"/>
        </w:rPr>
        <w:t xml:space="preserve"> </w:t>
      </w:r>
      <w:r w:rsidRPr="009B3B8F">
        <w:rPr>
          <w:rFonts w:ascii="Times New Roman" w:eastAsiaTheme="minorEastAsia" w:hAnsi="Times New Roman" w:cs="Times New Roman"/>
          <w:szCs w:val="21"/>
        </w:rPr>
        <w:t xml:space="preserve">and the </w:t>
      </w:r>
      <w:r w:rsidRPr="009B3B8F">
        <w:rPr>
          <w:rFonts w:ascii="Times New Roman" w:hAnsi="Times New Roman" w:cs="Times New Roman"/>
          <w:i/>
          <w:szCs w:val="21"/>
        </w:rPr>
        <w:t>C</w:t>
      </w:r>
      <w:r w:rsidRPr="009B3B8F">
        <w:rPr>
          <w:rFonts w:ascii="Times New Roman" w:hAnsi="Times New Roman" w:cs="Times New Roman"/>
          <w:i/>
          <w:szCs w:val="21"/>
          <w:vertAlign w:val="subscript"/>
        </w:rPr>
        <w:t>N</w:t>
      </w:r>
      <w:r w:rsidRPr="009B3B8F">
        <w:rPr>
          <w:rFonts w:ascii="Times New Roman" w:hAnsi="Times New Roman" w:cs="Times New Roman"/>
          <w:szCs w:val="21"/>
        </w:rPr>
        <w:t xml:space="preserve"> are the concentration indices for medical care and need, respectively. The formula of them are:</w:t>
      </w:r>
    </w:p>
    <w:p w14:paraId="69AA2A88" w14:textId="77777777" w:rsidR="007D6FAC" w:rsidRPr="009B3B8F" w:rsidRDefault="007D6FAC" w:rsidP="007D6FAC">
      <w:pPr>
        <w:jc w:val="center"/>
        <w:rPr>
          <w:rFonts w:ascii="Times New Roman" w:eastAsiaTheme="minorEastAsia" w:hAnsi="Times New Roman" w:cs="Times New Roman"/>
          <w:szCs w:val="21"/>
          <w:vertAlign w:val="subscript"/>
        </w:rPr>
      </w:pPr>
      <w:r w:rsidRPr="009B3B8F">
        <w:rPr>
          <w:rFonts w:ascii="Times New Roman" w:hAnsi="Times New Roman" w:cs="Times New Roman"/>
          <w:i/>
          <w:szCs w:val="21"/>
        </w:rPr>
        <w:t>C</w:t>
      </w:r>
      <w:r w:rsidRPr="009B3B8F">
        <w:rPr>
          <w:rFonts w:ascii="Times New Roman" w:hAnsi="Times New Roman" w:cs="Times New Roman"/>
          <w:i/>
          <w:szCs w:val="21"/>
          <w:vertAlign w:val="subscript"/>
        </w:rPr>
        <w:t>M</w:t>
      </w:r>
      <w:r w:rsidRPr="00D612C0">
        <w:rPr>
          <w:rFonts w:ascii="Times New Roman" w:hAnsi="Times New Roman" w:cs="Times New Roman"/>
          <w:szCs w:val="21"/>
        </w:rPr>
        <w:t>=</w:t>
      </w:r>
      <m:oMath>
        <m:r>
          <m:rPr>
            <m:sty m:val="p"/>
          </m:rPr>
          <w:rPr>
            <w:rFonts w:ascii="Cambria Math" w:hAnsi="Cambria Math" w:cs="Times New Roman"/>
            <w:szCs w:val="21"/>
            <w:vertAlign w:val="subscript"/>
          </w:rPr>
          <m:t>1-2</m:t>
        </m:r>
        <m:nary>
          <m:naryPr>
            <m:limLoc m:val="undOvr"/>
            <m:ctrlPr>
              <w:rPr>
                <w:rFonts w:ascii="Cambria Math" w:hAnsi="Cambria Math" w:cs="Times New Roman"/>
                <w:szCs w:val="21"/>
                <w:vertAlign w:val="subscript"/>
              </w:rPr>
            </m:ctrlPr>
          </m:naryPr>
          <m:sub>
            <m:r>
              <w:rPr>
                <w:rFonts w:ascii="Cambria Math" w:hAnsi="Cambria Math" w:cs="Times New Roman"/>
                <w:szCs w:val="21"/>
                <w:vertAlign w:val="subscript"/>
              </w:rPr>
              <m:t>0</m:t>
            </m:r>
          </m:sub>
          <m:sup>
            <m:r>
              <w:rPr>
                <w:rFonts w:ascii="Cambria Math" w:hAnsi="Cambria Math" w:cs="Times New Roman"/>
                <w:szCs w:val="21"/>
                <w:vertAlign w:val="subscript"/>
              </w:rPr>
              <m:t>1</m:t>
            </m:r>
          </m:sup>
          <m:e>
            <m:r>
              <w:rPr>
                <w:rFonts w:ascii="Cambria Math" w:hAnsi="Cambria Math" w:cs="Times New Roman"/>
                <w:szCs w:val="21"/>
                <w:vertAlign w:val="subscript"/>
              </w:rPr>
              <m:t>L</m:t>
            </m:r>
            <m:r>
              <w:rPr>
                <w:rFonts w:ascii="Cambria Math" w:eastAsiaTheme="minorEastAsia" w:hAnsi="Cambria Math" w:cs="Times New Roman"/>
                <w:szCs w:val="21"/>
                <w:vertAlign w:val="subscript"/>
              </w:rPr>
              <m:t>u</m:t>
            </m:r>
            <m:r>
              <w:rPr>
                <w:rFonts w:ascii="Cambria Math" w:hAnsi="Cambria Math" w:cs="Times New Roman"/>
                <w:szCs w:val="21"/>
                <w:vertAlign w:val="subscript"/>
              </w:rPr>
              <m:t>(x)dx</m:t>
            </m:r>
          </m:e>
        </m:nary>
      </m:oMath>
    </w:p>
    <w:p w14:paraId="402E8710" w14:textId="77777777" w:rsidR="007D6FAC" w:rsidRPr="009B3B8F" w:rsidRDefault="007D6FAC" w:rsidP="007D6FAC">
      <w:pPr>
        <w:jc w:val="center"/>
        <w:rPr>
          <w:rFonts w:ascii="Times New Roman" w:eastAsiaTheme="minorEastAsia" w:hAnsi="Times New Roman" w:cs="Times New Roman"/>
          <w:szCs w:val="21"/>
        </w:rPr>
      </w:pPr>
      <w:r w:rsidRPr="009B3B8F">
        <w:rPr>
          <w:rFonts w:ascii="Times New Roman" w:hAnsi="Times New Roman" w:cs="Times New Roman"/>
          <w:i/>
          <w:szCs w:val="21"/>
        </w:rPr>
        <w:t>C</w:t>
      </w:r>
      <w:r w:rsidRPr="009B3B8F">
        <w:rPr>
          <w:rFonts w:ascii="Times New Roman" w:hAnsi="Times New Roman" w:cs="Times New Roman"/>
          <w:i/>
          <w:szCs w:val="21"/>
          <w:vertAlign w:val="subscript"/>
        </w:rPr>
        <w:t>N</w:t>
      </w:r>
      <w:r w:rsidRPr="00D612C0">
        <w:rPr>
          <w:rFonts w:ascii="Times New Roman" w:hAnsi="Times New Roman" w:cs="Times New Roman"/>
          <w:szCs w:val="21"/>
        </w:rPr>
        <w:t>=</w:t>
      </w:r>
      <m:oMath>
        <m:r>
          <m:rPr>
            <m:sty m:val="p"/>
          </m:rPr>
          <w:rPr>
            <w:rFonts w:ascii="Cambria Math" w:hAnsi="Cambria Math" w:cs="Times New Roman"/>
            <w:szCs w:val="21"/>
            <w:vertAlign w:val="subscript"/>
          </w:rPr>
          <m:t>1-2</m:t>
        </m:r>
        <m:nary>
          <m:naryPr>
            <m:limLoc m:val="undOvr"/>
            <m:ctrlPr>
              <w:rPr>
                <w:rFonts w:ascii="Cambria Math" w:hAnsi="Cambria Math" w:cs="Times New Roman"/>
                <w:szCs w:val="21"/>
                <w:vertAlign w:val="subscript"/>
              </w:rPr>
            </m:ctrlPr>
          </m:naryPr>
          <m:sub>
            <m:r>
              <w:rPr>
                <w:rFonts w:ascii="Cambria Math" w:hAnsi="Cambria Math" w:cs="Times New Roman"/>
                <w:szCs w:val="21"/>
                <w:vertAlign w:val="subscript"/>
              </w:rPr>
              <m:t>0</m:t>
            </m:r>
          </m:sub>
          <m:sup>
            <m:r>
              <w:rPr>
                <w:rFonts w:ascii="Cambria Math" w:hAnsi="Cambria Math" w:cs="Times New Roman"/>
                <w:szCs w:val="21"/>
                <w:vertAlign w:val="subscript"/>
              </w:rPr>
              <m:t>1</m:t>
            </m:r>
          </m:sup>
          <m:e>
            <m:r>
              <w:rPr>
                <w:rFonts w:ascii="Cambria Math" w:hAnsi="Cambria Math" w:cs="Times New Roman"/>
                <w:szCs w:val="21"/>
                <w:vertAlign w:val="subscript"/>
              </w:rPr>
              <m:t>L</m:t>
            </m:r>
            <m:r>
              <w:rPr>
                <w:rFonts w:ascii="Cambria Math" w:eastAsiaTheme="minorEastAsia" w:hAnsi="Cambria Math" w:cs="Times New Roman"/>
                <w:szCs w:val="21"/>
                <w:vertAlign w:val="subscript"/>
              </w:rPr>
              <m:t>n</m:t>
            </m:r>
            <m:r>
              <w:rPr>
                <w:rFonts w:ascii="Cambria Math" w:hAnsi="Cambria Math" w:cs="Times New Roman"/>
                <w:szCs w:val="21"/>
                <w:vertAlign w:val="subscript"/>
              </w:rPr>
              <m:t>(x)dx</m:t>
            </m:r>
          </m:e>
        </m:nary>
      </m:oMath>
    </w:p>
    <w:p w14:paraId="54003A9E" w14:textId="77777777" w:rsidR="007D6FAC" w:rsidRPr="009B3B8F" w:rsidRDefault="007D6FAC" w:rsidP="007D6FAC">
      <w:pPr>
        <w:ind w:firstLineChars="100" w:firstLine="210"/>
        <w:rPr>
          <w:rFonts w:ascii="Times New Roman" w:eastAsiaTheme="minorEastAsia" w:hAnsi="Times New Roman" w:cs="Times New Roman"/>
          <w:szCs w:val="21"/>
        </w:rPr>
      </w:pPr>
      <w:r w:rsidRPr="009B3B8F">
        <w:rPr>
          <w:rFonts w:ascii="Times New Roman" w:eastAsiaTheme="minorEastAsia" w:hAnsi="Times New Roman" w:cs="Times New Roman"/>
          <w:szCs w:val="21"/>
        </w:rPr>
        <w:t xml:space="preserve">When people are sorted by the variable of ability to pay (ATP) from poor to rich, the cumulative proportion of utilization graphs the concentration curve of medical </w:t>
      </w:r>
      <w:proofErr w:type="gramStart"/>
      <w:r w:rsidRPr="009B3B8F">
        <w:rPr>
          <w:rFonts w:ascii="Times New Roman" w:eastAsiaTheme="minorEastAsia" w:hAnsi="Times New Roman" w:cs="Times New Roman"/>
          <w:szCs w:val="21"/>
        </w:rPr>
        <w:t>care(</w:t>
      </w:r>
      <w:proofErr w:type="gramEnd"/>
      <w:r w:rsidRPr="009B3B8F">
        <w:rPr>
          <w:rFonts w:ascii="Times New Roman" w:eastAsiaTheme="minorEastAsia" w:hAnsi="Times New Roman" w:cs="Times New Roman"/>
          <w:i/>
          <w:szCs w:val="21"/>
        </w:rPr>
        <w:t>Lu</w:t>
      </w:r>
      <w:r w:rsidRPr="009B3B8F">
        <w:rPr>
          <w:rFonts w:ascii="Times New Roman" w:eastAsiaTheme="minorEastAsia" w:hAnsi="Times New Roman" w:cs="Times New Roman"/>
          <w:szCs w:val="21"/>
        </w:rPr>
        <w:t>). As the utilization of dental service is treatment-oriented in China</w:t>
      </w:r>
      <w:r w:rsidRPr="009B3B8F">
        <w:rPr>
          <w:rFonts w:ascii="Times New Roman" w:eastAsiaTheme="minorEastAsia" w:hAnsi="Times New Roman" w:cs="Times New Roman"/>
          <w:szCs w:val="21"/>
        </w:rPr>
        <w:fldChar w:fldCharType="begin">
          <w:fldData xml:space="preserve">PEVuZE5vdGU+PENpdGU+PEF1dGhvcj5YdTwvQXV0aG9yPjxZZWFyPjIwMTk8L1llYXI+PFJlY051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</w:fldData>
        </w:fldChar>
      </w:r>
      <w:r w:rsidRPr="009B3B8F">
        <w:rPr>
          <w:rFonts w:ascii="Times New Roman" w:eastAsiaTheme="minorEastAsia" w:hAnsi="Times New Roman" w:cs="Times New Roman"/>
          <w:szCs w:val="21"/>
        </w:rPr>
        <w:instrText xml:space="preserve"> ADDIN EN.CITE </w:instrText>
      </w:r>
      <w:r w:rsidRPr="009B3B8F">
        <w:rPr>
          <w:rFonts w:ascii="Times New Roman" w:eastAsiaTheme="minorEastAsia" w:hAnsi="Times New Roman" w:cs="Times New Roman"/>
          <w:szCs w:val="21"/>
        </w:rPr>
        <w:fldChar w:fldCharType="begin">
          <w:fldData xml:space="preserve">PEVuZE5vdGU+PENpdGU+PEF1dGhvcj5YdTwvQXV0aG9yPjxZZWFyPjIwMTk8L1llYXI+PFJlY051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</w:fldData>
        </w:fldChar>
      </w:r>
      <w:r w:rsidRPr="009B3B8F">
        <w:rPr>
          <w:rFonts w:ascii="Times New Roman" w:eastAsiaTheme="minorEastAsia" w:hAnsi="Times New Roman" w:cs="Times New Roman"/>
          <w:szCs w:val="21"/>
        </w:rPr>
        <w:instrText xml:space="preserve"> ADDIN EN.CITE.DATA </w:instrText>
      </w:r>
      <w:r w:rsidRPr="009B3B8F">
        <w:rPr>
          <w:rFonts w:ascii="Times New Roman" w:eastAsiaTheme="minorEastAsia" w:hAnsi="Times New Roman" w:cs="Times New Roman"/>
          <w:szCs w:val="21"/>
        </w:rPr>
      </w:r>
      <w:r w:rsidRPr="009B3B8F">
        <w:rPr>
          <w:rFonts w:ascii="Times New Roman" w:eastAsiaTheme="minorEastAsia" w:hAnsi="Times New Roman" w:cs="Times New Roman"/>
          <w:szCs w:val="21"/>
        </w:rPr>
        <w:fldChar w:fldCharType="end"/>
      </w:r>
      <w:r w:rsidRPr="009B3B8F">
        <w:rPr>
          <w:rFonts w:ascii="Times New Roman" w:eastAsiaTheme="minorEastAsia" w:hAnsi="Times New Roman" w:cs="Times New Roman"/>
          <w:szCs w:val="21"/>
        </w:rPr>
      </w:r>
      <w:r w:rsidRPr="009B3B8F">
        <w:rPr>
          <w:rFonts w:ascii="Times New Roman" w:eastAsiaTheme="minorEastAsia" w:hAnsi="Times New Roman" w:cs="Times New Roman"/>
          <w:szCs w:val="21"/>
        </w:rPr>
        <w:fldChar w:fldCharType="separate"/>
      </w:r>
      <w:r w:rsidRPr="009B3B8F">
        <w:rPr>
          <w:rFonts w:ascii="Times New Roman" w:eastAsiaTheme="minorEastAsia" w:hAnsi="Times New Roman" w:cs="Times New Roman"/>
          <w:noProof/>
          <w:szCs w:val="21"/>
        </w:rPr>
        <w:t>[22]</w:t>
      </w:r>
      <w:r w:rsidRPr="009B3B8F">
        <w:rPr>
          <w:rFonts w:ascii="Times New Roman" w:eastAsiaTheme="minorEastAsia" w:hAnsi="Times New Roman" w:cs="Times New Roman"/>
          <w:szCs w:val="21"/>
        </w:rPr>
        <w:fldChar w:fldCharType="end"/>
      </w:r>
      <w:r w:rsidRPr="009B3B8F">
        <w:rPr>
          <w:rFonts w:ascii="Times New Roman" w:eastAsiaTheme="minorEastAsia" w:hAnsi="Times New Roman" w:cs="Times New Roman"/>
          <w:szCs w:val="21"/>
        </w:rPr>
        <w:t>d based on the behavior model of Anderson</w:t>
      </w:r>
      <w:r w:rsidRPr="009B3B8F">
        <w:rPr>
          <w:rFonts w:ascii="Times New Roman" w:eastAsiaTheme="minorEastAsia" w:hAnsi="Times New Roman" w:cs="Times New Roman"/>
          <w:szCs w:val="21"/>
        </w:rPr>
        <w:fldChar w:fldCharType="begin"/>
      </w:r>
      <w:r w:rsidRPr="009B3B8F">
        <w:rPr>
          <w:rFonts w:ascii="Times New Roman" w:eastAsiaTheme="minorEastAsia" w:hAnsi="Times New Roman" w:cs="Times New Roman"/>
          <w:szCs w:val="21"/>
        </w:rPr>
        <w:instrText xml:space="preserve"> ADDIN EN.CITE &lt;EndNote&gt;&lt;Cite&gt;&lt;Author&gt;Andersen&lt;/Author&gt;&lt;Year&gt;1995&lt;/Year&gt;&lt;RecNum&gt;196&lt;/RecNum&gt;&lt;DisplayText&gt;[23]&lt;/DisplayText&gt;&lt;record&gt;&lt;rec-number&gt;196&lt;/rec-number&gt;&lt;foreign-keys&gt;&lt;key app="EN" db-id="9fxw505am52fzpeppzfvdr57x2ez9f5svxpv" timestamp="1565099477"&gt;196&lt;/key&gt;&lt;/foreign-keys&gt;&lt;ref-type name="Journal Article"&gt;17&lt;/ref-type&gt;&lt;contributors&gt;&lt;authors&gt;&lt;author&gt;Andersen, R. M.&lt;/author&gt;&lt;/authors&gt;&lt;/contributors&gt;&lt;auth-address&gt;Department of Health Services, School of Public Health, UCLA 90024-1772, USA.&lt;/auth-address&gt;&lt;titles&gt;&lt;title&gt;Revisiting the behavioral model and access to medical care: does it matter?&lt;/title&gt;&lt;secondary-title&gt;J Health Soc Behav&lt;/secondary-title&gt;&lt;/titles&gt;&lt;periodical&gt;&lt;full-title&gt;J Health Soc Behav&lt;/full-title&gt;&lt;/periodical&gt;&lt;pages&gt;1-10&lt;/pages&gt;&lt;volume&gt;36&lt;/volume&gt;&lt;number&gt;1&lt;/number&gt;&lt;keywords&gt;&lt;keyword&gt;Attitude to Health&lt;/keyword&gt;&lt;keyword&gt;Health Behavior&lt;/keyword&gt;&lt;keyword&gt;Health Services/statistics &amp;amp; numerical data&lt;/keyword&gt;&lt;keyword&gt;*Health Services Accessibility&lt;/keyword&gt;&lt;keyword&gt;Humans&lt;/keyword&gt;&lt;keyword&gt;*Models, Organizational&lt;/keyword&gt;&lt;keyword&gt;*Patient Acceptance of Health Care&lt;/keyword&gt;&lt;keyword&gt;United States&lt;/keyword&gt;&lt;/keywords&gt;&lt;dates&gt;&lt;year&gt;1995&lt;/year&gt;&lt;pub-dates&gt;&lt;date&gt;Mar&lt;/date&gt;&lt;/pub-dates&gt;&lt;/dates&gt;&lt;isbn&gt;0022-1465 (Print)&amp;#xD;0022-1465 (Linking)&lt;/isbn&gt;&lt;accession-num&gt;7738325&lt;/accession-num&gt;&lt;urls&gt;&lt;related-urls&gt;&lt;url&gt;https://www.ncbi.nlm.nih.gov/pubmed/7738325&lt;/url&gt;&lt;/related-urls&gt;&lt;/urls&gt;&lt;/record&gt;&lt;/Cite&gt;&lt;/EndNote&gt;</w:instrText>
      </w:r>
      <w:r w:rsidRPr="009B3B8F">
        <w:rPr>
          <w:rFonts w:ascii="Times New Roman" w:eastAsiaTheme="minorEastAsia" w:hAnsi="Times New Roman" w:cs="Times New Roman"/>
          <w:szCs w:val="21"/>
        </w:rPr>
        <w:fldChar w:fldCharType="separate"/>
      </w:r>
      <w:r w:rsidRPr="009B3B8F">
        <w:rPr>
          <w:rFonts w:ascii="Times New Roman" w:eastAsiaTheme="minorEastAsia" w:hAnsi="Times New Roman" w:cs="Times New Roman"/>
          <w:noProof/>
          <w:szCs w:val="21"/>
        </w:rPr>
        <w:t>[23]</w:t>
      </w:r>
      <w:r w:rsidRPr="009B3B8F">
        <w:rPr>
          <w:rFonts w:ascii="Times New Roman" w:eastAsiaTheme="minorEastAsia" w:hAnsi="Times New Roman" w:cs="Times New Roman"/>
          <w:szCs w:val="21"/>
        </w:rPr>
        <w:fldChar w:fldCharType="end"/>
      </w:r>
      <w:r w:rsidRPr="009B3B8F">
        <w:rPr>
          <w:rFonts w:ascii="Times New Roman" w:eastAsiaTheme="minorEastAsia" w:hAnsi="Times New Roman" w:cs="Times New Roman"/>
          <w:szCs w:val="21"/>
        </w:rPr>
        <w:t xml:space="preserve">, an evaluated health variable for objective needs and the other subjective ones which reflect the demand for dental care should be considered at the evaluation of </w:t>
      </w:r>
      <w:r w:rsidRPr="009B3B8F">
        <w:rPr>
          <w:rFonts w:ascii="Times New Roman" w:eastAsiaTheme="minorEastAsia" w:hAnsi="Times New Roman" w:cs="Times New Roman"/>
          <w:i/>
          <w:szCs w:val="21"/>
        </w:rPr>
        <w:t>C</w:t>
      </w:r>
      <w:r w:rsidRPr="009B3B8F">
        <w:rPr>
          <w:rFonts w:ascii="Times New Roman" w:eastAsiaTheme="minorEastAsia" w:hAnsi="Times New Roman" w:cs="Times New Roman"/>
          <w:i/>
          <w:szCs w:val="21"/>
          <w:vertAlign w:val="subscript"/>
        </w:rPr>
        <w:t>N</w:t>
      </w:r>
      <w:r w:rsidRPr="009B3B8F">
        <w:rPr>
          <w:rFonts w:ascii="Times New Roman" w:eastAsiaTheme="minorEastAsia" w:hAnsi="Times New Roman" w:cs="Times New Roman"/>
          <w:szCs w:val="21"/>
        </w:rPr>
        <w:t>. C</w:t>
      </w:r>
      <w:r w:rsidRPr="009B3B8F">
        <w:rPr>
          <w:rFonts w:ascii="Times New Roman" w:eastAsiaTheme="minorEastAsia" w:hAnsi="Times New Roman" w:cs="Times New Roman" w:hint="eastAsia"/>
          <w:szCs w:val="21"/>
        </w:rPr>
        <w:t>on</w:t>
      </w:r>
      <w:r w:rsidRPr="009B3B8F">
        <w:rPr>
          <w:rFonts w:ascii="Times New Roman" w:eastAsiaTheme="minorEastAsia" w:hAnsi="Times New Roman" w:cs="Times New Roman"/>
          <w:szCs w:val="21"/>
        </w:rPr>
        <w:t xml:space="preserve">sider DT (Decayed teeth) reflected the unsatisfied primary dental need, it is used to be an evaluated need variable. Correspondingly, the self-reported oral health status represented the </w:t>
      </w:r>
      <w:r w:rsidRPr="009B3B8F">
        <w:rPr>
          <w:rFonts w:ascii="Times New Roman" w:eastAsiaTheme="minorEastAsia" w:hAnsi="Times New Roman" w:cs="Times New Roman" w:hint="eastAsia"/>
          <w:szCs w:val="21"/>
        </w:rPr>
        <w:t>su</w:t>
      </w:r>
      <w:r w:rsidRPr="009B3B8F">
        <w:rPr>
          <w:rFonts w:ascii="Times New Roman" w:eastAsiaTheme="minorEastAsia" w:hAnsi="Times New Roman" w:cs="Times New Roman"/>
          <w:szCs w:val="21"/>
        </w:rPr>
        <w:t xml:space="preserve">bjective medical need. The self-reported oral health was an ordered five categorical variables in the questionnaire and higher ratings indicate worse self-perceived oral health. The two variables form two concentration curves for medical </w:t>
      </w:r>
      <w:proofErr w:type="gramStart"/>
      <w:r w:rsidRPr="009B3B8F">
        <w:rPr>
          <w:rFonts w:ascii="Times New Roman" w:eastAsiaTheme="minorEastAsia" w:hAnsi="Times New Roman" w:cs="Times New Roman"/>
          <w:szCs w:val="21"/>
        </w:rPr>
        <w:t>needs(</w:t>
      </w:r>
      <w:proofErr w:type="gramEnd"/>
      <w:r w:rsidRPr="009B3B8F">
        <w:rPr>
          <w:rFonts w:ascii="Times New Roman" w:eastAsiaTheme="minorEastAsia" w:hAnsi="Times New Roman" w:cs="Times New Roman"/>
          <w:i/>
          <w:szCs w:val="21"/>
        </w:rPr>
        <w:t>Ln</w:t>
      </w:r>
      <w:r w:rsidRPr="009B3B8F">
        <w:rPr>
          <w:rFonts w:ascii="Times New Roman" w:eastAsiaTheme="minorEastAsia" w:hAnsi="Times New Roman" w:cs="Times New Roman"/>
          <w:szCs w:val="21"/>
        </w:rPr>
        <w:t xml:space="preserve">). The HI is twice the area of curves between the </w:t>
      </w:r>
      <w:r w:rsidRPr="009B3B8F">
        <w:rPr>
          <w:rFonts w:ascii="Times New Roman" w:eastAsiaTheme="minorEastAsia" w:hAnsi="Times New Roman" w:cs="Times New Roman"/>
          <w:i/>
          <w:szCs w:val="21"/>
        </w:rPr>
        <w:t>Lu</w:t>
      </w:r>
      <w:r w:rsidRPr="009B3B8F">
        <w:rPr>
          <w:rFonts w:ascii="Times New Roman" w:eastAsiaTheme="minorEastAsia" w:hAnsi="Times New Roman" w:cs="Times New Roman"/>
          <w:szCs w:val="21"/>
        </w:rPr>
        <w:t xml:space="preserve"> and the </w:t>
      </w:r>
      <w:r w:rsidRPr="009B3B8F">
        <w:rPr>
          <w:rFonts w:ascii="Times New Roman" w:eastAsiaTheme="minorEastAsia" w:hAnsi="Times New Roman" w:cs="Times New Roman"/>
          <w:i/>
          <w:szCs w:val="21"/>
        </w:rPr>
        <w:t>Ln</w:t>
      </w:r>
      <w:r w:rsidRPr="009B3B8F">
        <w:rPr>
          <w:rFonts w:ascii="Times New Roman" w:eastAsiaTheme="minorEastAsia" w:hAnsi="Times New Roman" w:cs="Times New Roman"/>
          <w:szCs w:val="21"/>
        </w:rPr>
        <w:t xml:space="preserve"> and rank from -1 to 1. </w:t>
      </w:r>
    </w:p>
    <w:p w14:paraId="27D59604" w14:textId="77777777" w:rsidR="007D6FAC" w:rsidRPr="009B3B8F" w:rsidRDefault="007D6FAC" w:rsidP="007D6FAC">
      <w:pPr>
        <w:ind w:firstLineChars="100" w:firstLine="210"/>
        <w:rPr>
          <w:rFonts w:ascii="Times New Roman" w:hAnsi="Times New Roman" w:cs="Times New Roman"/>
          <w:szCs w:val="21"/>
        </w:rPr>
      </w:pPr>
      <w:r w:rsidRPr="009B3B8F">
        <w:rPr>
          <w:rFonts w:ascii="Times New Roman" w:hAnsi="Times New Roman" w:cs="Times New Roman"/>
          <w:szCs w:val="21"/>
        </w:rPr>
        <w:t>The vertical equality refers to a balanced proportion of medical expenses against people’s ATP. A progressive payment route means the extent to which medical expenditure rise as a proportion of people’s ATP when his or her ATP rises. If it is converse, the payment is regressive. If people with different income levels have the same ratio of their medical expenses to their ATP, it is believed that the funding is balanced</w:t>
      </w:r>
      <w:r w:rsidRPr="009B3B8F">
        <w:rPr>
          <w:rFonts w:ascii="Times New Roman" w:hAnsi="Times New Roman" w:cs="Times New Roman"/>
          <w:szCs w:val="21"/>
        </w:rPr>
        <w:fldChar w:fldCharType="begin"/>
      </w:r>
      <w:r w:rsidRPr="009B3B8F">
        <w:rPr>
          <w:rFonts w:ascii="Times New Roman" w:hAnsi="Times New Roman" w:cs="Times New Roman"/>
          <w:szCs w:val="21"/>
        </w:rPr>
        <w:instrText xml:space="preserve"> ADDIN EN.CITE &lt;EndNote&gt;&lt;Cite&gt;&lt;Author&gt;Cisse&lt;/Author&gt;&lt;Year&gt;2007&lt;/Year&gt;&lt;RecNum&gt;102&lt;/RecNum&gt;&lt;DisplayText&gt;[21]&lt;/DisplayText&gt;&lt;record&gt;&lt;rec-number&gt;102&lt;/rec-number&gt;&lt;foreign-keys&gt;&lt;key app="EN" db-id="9fxw505am52fzpeppzfvdr57x2ez9f5svxpv" timestamp="1547811852"&gt;102&lt;/key&gt;&lt;/foreign-keys&gt;&lt;ref-type name="Journal Article"&gt;17&lt;/ref-type&gt;&lt;contributors&gt;&lt;authors&gt;&lt;author&gt;Cisse, B.&lt;/author&gt;&lt;author&gt;Luchini, S.&lt;/author&gt;&lt;author&gt;Moatti, J. P.&lt;/author&gt;&lt;/authors&gt;&lt;/contributors&gt;&lt;auth-address&gt;INSERM Research Unit U-379, Social Sciences Applied to Medical Innovation, Marseille, France. bcisse@worldbank.org&lt;/auth-address&gt;&lt;titles&gt;&lt;title&gt;Progressivity and horizontal equity in health care finance and delivery: what about Africa?&lt;/title&gt;&lt;secondary-title&gt;Health Policy&lt;/secondary-title&gt;&lt;/titles&gt;&lt;periodical&gt;&lt;full-title&gt;Health Policy&lt;/full-title&gt;&lt;/periodical&gt;&lt;pages&gt;51-68&lt;/pages&gt;&lt;volume&gt;80&lt;/volume&gt;&lt;number&gt;1&lt;/number&gt;&lt;keywords&gt;&lt;keyword&gt;Africa, Western&lt;/keyword&gt;&lt;keyword&gt;Data Collection&lt;/keyword&gt;&lt;keyword&gt;*Financing, Government&lt;/keyword&gt;&lt;keyword&gt;Health Care Sector/*organization &amp;amp; administration&lt;/keyword&gt;&lt;keyword&gt;Health Services Accessibility/*economics&lt;/keyword&gt;&lt;keyword&gt;Humans&lt;/keyword&gt;&lt;keyword&gt;Models, Statistical&lt;/keyword&gt;&lt;keyword&gt;Socioeconomic Factors&lt;/keyword&gt;&lt;/keywords&gt;&lt;dates&gt;&lt;year&gt;2007&lt;/year&gt;&lt;pub-dates&gt;&lt;date&gt;Jan&lt;/date&gt;&lt;/pub-dates&gt;&lt;/dates&gt;&lt;isbn&gt;0168-8510 (Print)&amp;#xD;0168-8510 (Linking)&lt;/isbn&gt;&lt;accession-num&gt;16584803&lt;/accession-num&gt;&lt;urls&gt;&lt;related-urls&gt;&lt;url&gt;https://www.ncbi.nlm.nih.gov/pubmed/16584803&lt;/url&gt;&lt;/related-urls&gt;&lt;/urls&gt;&lt;electronic-resource-num&gt;10.1016/j.healthpol.2006.02.011&lt;/electronic-resource-num&gt;&lt;/record&gt;&lt;/Cite&gt;&lt;/EndNote&gt;</w:instrText>
      </w:r>
      <w:r w:rsidRPr="009B3B8F">
        <w:rPr>
          <w:rFonts w:ascii="Times New Roman" w:hAnsi="Times New Roman" w:cs="Times New Roman"/>
          <w:szCs w:val="21"/>
        </w:rPr>
        <w:fldChar w:fldCharType="separate"/>
      </w:r>
      <w:r w:rsidRPr="009B3B8F">
        <w:rPr>
          <w:rFonts w:ascii="Times New Roman" w:hAnsi="Times New Roman" w:cs="Times New Roman"/>
          <w:noProof/>
          <w:szCs w:val="21"/>
        </w:rPr>
        <w:t>[21]</w:t>
      </w:r>
      <w:r w:rsidRPr="009B3B8F">
        <w:rPr>
          <w:rFonts w:ascii="Times New Roman" w:hAnsi="Times New Roman" w:cs="Times New Roman"/>
          <w:szCs w:val="21"/>
        </w:rPr>
        <w:fldChar w:fldCharType="end"/>
      </w:r>
      <w:r w:rsidRPr="009B3B8F">
        <w:rPr>
          <w:rFonts w:ascii="Times New Roman" w:hAnsi="Times New Roman" w:cs="Times New Roman"/>
          <w:szCs w:val="21"/>
        </w:rPr>
        <w:t xml:space="preserve">. </w:t>
      </w:r>
    </w:p>
    <w:p w14:paraId="47E8F065" w14:textId="77777777" w:rsidR="007D6FAC" w:rsidRPr="009B3B8F" w:rsidRDefault="007D6FAC" w:rsidP="007D6FAC">
      <w:pPr>
        <w:ind w:firstLineChars="100" w:firstLine="210"/>
        <w:rPr>
          <w:rFonts w:ascii="Times New Roman" w:hAnsi="Times New Roman" w:cs="Times New Roman"/>
          <w:szCs w:val="21"/>
        </w:rPr>
      </w:pPr>
      <w:r w:rsidRPr="009B3B8F">
        <w:rPr>
          <w:rFonts w:ascii="Times New Roman" w:hAnsi="Times New Roman" w:cs="Times New Roman"/>
          <w:szCs w:val="21"/>
        </w:rPr>
        <w:t xml:space="preserve">The </w:t>
      </w:r>
      <w:proofErr w:type="spellStart"/>
      <w:r w:rsidRPr="009B3B8F">
        <w:rPr>
          <w:rFonts w:ascii="Times New Roman" w:hAnsi="Times New Roman" w:cs="Times New Roman"/>
          <w:szCs w:val="21"/>
        </w:rPr>
        <w:t>Kakwani</w:t>
      </w:r>
      <w:proofErr w:type="spellEnd"/>
      <w:r w:rsidRPr="009B3B8F">
        <w:rPr>
          <w:rFonts w:ascii="Times New Roman" w:hAnsi="Times New Roman" w:cs="Times New Roman"/>
          <w:szCs w:val="21"/>
        </w:rPr>
        <w:t xml:space="preserve"> index is used most widely for progressivity research</w:t>
      </w:r>
      <w:r w:rsidRPr="009B3B8F">
        <w:rPr>
          <w:rFonts w:ascii="Times New Roman" w:hAnsi="Times New Roman" w:cs="Times New Roman"/>
          <w:szCs w:val="21"/>
        </w:rPr>
        <w:fldChar w:fldCharType="begin"/>
      </w:r>
      <w:r w:rsidRPr="009B3B8F">
        <w:rPr>
          <w:rFonts w:ascii="Times New Roman" w:hAnsi="Times New Roman" w:cs="Times New Roman"/>
          <w:szCs w:val="21"/>
        </w:rPr>
        <w:instrText xml:space="preserve"> ADDIN EN.CITE &lt;EndNote&gt;&lt;Cite&gt;&lt;Author&gt;O’Donnell O&lt;/Author&gt;&lt;Year&gt; 2008&lt;/Year&gt;&lt;RecNum&gt;163&lt;/RecNum&gt;&lt;DisplayText&gt;[24]&lt;/DisplayText&gt;&lt;record&gt;&lt;rec-number&gt;163&lt;/rec-number&gt;&lt;foreign-keys&gt;&lt;key app="EN" db-id="9fxw505am52fzpeppzfvdr57x2ez9f5svxpv" timestamp="1555904659"&gt;163&lt;/key&gt;&lt;/foreign-keys&gt;&lt;ref-type name="Book"&gt;6&lt;/ref-type&gt;&lt;contributors&gt;&lt;authors&gt;&lt;author&gt;O’Donnell O, van Doorslaer E, Wagstaff A, Lindelow M&lt;/author&gt;&lt;/authors&gt;&lt;/contributors&gt;&lt;titles&gt;&lt;title&gt;Analysing health equity using household survey data: a guide to techniques and their implementation. &lt;/title&gt;&lt;/titles&gt;&lt;dates&gt;&lt;year&gt; 2008&lt;/year&gt;&lt;/dates&gt;&lt;pub-location&gt;Washington, DC&lt;/pub-location&gt;&lt;publisher&gt;World Bank.&lt;/publisher&gt;&lt;urls&gt;&lt;/urls&gt;&lt;/record&gt;&lt;/Cite&gt;&lt;/EndNote&gt;</w:instrText>
      </w:r>
      <w:r w:rsidRPr="009B3B8F">
        <w:rPr>
          <w:rFonts w:ascii="Times New Roman" w:hAnsi="Times New Roman" w:cs="Times New Roman"/>
          <w:szCs w:val="21"/>
        </w:rPr>
        <w:fldChar w:fldCharType="separate"/>
      </w:r>
      <w:r w:rsidRPr="009B3B8F">
        <w:rPr>
          <w:rFonts w:ascii="Times New Roman" w:hAnsi="Times New Roman" w:cs="Times New Roman"/>
          <w:noProof/>
          <w:szCs w:val="21"/>
        </w:rPr>
        <w:t>[24]</w:t>
      </w:r>
      <w:r w:rsidRPr="009B3B8F">
        <w:rPr>
          <w:rFonts w:ascii="Times New Roman" w:hAnsi="Times New Roman" w:cs="Times New Roman"/>
          <w:szCs w:val="21"/>
        </w:rPr>
        <w:fldChar w:fldCharType="end"/>
      </w:r>
      <w:r w:rsidRPr="009B3B8F">
        <w:rPr>
          <w:rFonts w:ascii="Times New Roman" w:hAnsi="Times New Roman" w:cs="Times New Roman"/>
          <w:szCs w:val="21"/>
        </w:rPr>
        <w:t xml:space="preserve">. The </w:t>
      </w:r>
      <w:proofErr w:type="spellStart"/>
      <w:r w:rsidRPr="009B3B8F">
        <w:rPr>
          <w:rFonts w:ascii="Times New Roman" w:hAnsi="Times New Roman" w:cs="Times New Roman"/>
          <w:szCs w:val="21"/>
        </w:rPr>
        <w:t>Kakwani</w:t>
      </w:r>
      <w:proofErr w:type="spellEnd"/>
      <w:r w:rsidRPr="009B3B8F">
        <w:rPr>
          <w:rFonts w:ascii="Times New Roman" w:hAnsi="Times New Roman" w:cs="Times New Roman"/>
          <w:szCs w:val="21"/>
        </w:rPr>
        <w:t xml:space="preserve"> index is defined as the difference between concentration index (</w:t>
      </w:r>
      <w:r w:rsidRPr="009B3B8F">
        <w:rPr>
          <w:rFonts w:ascii="Times New Roman" w:hAnsi="Times New Roman" w:cs="Times New Roman"/>
          <w:i/>
          <w:szCs w:val="21"/>
        </w:rPr>
        <w:t>Cp</w:t>
      </w:r>
      <w:r w:rsidRPr="009B3B8F">
        <w:rPr>
          <w:rFonts w:ascii="Times New Roman" w:hAnsi="Times New Roman" w:cs="Times New Roman"/>
          <w:szCs w:val="21"/>
        </w:rPr>
        <w:t>) and Gini coefficient(</w:t>
      </w:r>
      <w:r w:rsidRPr="009B3B8F">
        <w:rPr>
          <w:rFonts w:ascii="Times New Roman" w:hAnsi="Times New Roman" w:cs="Times New Roman"/>
          <w:i/>
          <w:szCs w:val="21"/>
        </w:rPr>
        <w:t>G</w:t>
      </w:r>
      <w:r w:rsidRPr="009B3B8F">
        <w:rPr>
          <w:rFonts w:ascii="Times New Roman" w:hAnsi="Times New Roman" w:cs="Times New Roman"/>
          <w:szCs w:val="21"/>
        </w:rPr>
        <w:t>), in other words, it is twice the area between the concentration curve of payment route(</w:t>
      </w:r>
      <w:proofErr w:type="spellStart"/>
      <w:r w:rsidRPr="009B3B8F">
        <w:rPr>
          <w:rFonts w:ascii="Times New Roman" w:hAnsi="Times New Roman" w:cs="Times New Roman"/>
          <w:i/>
          <w:szCs w:val="21"/>
        </w:rPr>
        <w:t>Lp</w:t>
      </w:r>
      <w:proofErr w:type="spellEnd"/>
      <w:r w:rsidRPr="009B3B8F">
        <w:rPr>
          <w:rFonts w:ascii="Times New Roman" w:hAnsi="Times New Roman" w:cs="Times New Roman"/>
          <w:szCs w:val="21"/>
        </w:rPr>
        <w:t>) and the Lorenz curve of ATP(</w:t>
      </w:r>
      <w:r w:rsidRPr="009B3B8F">
        <w:rPr>
          <w:rFonts w:ascii="Times New Roman" w:hAnsi="Times New Roman" w:cs="Times New Roman"/>
          <w:i/>
          <w:szCs w:val="21"/>
        </w:rPr>
        <w:t>Lg)</w:t>
      </w:r>
      <w:r w:rsidRPr="009B3B8F">
        <w:rPr>
          <w:rFonts w:ascii="Times New Roman" w:hAnsi="Times New Roman" w:cs="Times New Roman"/>
          <w:szCs w:val="21"/>
        </w:rPr>
        <w:t>. In this study, household income was used to represent the ATP.</w:t>
      </w:r>
    </w:p>
    <w:p w14:paraId="4E5B1D78" w14:textId="77777777" w:rsidR="007D6FAC" w:rsidRPr="009B3B8F" w:rsidRDefault="007D6FAC" w:rsidP="007D6FAC">
      <w:pPr>
        <w:ind w:firstLineChars="100" w:firstLine="210"/>
        <w:jc w:val="left"/>
        <w:rPr>
          <w:rFonts w:ascii="Times New Roman" w:hAnsi="Times New Roman" w:cs="Times New Roman"/>
          <w:szCs w:val="21"/>
        </w:rPr>
      </w:pPr>
      <w:r w:rsidRPr="009B3B8F">
        <w:rPr>
          <w:rFonts w:ascii="Times New Roman" w:hAnsi="Times New Roman" w:cs="Times New Roman"/>
          <w:szCs w:val="21"/>
        </w:rPr>
        <w:t xml:space="preserve">The formulas of </w:t>
      </w:r>
      <w:r w:rsidRPr="009B3B8F">
        <w:rPr>
          <w:rFonts w:ascii="Times New Roman" w:hAnsi="Times New Roman" w:cs="Times New Roman"/>
          <w:i/>
          <w:szCs w:val="21"/>
        </w:rPr>
        <w:t>Cp, G</w:t>
      </w:r>
      <w:r w:rsidRPr="009B3B8F">
        <w:rPr>
          <w:rFonts w:ascii="Times New Roman" w:hAnsi="Times New Roman" w:cs="Times New Roman"/>
          <w:szCs w:val="21"/>
        </w:rPr>
        <w:t xml:space="preserve"> and </w:t>
      </w:r>
      <w:proofErr w:type="spellStart"/>
      <w:r w:rsidRPr="009B3B8F">
        <w:rPr>
          <w:rFonts w:ascii="Times New Roman" w:hAnsi="Times New Roman" w:cs="Times New Roman"/>
          <w:szCs w:val="21"/>
        </w:rPr>
        <w:t>Kakwani</w:t>
      </w:r>
      <w:proofErr w:type="spellEnd"/>
      <w:r w:rsidRPr="009B3B8F">
        <w:rPr>
          <w:rFonts w:ascii="Times New Roman" w:hAnsi="Times New Roman" w:cs="Times New Roman"/>
          <w:szCs w:val="21"/>
        </w:rPr>
        <w:t xml:space="preserve"> index(</w:t>
      </w:r>
      <w:r w:rsidRPr="009B3B8F">
        <w:rPr>
          <w:rFonts w:ascii="Times New Roman" w:hAnsi="Times New Roman" w:cs="Times New Roman"/>
          <w:i/>
          <w:szCs w:val="21"/>
        </w:rPr>
        <w:sym w:font="Symbol" w:char="F070"/>
      </w:r>
      <w:r w:rsidRPr="009B3B8F">
        <w:rPr>
          <w:rFonts w:ascii="Times New Roman" w:hAnsi="Times New Roman" w:cs="Times New Roman"/>
          <w:i/>
          <w:szCs w:val="21"/>
          <w:vertAlign w:val="subscript"/>
        </w:rPr>
        <w:t>k</w:t>
      </w:r>
      <w:r w:rsidRPr="009B3B8F">
        <w:rPr>
          <w:rFonts w:ascii="Times New Roman" w:hAnsi="Times New Roman" w:cs="Times New Roman"/>
          <w:szCs w:val="21"/>
        </w:rPr>
        <w:t>) are as follow:</w:t>
      </w:r>
    </w:p>
    <w:p w14:paraId="18866913" w14:textId="77777777" w:rsidR="007D6FAC" w:rsidRPr="009B3B8F" w:rsidRDefault="007D6FAC" w:rsidP="007D6FAC">
      <w:pPr>
        <w:jc w:val="center"/>
        <w:rPr>
          <w:rFonts w:ascii="Times New Roman" w:eastAsiaTheme="minorEastAsia" w:hAnsi="Times New Roman" w:cs="Times New Roman"/>
          <w:szCs w:val="21"/>
          <w:vertAlign w:val="subscript"/>
        </w:rPr>
      </w:pPr>
      <w:r w:rsidRPr="009B3B8F">
        <w:rPr>
          <w:rFonts w:ascii="Times New Roman" w:hAnsi="Times New Roman" w:cs="Times New Roman"/>
          <w:i/>
          <w:szCs w:val="21"/>
        </w:rPr>
        <w:t>Cp</w:t>
      </w:r>
      <w:r w:rsidRPr="00D612C0">
        <w:rPr>
          <w:rFonts w:ascii="Times New Roman" w:hAnsi="Times New Roman" w:cs="Times New Roman"/>
          <w:szCs w:val="21"/>
        </w:rPr>
        <w:t>=</w:t>
      </w:r>
      <m:oMath>
        <m:r>
          <m:rPr>
            <m:sty m:val="p"/>
          </m:rPr>
          <w:rPr>
            <w:rFonts w:ascii="Cambria Math" w:hAnsi="Cambria Math" w:cs="Times New Roman"/>
            <w:szCs w:val="21"/>
            <w:vertAlign w:val="subscript"/>
          </w:rPr>
          <m:t>1-2</m:t>
        </m:r>
        <m:nary>
          <m:naryPr>
            <m:limLoc m:val="undOvr"/>
            <m:ctrlPr>
              <w:rPr>
                <w:rFonts w:ascii="Cambria Math" w:hAnsi="Cambria Math" w:cs="Times New Roman"/>
                <w:szCs w:val="21"/>
                <w:vertAlign w:val="subscript"/>
              </w:rPr>
            </m:ctrlPr>
          </m:naryPr>
          <m:sub>
            <m:r>
              <w:rPr>
                <w:rFonts w:ascii="Cambria Math" w:hAnsi="Cambria Math" w:cs="Times New Roman"/>
                <w:szCs w:val="21"/>
                <w:vertAlign w:val="subscript"/>
              </w:rPr>
              <m:t>0</m:t>
            </m:r>
          </m:sub>
          <m:sup>
            <m:r>
              <w:rPr>
                <w:rFonts w:ascii="Cambria Math" w:hAnsi="Cambria Math" w:cs="Times New Roman"/>
                <w:szCs w:val="21"/>
                <w:vertAlign w:val="subscript"/>
              </w:rPr>
              <m:t>1</m:t>
            </m:r>
          </m:sup>
          <m:e>
            <m:r>
              <w:rPr>
                <w:rFonts w:ascii="Cambria Math" w:hAnsi="Cambria Math" w:cs="Times New Roman"/>
                <w:szCs w:val="21"/>
                <w:vertAlign w:val="subscript"/>
              </w:rPr>
              <m:t>L</m:t>
            </m:r>
            <m:r>
              <w:rPr>
                <w:rFonts w:ascii="Cambria Math" w:eastAsiaTheme="minorEastAsia" w:hAnsi="Cambria Math" w:cs="Times New Roman"/>
                <w:szCs w:val="21"/>
                <w:vertAlign w:val="subscript"/>
              </w:rPr>
              <m:t>p</m:t>
            </m:r>
            <m:r>
              <w:rPr>
                <w:rFonts w:ascii="Cambria Math" w:hAnsi="Cambria Math" w:cs="Times New Roman"/>
                <w:szCs w:val="21"/>
                <w:vertAlign w:val="subscript"/>
              </w:rPr>
              <m:t>(x)dx</m:t>
            </m:r>
          </m:e>
        </m:nary>
      </m:oMath>
    </w:p>
    <w:p w14:paraId="7779C7A1" w14:textId="77777777" w:rsidR="007D6FAC" w:rsidRPr="009B3B8F" w:rsidRDefault="007D6FAC" w:rsidP="007D6FAC">
      <w:pPr>
        <w:jc w:val="center"/>
        <w:rPr>
          <w:rFonts w:ascii="Times New Roman" w:eastAsiaTheme="minorEastAsia" w:hAnsi="Times New Roman" w:cs="Times New Roman"/>
          <w:szCs w:val="21"/>
          <w:vertAlign w:val="subscript"/>
        </w:rPr>
      </w:pPr>
      <w:r w:rsidRPr="009B3B8F">
        <w:rPr>
          <w:rFonts w:ascii="Times New Roman" w:hAnsi="Times New Roman" w:cs="Times New Roman"/>
          <w:i/>
          <w:szCs w:val="21"/>
        </w:rPr>
        <w:lastRenderedPageBreak/>
        <w:t>G</w:t>
      </w:r>
      <w:r w:rsidRPr="00D612C0">
        <w:rPr>
          <w:rFonts w:ascii="Times New Roman" w:hAnsi="Times New Roman" w:cs="Times New Roman"/>
          <w:szCs w:val="21"/>
        </w:rPr>
        <w:t>=</w:t>
      </w:r>
      <m:oMath>
        <m:r>
          <m:rPr>
            <m:sty m:val="p"/>
          </m:rPr>
          <w:rPr>
            <w:rFonts w:ascii="Cambria Math" w:hAnsi="Cambria Math" w:cs="Times New Roman"/>
            <w:szCs w:val="21"/>
            <w:vertAlign w:val="subscript"/>
          </w:rPr>
          <m:t>1-2</m:t>
        </m:r>
        <m:nary>
          <m:naryPr>
            <m:limLoc m:val="undOvr"/>
            <m:ctrlPr>
              <w:rPr>
                <w:rFonts w:ascii="Cambria Math" w:hAnsi="Cambria Math" w:cs="Times New Roman"/>
                <w:szCs w:val="21"/>
                <w:vertAlign w:val="subscript"/>
              </w:rPr>
            </m:ctrlPr>
          </m:naryPr>
          <m:sub>
            <m:r>
              <w:rPr>
                <w:rFonts w:ascii="Cambria Math" w:hAnsi="Cambria Math" w:cs="Times New Roman"/>
                <w:szCs w:val="21"/>
                <w:vertAlign w:val="subscript"/>
              </w:rPr>
              <m:t>0</m:t>
            </m:r>
          </m:sub>
          <m:sup>
            <m:r>
              <w:rPr>
                <w:rFonts w:ascii="Cambria Math" w:hAnsi="Cambria Math" w:cs="Times New Roman"/>
                <w:szCs w:val="21"/>
                <w:vertAlign w:val="subscript"/>
              </w:rPr>
              <m:t>1</m:t>
            </m:r>
          </m:sup>
          <m:e>
            <m:r>
              <w:rPr>
                <w:rFonts w:ascii="Cambria Math" w:hAnsi="Cambria Math" w:cs="Times New Roman"/>
                <w:szCs w:val="21"/>
                <w:vertAlign w:val="subscript"/>
              </w:rPr>
              <m:t>L</m:t>
            </m:r>
            <m:r>
              <w:rPr>
                <w:rFonts w:ascii="Cambria Math" w:eastAsiaTheme="minorEastAsia" w:hAnsi="Cambria Math" w:cs="Times New Roman"/>
                <w:szCs w:val="21"/>
                <w:vertAlign w:val="subscript"/>
              </w:rPr>
              <m:t>g</m:t>
            </m:r>
            <m:r>
              <w:rPr>
                <w:rFonts w:ascii="Cambria Math" w:hAnsi="Cambria Math" w:cs="Times New Roman"/>
                <w:szCs w:val="21"/>
                <w:vertAlign w:val="subscript"/>
              </w:rPr>
              <m:t>(x)dx</m:t>
            </m:r>
          </m:e>
        </m:nary>
      </m:oMath>
    </w:p>
    <w:p w14:paraId="15EC6181" w14:textId="77777777" w:rsidR="007D6FAC" w:rsidRPr="009B3B8F" w:rsidRDefault="007D6FAC" w:rsidP="007D6FAC">
      <w:pPr>
        <w:jc w:val="center"/>
        <w:rPr>
          <w:rFonts w:ascii="Times New Roman" w:hAnsi="Times New Roman" w:cs="Times New Roman"/>
          <w:i/>
          <w:szCs w:val="21"/>
        </w:rPr>
      </w:pPr>
      <w:r w:rsidRPr="009B3B8F">
        <w:rPr>
          <w:rFonts w:ascii="Times New Roman" w:hAnsi="Times New Roman" w:cs="Times New Roman"/>
          <w:i/>
          <w:szCs w:val="21"/>
        </w:rPr>
        <w:sym w:font="Symbol" w:char="F070"/>
      </w:r>
      <w:r w:rsidRPr="009B3B8F">
        <w:rPr>
          <w:rFonts w:ascii="Times New Roman" w:hAnsi="Times New Roman" w:cs="Times New Roman"/>
          <w:i/>
          <w:szCs w:val="21"/>
          <w:vertAlign w:val="subscript"/>
        </w:rPr>
        <w:t>k</w:t>
      </w:r>
      <w:r w:rsidRPr="009B3B8F">
        <w:rPr>
          <w:rFonts w:ascii="Times New Roman" w:hAnsi="Times New Roman" w:cs="Times New Roman"/>
          <w:i/>
          <w:szCs w:val="21"/>
        </w:rPr>
        <w:t>=Cp-G</w:t>
      </w:r>
    </w:p>
    <w:p w14:paraId="286548A3" w14:textId="77777777" w:rsidR="007D6FAC" w:rsidRPr="009B3B8F" w:rsidRDefault="007D6FAC" w:rsidP="007D6FAC">
      <w:pPr>
        <w:ind w:firstLineChars="100" w:firstLine="210"/>
        <w:rPr>
          <w:rFonts w:ascii="Times New Roman" w:hAnsi="Times New Roman" w:cs="Times New Roman"/>
          <w:szCs w:val="21"/>
        </w:rPr>
      </w:pPr>
      <w:proofErr w:type="gramStart"/>
      <w:r w:rsidRPr="009B3B8F">
        <w:rPr>
          <w:rFonts w:ascii="Times New Roman" w:eastAsia="SimSun" w:hAnsi="Times New Roman" w:cs="Times New Roman"/>
          <w:bCs/>
          <w:szCs w:val="21"/>
        </w:rPr>
        <w:t>Similar to</w:t>
      </w:r>
      <w:proofErr w:type="gramEnd"/>
      <w:r w:rsidRPr="009B3B8F">
        <w:rPr>
          <w:rFonts w:ascii="Times New Roman" w:eastAsia="SimSun" w:hAnsi="Times New Roman" w:cs="Times New Roman"/>
          <w:bCs/>
          <w:szCs w:val="21"/>
        </w:rPr>
        <w:t xml:space="preserve"> the HI, people are sorted by household income from low to high and the cumulative proportion of dental expenditure in different payment routes or household income </w:t>
      </w:r>
      <w:r w:rsidRPr="009B3B8F">
        <w:rPr>
          <w:rFonts w:ascii="Times New Roman" w:eastAsia="SimSun" w:hAnsi="Times New Roman" w:cs="Times New Roman" w:hint="eastAsia"/>
          <w:bCs/>
          <w:szCs w:val="21"/>
        </w:rPr>
        <w:t>is</w:t>
      </w:r>
      <w:r w:rsidRPr="009B3B8F">
        <w:rPr>
          <w:rFonts w:ascii="Times New Roman" w:eastAsia="SimSun" w:hAnsi="Times New Roman" w:cs="Times New Roman"/>
          <w:bCs/>
          <w:szCs w:val="21"/>
        </w:rPr>
        <w:t xml:space="preserve"> graphed. </w:t>
      </w:r>
      <w:r w:rsidRPr="009B3B8F">
        <w:rPr>
          <w:rFonts w:ascii="Times New Roman" w:eastAsia="SimSun" w:hAnsi="Times New Roman" w:cs="Times New Roman"/>
          <w:bCs/>
          <w:i/>
          <w:szCs w:val="21"/>
        </w:rPr>
        <w:t>Cp</w:t>
      </w:r>
      <w:r w:rsidRPr="009B3B8F">
        <w:rPr>
          <w:rFonts w:ascii="Times New Roman" w:eastAsia="SimSun" w:hAnsi="Times New Roman" w:cs="Times New Roman"/>
          <w:bCs/>
          <w:szCs w:val="21"/>
        </w:rPr>
        <w:t xml:space="preserve"> ranks from -1 to 1 and the value of Gini coefficient ranges from 0 to 1</w:t>
      </w:r>
      <w:r w:rsidRPr="009B3B8F">
        <w:rPr>
          <w:rFonts w:ascii="Times New Roman" w:hAnsi="Times New Roman" w:cs="Times New Roman"/>
          <w:szCs w:val="21"/>
        </w:rPr>
        <w:fldChar w:fldCharType="begin"/>
      </w:r>
      <w:r w:rsidRPr="009B3B8F">
        <w:rPr>
          <w:rFonts w:ascii="Times New Roman" w:hAnsi="Times New Roman" w:cs="Times New Roman"/>
          <w:szCs w:val="21"/>
        </w:rPr>
        <w:instrText xml:space="preserve"> ADDIN EN.CITE &lt;EndNote&gt;&lt;Cite&gt;&lt;Author&gt;Shen&lt;/Author&gt;&lt;Year&gt;2018&lt;/Year&gt;&lt;RecNum&gt;10&lt;/RecNum&gt;&lt;DisplayText&gt;[25]&lt;/DisplayText&gt;&lt;record&gt;&lt;rec-number&gt;10&lt;/rec-number&gt;&lt;foreign-keys&gt;&lt;key app="EN" db-id="9ff2aap57atx9nerv0kvf5f4w922a2dwe20t" timestamp="1536484472"&gt;10&lt;/key&gt;&lt;/foreign-keys&gt;&lt;ref-type name="Journal Article"&gt;17&lt;/ref-type&gt;&lt;contributors&gt;&lt;authors&gt;&lt;author&gt;Shen, J.&lt;/author&gt;&lt;author&gt;Listl, S.&lt;/author&gt;&lt;/authors&gt;&lt;/contributors&gt;&lt;auth-address&gt;0000 0001 0462 7212grid.1006.7Institute of Health and Society, Newcastle University, Newcastle upon Tyne, UK&amp;#xD;0000000122931605grid.5590.9Quality and Safety of Oral Care, Radboud University, Nijmegen, The Netherlands&lt;/auth-address&gt;&lt;titles&gt;&lt;title&gt;Investigating social inequalities in older adults’ dentition and the role of dental service use in 14 European countries&lt;/title&gt;&lt;secondary-title&gt;Eur J Health Econ&lt;/secondary-title&gt;&lt;alt-title&gt;The European Journal of Health Economics&lt;/alt-title&gt;&lt;/titles&gt;&lt;periodical&gt;&lt;full-title&gt;Eur J Health Econ&lt;/full-title&gt;&lt;abbr-1&gt;The European Journal of Health Economics&lt;/abbr-1&gt;&lt;/periodical&gt;&lt;alt-periodical&gt;&lt;full-title&gt;Eur J Health Econ&lt;/full-title&gt;&lt;abbr-1&gt;The European Journal of Health Economics&lt;/abbr-1&gt;&lt;/alt-periodical&gt;&lt;pages&gt;45-57&lt;/pages&gt;&lt;volume&gt;19&lt;/volume&gt;&lt;number&gt;1&lt;/number&gt;&lt;dates&gt;&lt;year&gt;2018&lt;/year&gt;&lt;/dates&gt;&lt;isbn&gt;1618-7598 (Print)&lt;/isbn&gt;&lt;accession-num&gt;28064379&lt;/accession-num&gt;&lt;urls&gt;&lt;/urls&gt;&lt;custom2&gt;PMC5773639&lt;/custom2&gt;&lt;electronic-resource-num&gt;10.1007/s10198-016-0866-2&lt;/electronic-resource-num&gt;&lt;language&gt;eng&lt;/language&gt;&lt;/record&gt;&lt;/Cite&gt;&lt;/EndNote&gt;</w:instrText>
      </w:r>
      <w:r w:rsidRPr="009B3B8F">
        <w:rPr>
          <w:rFonts w:ascii="Times New Roman" w:hAnsi="Times New Roman" w:cs="Times New Roman"/>
          <w:szCs w:val="21"/>
        </w:rPr>
        <w:fldChar w:fldCharType="separate"/>
      </w:r>
      <w:r w:rsidRPr="009B3B8F">
        <w:rPr>
          <w:rFonts w:ascii="Times New Roman" w:hAnsi="Times New Roman" w:cs="Times New Roman"/>
          <w:noProof/>
          <w:szCs w:val="21"/>
        </w:rPr>
        <w:t>[25]</w:t>
      </w:r>
      <w:r w:rsidRPr="009B3B8F">
        <w:rPr>
          <w:rFonts w:ascii="Times New Roman" w:hAnsi="Times New Roman" w:cs="Times New Roman"/>
          <w:szCs w:val="21"/>
        </w:rPr>
        <w:fldChar w:fldCharType="end"/>
      </w:r>
      <w:r w:rsidRPr="009B3B8F">
        <w:rPr>
          <w:rFonts w:ascii="Times New Roman" w:hAnsi="Times New Roman" w:cs="Times New Roman"/>
          <w:szCs w:val="21"/>
        </w:rPr>
        <w:t xml:space="preserve">. As the dental expenditure concentrated in the population who used dental service in the past year, based on the consideration of different socioeconomic characteristics distribution, the </w:t>
      </w:r>
      <w:proofErr w:type="spellStart"/>
      <w:r w:rsidRPr="009B3B8F">
        <w:rPr>
          <w:rFonts w:ascii="Times New Roman" w:hAnsi="Times New Roman" w:cs="Times New Roman"/>
          <w:szCs w:val="21"/>
        </w:rPr>
        <w:t>Kakwani</w:t>
      </w:r>
      <w:proofErr w:type="spellEnd"/>
      <w:r w:rsidRPr="009B3B8F">
        <w:rPr>
          <w:rFonts w:ascii="Times New Roman" w:hAnsi="Times New Roman" w:cs="Times New Roman"/>
          <w:szCs w:val="21"/>
        </w:rPr>
        <w:t xml:space="preserve"> indices of total participants and those who used dental service in the past year were calculated and compared to strengthen the validity of results. For HI or </w:t>
      </w:r>
      <w:proofErr w:type="spellStart"/>
      <w:r w:rsidRPr="009B3B8F">
        <w:rPr>
          <w:rFonts w:ascii="Times New Roman" w:hAnsi="Times New Roman" w:cs="Times New Roman"/>
          <w:szCs w:val="21"/>
        </w:rPr>
        <w:t>Kakwani</w:t>
      </w:r>
      <w:proofErr w:type="spellEnd"/>
      <w:r w:rsidRPr="009B3B8F">
        <w:rPr>
          <w:rFonts w:ascii="Times New Roman" w:hAnsi="Times New Roman" w:cs="Times New Roman"/>
          <w:szCs w:val="21"/>
        </w:rPr>
        <w:t xml:space="preserve"> index, the positive or negative of the index indicates that the inequality is concentrated in the rich or the poor, and the magnitude of the value reflects the degree of such inequality.</w:t>
      </w:r>
    </w:p>
    <w:p w14:paraId="50A06696" w14:textId="77777777" w:rsidR="007D6FAC" w:rsidRPr="009B3B8F" w:rsidRDefault="007D6FAC" w:rsidP="007D6FAC">
      <w:pPr>
        <w:pStyle w:val="ListParagraph"/>
        <w:numPr>
          <w:ilvl w:val="1"/>
          <w:numId w:val="1"/>
        </w:numPr>
        <w:ind w:firstLineChars="0"/>
        <w:rPr>
          <w:rFonts w:ascii="Times New Roman" w:hAnsi="Times New Roman" w:cs="Times New Roman"/>
          <w:b/>
          <w:szCs w:val="21"/>
        </w:rPr>
      </w:pPr>
      <w:r w:rsidRPr="009B3B8F">
        <w:rPr>
          <w:rFonts w:ascii="Times New Roman" w:hAnsi="Times New Roman" w:cs="Times New Roman"/>
          <w:b/>
          <w:szCs w:val="21"/>
        </w:rPr>
        <w:t xml:space="preserve">Decomposition of concentration indices  </w:t>
      </w:r>
    </w:p>
    <w:p w14:paraId="348C6C5F" w14:textId="77777777" w:rsidR="007D6FAC" w:rsidRPr="009B3B8F" w:rsidRDefault="007D6FAC" w:rsidP="007D6FAC">
      <w:pPr>
        <w:rPr>
          <w:rFonts w:ascii="Times New Roman" w:eastAsiaTheme="minorEastAsia" w:hAnsi="Times New Roman" w:cs="Times New Roman"/>
          <w:szCs w:val="21"/>
        </w:rPr>
      </w:pPr>
      <w:r w:rsidRPr="009B3B8F">
        <w:rPr>
          <w:rFonts w:ascii="Times New Roman" w:eastAsiaTheme="minorEastAsia" w:hAnsi="Times New Roman" w:cs="Times New Roman"/>
          <w:szCs w:val="21"/>
        </w:rPr>
        <w:t xml:space="preserve">Two models were constructed to decompose the contributions of the dental expenditure concentration index and the first of them enrolled all participants while the second one enrolled only </w:t>
      </w:r>
      <w:proofErr w:type="gramStart"/>
      <w:r w:rsidRPr="009B3B8F">
        <w:rPr>
          <w:rFonts w:ascii="Times New Roman" w:eastAsiaTheme="minorEastAsia" w:hAnsi="Times New Roman" w:cs="Times New Roman"/>
          <w:szCs w:val="21"/>
        </w:rPr>
        <w:t>participants</w:t>
      </w:r>
      <w:proofErr w:type="gramEnd"/>
      <w:r w:rsidRPr="009B3B8F">
        <w:rPr>
          <w:rFonts w:ascii="Times New Roman" w:eastAsiaTheme="minorEastAsia" w:hAnsi="Times New Roman" w:cs="Times New Roman"/>
          <w:szCs w:val="21"/>
        </w:rPr>
        <w:t xml:space="preserve"> used dental service in the past year. It was decomposed into four sources: (</w:t>
      </w:r>
      <w:proofErr w:type="spellStart"/>
      <w:r w:rsidRPr="009B3B8F">
        <w:rPr>
          <w:rFonts w:ascii="Times New Roman" w:eastAsiaTheme="minorEastAsia" w:hAnsi="Times New Roman" w:cs="Times New Roman"/>
          <w:szCs w:val="21"/>
        </w:rPr>
        <w:t>i</w:t>
      </w:r>
      <w:proofErr w:type="spellEnd"/>
      <w:r w:rsidRPr="009B3B8F">
        <w:rPr>
          <w:rFonts w:ascii="Times New Roman" w:eastAsiaTheme="minorEastAsia" w:hAnsi="Times New Roman" w:cs="Times New Roman"/>
          <w:szCs w:val="21"/>
        </w:rPr>
        <w:t>)socioeconomic characteristics which consist of household income, region, residential location, education attainment and the coverage of different types of health insurance;(ii) the need variables which include evaluated need(DT) and subjective need (the level of self-reported oral health status), and oral health behavior (teeth brushing habit); (iii) socio-demographic characteristics which include age groups, gender, nationality;(iv) medical care variable which refers specifically to the utilization of dental service in the past year only in the first model. According to the nonlinear model, the concentration index for dental expenditure (</w:t>
      </w:r>
      <w:r w:rsidRPr="009B3B8F">
        <w:rPr>
          <w:rFonts w:ascii="Times New Roman" w:eastAsiaTheme="minorEastAsia" w:hAnsi="Times New Roman" w:cs="Times New Roman"/>
          <w:i/>
          <w:szCs w:val="21"/>
        </w:rPr>
        <w:t>Cp</w:t>
      </w:r>
      <w:r w:rsidRPr="009B3B8F">
        <w:rPr>
          <w:rFonts w:ascii="Times New Roman" w:eastAsiaTheme="minorEastAsia" w:hAnsi="Times New Roman" w:cs="Times New Roman"/>
          <w:szCs w:val="21"/>
        </w:rPr>
        <w:t>) can be decomposed as:</w:t>
      </w:r>
    </w:p>
    <w:p w14:paraId="0A26573A" w14:textId="77777777" w:rsidR="007D6FAC" w:rsidRPr="009B3B8F" w:rsidRDefault="007D6FAC" w:rsidP="007D6FAC">
      <w:pPr>
        <w:jc w:val="center"/>
        <w:rPr>
          <w:rFonts w:ascii="Times New Roman" w:eastAsiaTheme="minorEastAsia" w:hAnsi="Times New Roman" w:cs="Times New Roman"/>
          <w:szCs w:val="21"/>
        </w:rPr>
      </w:pPr>
      <w:r w:rsidRPr="009B3B8F">
        <w:rPr>
          <w:rFonts w:ascii="Times New Roman" w:eastAsiaTheme="minorEastAsia" w:hAnsi="Times New Roman" w:cs="Times New Roman"/>
          <w:i/>
          <w:szCs w:val="21"/>
        </w:rPr>
        <w:t>Cp</w:t>
      </w:r>
      <w:r w:rsidRPr="009B3B8F">
        <w:rPr>
          <w:rFonts w:ascii="Times New Roman" w:eastAsiaTheme="minorEastAsia" w:hAnsi="Times New Roman" w:cs="Times New Roman"/>
          <w:szCs w:val="21"/>
        </w:rPr>
        <w:t>=</w:t>
      </w:r>
      <m:oMath>
        <m:nary>
          <m:naryPr>
            <m:chr m:val="∑"/>
            <m:limLoc m:val="undOvr"/>
            <m:subHide m:val="1"/>
            <m:supHide m:val="1"/>
            <m:ctrlPr>
              <w:rPr>
                <w:rFonts w:ascii="Cambria Math" w:eastAsiaTheme="minorEastAsia" w:hAnsi="Cambria Math" w:cs="Times New Roman"/>
                <w:szCs w:val="21"/>
              </w:rPr>
            </m:ctrlPr>
          </m:naryPr>
          <m:sub/>
          <m:sup/>
          <m:e>
            <m:r>
              <w:rPr>
                <w:rFonts w:ascii="Cambria Math" w:eastAsiaTheme="minorEastAsia" w:hAnsi="Cambria Math" w:cs="Times New Roman"/>
                <w:szCs w:val="21"/>
              </w:rPr>
              <m:t>(</m:t>
            </m:r>
          </m:e>
        </m:nary>
        <m:r>
          <m:rPr>
            <m:sty m:val="p"/>
          </m:rPr>
          <w:rPr>
            <w:rFonts w:ascii="Cambria Math" w:eastAsiaTheme="minorEastAsia" w:hAnsi="Cambria Math" w:cs="Times New Roman"/>
            <w:szCs w:val="21"/>
          </w:rPr>
          <m:t>β</m:t>
        </m:r>
      </m:oMath>
      <w:r w:rsidRPr="009B3B8F">
        <w:rPr>
          <w:rFonts w:ascii="Times New Roman" w:eastAsiaTheme="minorEastAsia" w:hAnsi="Times New Roman" w:cs="Times New Roman"/>
          <w:szCs w:val="21"/>
          <w:vertAlign w:val="subscript"/>
        </w:rPr>
        <w:t>k</w:t>
      </w:r>
      <w:proofErr w:type="spellStart"/>
      <w:r w:rsidRPr="009B3B8F">
        <w:rPr>
          <w:rFonts w:ascii="Times New Roman" w:eastAsiaTheme="minorEastAsia" w:hAnsi="Times New Roman" w:cs="Times New Roman"/>
          <w:szCs w:val="21"/>
        </w:rPr>
        <w:t>x</w:t>
      </w:r>
      <w:r w:rsidRPr="009B3B8F">
        <w:rPr>
          <w:rFonts w:ascii="Times New Roman" w:eastAsiaTheme="minorEastAsia" w:hAnsi="Times New Roman" w:cs="Times New Roman"/>
          <w:szCs w:val="21"/>
          <w:vertAlign w:val="subscript"/>
        </w:rPr>
        <w:t>k</w:t>
      </w:r>
      <w:proofErr w:type="spellEnd"/>
      <w:r w:rsidRPr="009B3B8F">
        <w:rPr>
          <w:rFonts w:ascii="Times New Roman" w:eastAsiaTheme="minorEastAsia" w:hAnsi="Times New Roman" w:cs="Times New Roman"/>
          <w:szCs w:val="21"/>
        </w:rPr>
        <w:t>/</w:t>
      </w:r>
      <m:oMath>
        <m:r>
          <m:rPr>
            <m:sty m:val="p"/>
          </m:rPr>
          <w:rPr>
            <w:rFonts w:ascii="Cambria Math" w:eastAsiaTheme="minorEastAsia" w:hAnsi="Cambria Math" w:cs="Times New Roman"/>
            <w:szCs w:val="21"/>
          </w:rPr>
          <m:t>μ</m:t>
        </m:r>
      </m:oMath>
      <w:r w:rsidRPr="009B3B8F">
        <w:rPr>
          <w:rFonts w:ascii="Times New Roman" w:eastAsiaTheme="minorEastAsia" w:hAnsi="Times New Roman" w:cs="Times New Roman"/>
          <w:szCs w:val="21"/>
        </w:rPr>
        <w:t>)C</w:t>
      </w:r>
      <w:proofErr w:type="spellStart"/>
      <w:r w:rsidRPr="009B3B8F">
        <w:rPr>
          <w:rFonts w:ascii="Times New Roman" w:eastAsiaTheme="minorEastAsia" w:hAnsi="Times New Roman" w:cs="Times New Roman"/>
          <w:szCs w:val="21"/>
          <w:vertAlign w:val="subscript"/>
        </w:rPr>
        <w:t>k</w:t>
      </w:r>
      <w:r w:rsidRPr="009B3B8F">
        <w:rPr>
          <w:rFonts w:ascii="Times New Roman" w:eastAsiaTheme="minorEastAsia" w:hAnsi="Times New Roman" w:cs="Times New Roman"/>
          <w:szCs w:val="21"/>
        </w:rPr>
        <w:t>+GC</w:t>
      </w:r>
      <w:r w:rsidRPr="009B3B8F">
        <w:rPr>
          <w:rFonts w:ascii="Times New Roman" w:eastAsia="DengXian" w:hAnsi="Times New Roman" w:cs="Times New Roman"/>
          <w:szCs w:val="21"/>
        </w:rPr>
        <w:t>ε</w:t>
      </w:r>
      <w:proofErr w:type="spellEnd"/>
      <w:r w:rsidRPr="009B3B8F">
        <w:rPr>
          <w:rFonts w:ascii="Times New Roman" w:eastAsiaTheme="minorEastAsia" w:hAnsi="Times New Roman" w:cs="Times New Roman"/>
          <w:szCs w:val="21"/>
        </w:rPr>
        <w:t>/</w:t>
      </w:r>
      <m:oMath>
        <m:r>
          <m:rPr>
            <m:sty m:val="p"/>
          </m:rPr>
          <w:rPr>
            <w:rFonts w:ascii="Cambria Math" w:eastAsiaTheme="minorEastAsia" w:hAnsi="Cambria Math" w:cs="Times New Roman"/>
            <w:szCs w:val="21"/>
          </w:rPr>
          <m:t>μ</m:t>
        </m:r>
      </m:oMath>
    </w:p>
    <w:p w14:paraId="7BECEFF5" w14:textId="77777777" w:rsidR="007D6FAC" w:rsidRPr="009B3B8F" w:rsidRDefault="007D6FAC" w:rsidP="007D6FAC">
      <w:pPr>
        <w:ind w:firstLineChars="100" w:firstLine="210"/>
        <w:jc w:val="left"/>
        <w:rPr>
          <w:rFonts w:ascii="Times New Roman" w:eastAsiaTheme="minorEastAsia" w:hAnsi="Times New Roman" w:cs="Times New Roman"/>
          <w:szCs w:val="21"/>
        </w:rPr>
      </w:pPr>
      <w:r w:rsidRPr="009B3B8F">
        <w:rPr>
          <w:rFonts w:ascii="Times New Roman" w:eastAsiaTheme="minorEastAsia" w:hAnsi="Times New Roman" w:cs="Times New Roman"/>
          <w:szCs w:val="21"/>
        </w:rPr>
        <w:t xml:space="preserve">Where </w:t>
      </w:r>
      <m:oMath>
        <m:r>
          <m:rPr>
            <m:sty m:val="p"/>
          </m:rPr>
          <w:rPr>
            <w:rFonts w:ascii="Cambria Math" w:eastAsiaTheme="minorEastAsia" w:hAnsi="Cambria Math" w:cs="Times New Roman"/>
            <w:szCs w:val="21"/>
          </w:rPr>
          <m:t>μ</m:t>
        </m:r>
      </m:oMath>
      <w:r w:rsidRPr="009B3B8F">
        <w:rPr>
          <w:rFonts w:ascii="Times New Roman" w:eastAsiaTheme="minorEastAsia" w:hAnsi="Times New Roman" w:cs="Times New Roman"/>
          <w:szCs w:val="21"/>
        </w:rPr>
        <w:t xml:space="preserve"> is the mean of dental expenditure, C</w:t>
      </w:r>
      <w:r w:rsidRPr="009B3B8F">
        <w:rPr>
          <w:rFonts w:ascii="Times New Roman" w:eastAsiaTheme="minorEastAsia" w:hAnsi="Times New Roman" w:cs="Times New Roman"/>
          <w:szCs w:val="21"/>
          <w:vertAlign w:val="subscript"/>
        </w:rPr>
        <w:t>k</w:t>
      </w:r>
      <w:r w:rsidRPr="009B3B8F">
        <w:rPr>
          <w:rFonts w:ascii="Times New Roman" w:eastAsiaTheme="minorEastAsia" w:hAnsi="Times New Roman" w:cs="Times New Roman"/>
          <w:szCs w:val="21"/>
        </w:rPr>
        <w:t xml:space="preserve"> is the concentration index for </w:t>
      </w:r>
      <w:proofErr w:type="spellStart"/>
      <w:r w:rsidRPr="009B3B8F">
        <w:rPr>
          <w:rFonts w:ascii="Times New Roman" w:eastAsiaTheme="minorEastAsia" w:hAnsi="Times New Roman" w:cs="Times New Roman"/>
          <w:szCs w:val="21"/>
        </w:rPr>
        <w:t>x</w:t>
      </w:r>
      <w:r w:rsidRPr="009B3B8F">
        <w:rPr>
          <w:rFonts w:ascii="Times New Roman" w:eastAsiaTheme="minorEastAsia" w:hAnsi="Times New Roman" w:cs="Times New Roman"/>
          <w:szCs w:val="21"/>
          <w:vertAlign w:val="subscript"/>
        </w:rPr>
        <w:t>k</w:t>
      </w:r>
      <w:proofErr w:type="spellEnd"/>
      <w:r w:rsidRPr="009B3B8F">
        <w:rPr>
          <w:rFonts w:ascii="Times New Roman" w:eastAsiaTheme="minorEastAsia" w:hAnsi="Times New Roman" w:cs="Times New Roman"/>
          <w:szCs w:val="21"/>
          <w:vertAlign w:val="subscript"/>
        </w:rPr>
        <w:t xml:space="preserve"> </w:t>
      </w:r>
      <w:r w:rsidRPr="009B3B8F">
        <w:rPr>
          <w:rFonts w:ascii="Times New Roman" w:eastAsiaTheme="minorEastAsia" w:hAnsi="Times New Roman" w:cs="Times New Roman"/>
          <w:szCs w:val="21"/>
        </w:rPr>
        <w:t xml:space="preserve">variable and </w:t>
      </w:r>
      <w:proofErr w:type="spellStart"/>
      <w:r w:rsidRPr="009B3B8F">
        <w:rPr>
          <w:rFonts w:ascii="Times New Roman" w:eastAsiaTheme="minorEastAsia" w:hAnsi="Times New Roman" w:cs="Times New Roman"/>
          <w:szCs w:val="21"/>
        </w:rPr>
        <w:t>x</w:t>
      </w:r>
      <w:r w:rsidRPr="009B3B8F">
        <w:rPr>
          <w:rFonts w:ascii="Times New Roman" w:eastAsiaTheme="minorEastAsia" w:hAnsi="Times New Roman" w:cs="Times New Roman"/>
          <w:szCs w:val="21"/>
          <w:vertAlign w:val="subscript"/>
        </w:rPr>
        <w:t>k</w:t>
      </w:r>
      <w:proofErr w:type="spellEnd"/>
      <w:r w:rsidRPr="009B3B8F">
        <w:rPr>
          <w:rFonts w:ascii="Times New Roman" w:eastAsiaTheme="minorEastAsia" w:hAnsi="Times New Roman" w:cs="Times New Roman"/>
          <w:szCs w:val="21"/>
        </w:rPr>
        <w:t xml:space="preserve"> is the mean of </w:t>
      </w:r>
      <w:proofErr w:type="spellStart"/>
      <w:r w:rsidRPr="009B3B8F">
        <w:rPr>
          <w:rFonts w:ascii="Times New Roman" w:eastAsiaTheme="minorEastAsia" w:hAnsi="Times New Roman" w:cs="Times New Roman"/>
          <w:szCs w:val="21"/>
        </w:rPr>
        <w:t>x</w:t>
      </w:r>
      <w:r w:rsidRPr="009B3B8F">
        <w:rPr>
          <w:rFonts w:ascii="Times New Roman" w:eastAsiaTheme="minorEastAsia" w:hAnsi="Times New Roman" w:cs="Times New Roman"/>
          <w:szCs w:val="21"/>
          <w:vertAlign w:val="subscript"/>
        </w:rPr>
        <w:t>k</w:t>
      </w:r>
      <w:proofErr w:type="spellEnd"/>
      <w:r w:rsidRPr="009B3B8F">
        <w:rPr>
          <w:rFonts w:ascii="Times New Roman" w:eastAsiaTheme="minorEastAsia" w:hAnsi="Times New Roman" w:cs="Times New Roman"/>
          <w:szCs w:val="21"/>
        </w:rPr>
        <w:t xml:space="preserve">, </w:t>
      </w:r>
      <w:proofErr w:type="spellStart"/>
      <w:r w:rsidRPr="009B3B8F">
        <w:rPr>
          <w:rFonts w:ascii="Times New Roman" w:eastAsiaTheme="minorEastAsia" w:hAnsi="Times New Roman" w:cs="Times New Roman"/>
          <w:szCs w:val="21"/>
        </w:rPr>
        <w:t>GC</w:t>
      </w:r>
      <w:r w:rsidRPr="009B3B8F">
        <w:rPr>
          <w:rFonts w:ascii="Times New Roman" w:eastAsia="DengXian" w:hAnsi="Times New Roman" w:cs="Times New Roman"/>
          <w:szCs w:val="21"/>
        </w:rPr>
        <w:t>ε</w:t>
      </w:r>
      <w:proofErr w:type="spellEnd"/>
      <w:r w:rsidRPr="009B3B8F">
        <w:rPr>
          <w:rFonts w:ascii="Times New Roman" w:eastAsia="DengXian" w:hAnsi="Times New Roman" w:cs="Times New Roman"/>
          <w:szCs w:val="21"/>
        </w:rPr>
        <w:t xml:space="preserve"> is the generalized concentration index for the error term(ε)</w:t>
      </w:r>
      <w:r w:rsidRPr="009B3B8F">
        <w:rPr>
          <w:rFonts w:ascii="Times New Roman" w:eastAsiaTheme="minorEastAsia" w:hAnsi="Times New Roman" w:cs="Times New Roman"/>
          <w:szCs w:val="21"/>
        </w:rPr>
        <w:t xml:space="preserve">. The </w:t>
      </w:r>
      <w:r w:rsidRPr="009B3B8F">
        <w:rPr>
          <w:rFonts w:ascii="Times New Roman" w:eastAsiaTheme="minorEastAsia" w:hAnsi="Times New Roman" w:cs="Times New Roman"/>
          <w:i/>
          <w:szCs w:val="21"/>
        </w:rPr>
        <w:t>Cp</w:t>
      </w:r>
      <w:r w:rsidRPr="009B3B8F">
        <w:rPr>
          <w:rFonts w:ascii="Times New Roman" w:eastAsiaTheme="minorEastAsia" w:hAnsi="Times New Roman" w:cs="Times New Roman"/>
          <w:szCs w:val="21"/>
        </w:rPr>
        <w:t xml:space="preserve"> is equal to a weighted sum of the concentration indices of the k variables, where the </w:t>
      </w:r>
      <m:oMath>
        <m:r>
          <m:rPr>
            <m:sty m:val="p"/>
          </m:rPr>
          <w:rPr>
            <w:rFonts w:ascii="Cambria Math" w:eastAsiaTheme="minorEastAsia" w:hAnsi="Cambria Math" w:cs="Times New Roman"/>
            <w:szCs w:val="21"/>
          </w:rPr>
          <m:t>β</m:t>
        </m:r>
      </m:oMath>
      <w:r w:rsidRPr="009B3B8F">
        <w:rPr>
          <w:rFonts w:ascii="Times New Roman" w:eastAsiaTheme="minorEastAsia" w:hAnsi="Times New Roman" w:cs="Times New Roman"/>
          <w:szCs w:val="21"/>
          <w:vertAlign w:val="subscript"/>
        </w:rPr>
        <w:t>k</w:t>
      </w:r>
      <w:proofErr w:type="spellStart"/>
      <w:r w:rsidRPr="009B3B8F">
        <w:rPr>
          <w:rFonts w:ascii="Times New Roman" w:eastAsiaTheme="minorEastAsia" w:hAnsi="Times New Roman" w:cs="Times New Roman"/>
          <w:szCs w:val="21"/>
        </w:rPr>
        <w:t>x</w:t>
      </w:r>
      <w:r w:rsidRPr="009B3B8F">
        <w:rPr>
          <w:rFonts w:ascii="Times New Roman" w:eastAsiaTheme="minorEastAsia" w:hAnsi="Times New Roman" w:cs="Times New Roman"/>
          <w:szCs w:val="21"/>
          <w:vertAlign w:val="subscript"/>
        </w:rPr>
        <w:t>k</w:t>
      </w:r>
      <w:proofErr w:type="spellEnd"/>
      <w:r w:rsidRPr="009B3B8F">
        <w:rPr>
          <w:rFonts w:ascii="Times New Roman" w:eastAsiaTheme="minorEastAsia" w:hAnsi="Times New Roman" w:cs="Times New Roman"/>
          <w:szCs w:val="21"/>
        </w:rPr>
        <w:t>/</w:t>
      </w:r>
      <m:oMath>
        <m:r>
          <m:rPr>
            <m:sty m:val="p"/>
          </m:rPr>
          <w:rPr>
            <w:rFonts w:ascii="Cambria Math" w:eastAsiaTheme="minorEastAsia" w:hAnsi="Cambria Math" w:cs="Times New Roman"/>
            <w:szCs w:val="21"/>
          </w:rPr>
          <m:t>μ</m:t>
        </m:r>
      </m:oMath>
      <w:r w:rsidRPr="009B3B8F">
        <w:rPr>
          <w:rFonts w:ascii="Times New Roman" w:eastAsiaTheme="minorEastAsia" w:hAnsi="Times New Roman" w:cs="Times New Roman"/>
          <w:szCs w:val="21"/>
        </w:rPr>
        <w:t xml:space="preserve"> indicates elasticity of for </w:t>
      </w:r>
      <w:proofErr w:type="spellStart"/>
      <w:r w:rsidRPr="009B3B8F">
        <w:rPr>
          <w:rFonts w:ascii="Times New Roman" w:eastAsiaTheme="minorEastAsia" w:hAnsi="Times New Roman" w:cs="Times New Roman"/>
          <w:szCs w:val="21"/>
        </w:rPr>
        <w:t>x</w:t>
      </w:r>
      <w:r w:rsidRPr="009B3B8F">
        <w:rPr>
          <w:rFonts w:ascii="Times New Roman" w:eastAsiaTheme="minorEastAsia" w:hAnsi="Times New Roman" w:cs="Times New Roman"/>
          <w:szCs w:val="21"/>
          <w:vertAlign w:val="subscript"/>
        </w:rPr>
        <w:t>k</w:t>
      </w:r>
      <w:proofErr w:type="spellEnd"/>
      <w:r w:rsidRPr="009B3B8F">
        <w:rPr>
          <w:rFonts w:ascii="Times New Roman" w:eastAsiaTheme="minorEastAsia" w:hAnsi="Times New Roman" w:cs="Times New Roman"/>
          <w:szCs w:val="21"/>
        </w:rPr>
        <w:t>.</w:t>
      </w:r>
    </w:p>
    <w:p w14:paraId="4BBE8A6E" w14:textId="77777777" w:rsidR="007D6FAC" w:rsidRPr="009B3B8F" w:rsidRDefault="007D6FAC" w:rsidP="007D6FAC">
      <w:pPr>
        <w:ind w:firstLineChars="100" w:firstLine="210"/>
        <w:rPr>
          <w:rFonts w:ascii="Times New Roman" w:hAnsi="Times New Roman" w:cs="Times New Roman"/>
          <w:szCs w:val="21"/>
        </w:rPr>
      </w:pPr>
      <w:r w:rsidRPr="009B3B8F">
        <w:rPr>
          <w:rFonts w:ascii="Times New Roman" w:hAnsi="Times New Roman" w:cs="Times New Roman"/>
          <w:szCs w:val="21"/>
        </w:rPr>
        <w:t xml:space="preserve">SPSS 22.0 was used to be the data processing software to deal with the distribution of dental expenditure and health insurance. STATA 14.0 was used to </w:t>
      </w:r>
      <w:proofErr w:type="gramStart"/>
      <w:r w:rsidRPr="009B3B8F">
        <w:rPr>
          <w:rFonts w:ascii="Times New Roman" w:hAnsi="Times New Roman" w:cs="Times New Roman"/>
          <w:szCs w:val="21"/>
        </w:rPr>
        <w:t>drew</w:t>
      </w:r>
      <w:proofErr w:type="gramEnd"/>
      <w:r w:rsidRPr="009B3B8F">
        <w:rPr>
          <w:rFonts w:ascii="Times New Roman" w:hAnsi="Times New Roman" w:cs="Times New Roman"/>
          <w:szCs w:val="21"/>
        </w:rPr>
        <w:t xml:space="preserve"> the figures of inequalities and set up the decomposition models. The code for decomposition was referenced in the guide of health equity analysis</w:t>
      </w:r>
      <w:r w:rsidRPr="009B3B8F">
        <w:rPr>
          <w:rFonts w:ascii="Times New Roman" w:hAnsi="Times New Roman" w:cs="Times New Roman"/>
          <w:szCs w:val="21"/>
        </w:rPr>
        <w:fldChar w:fldCharType="begin"/>
      </w:r>
      <w:r w:rsidRPr="009B3B8F">
        <w:rPr>
          <w:rFonts w:ascii="Times New Roman" w:hAnsi="Times New Roman" w:cs="Times New Roman"/>
          <w:szCs w:val="21"/>
        </w:rPr>
        <w:instrText xml:space="preserve"> ADDIN EN.CITE &lt;EndNote&gt;&lt;Cite&gt;&lt;Author&gt;O’Donnell O&lt;/Author&gt;&lt;Year&gt; 2008&lt;/Year&gt;&lt;RecNum&gt;163&lt;/RecNum&gt;&lt;DisplayText&gt;[24]&lt;/DisplayText&gt;&lt;record&gt;&lt;rec-number&gt;163&lt;/rec-number&gt;&lt;foreign-keys&gt;&lt;key app="EN" db-id="9fxw505am52fzpeppzfvdr57x2ez9f5svxpv" timestamp="1555904659"&gt;163&lt;/key&gt;&lt;/foreign-keys&gt;&lt;ref-type name="Book"&gt;6&lt;/ref-type&gt;&lt;contributors&gt;&lt;authors&gt;&lt;author&gt;O’Donnell O, van Doorslaer E, Wagstaff A, Lindelow M&lt;/author&gt;&lt;/authors&gt;&lt;/contributors&gt;&lt;titles&gt;&lt;title&gt;Analysing health equity using household survey data: a guide to techniques and their implementation. &lt;/title&gt;&lt;/titles&gt;&lt;dates&gt;&lt;year&gt; 2008&lt;/year&gt;&lt;/dates&gt;&lt;pub-location&gt;Washington, DC&lt;/pub-location&gt;&lt;publisher&gt;World Bank.&lt;/publisher&gt;&lt;urls&gt;&lt;/urls&gt;&lt;/record&gt;&lt;/Cite&gt;&lt;/EndNote&gt;</w:instrText>
      </w:r>
      <w:r w:rsidRPr="009B3B8F">
        <w:rPr>
          <w:rFonts w:ascii="Times New Roman" w:hAnsi="Times New Roman" w:cs="Times New Roman"/>
          <w:szCs w:val="21"/>
        </w:rPr>
        <w:fldChar w:fldCharType="separate"/>
      </w:r>
      <w:r w:rsidRPr="009B3B8F">
        <w:rPr>
          <w:rFonts w:ascii="Times New Roman" w:hAnsi="Times New Roman" w:cs="Times New Roman"/>
          <w:noProof/>
          <w:szCs w:val="21"/>
        </w:rPr>
        <w:t>[24]</w:t>
      </w:r>
      <w:r w:rsidRPr="009B3B8F">
        <w:rPr>
          <w:rFonts w:ascii="Times New Roman" w:hAnsi="Times New Roman" w:cs="Times New Roman"/>
          <w:szCs w:val="21"/>
        </w:rPr>
        <w:fldChar w:fldCharType="end"/>
      </w:r>
      <w:r w:rsidRPr="009B3B8F">
        <w:rPr>
          <w:rFonts w:ascii="Times New Roman" w:hAnsi="Times New Roman" w:cs="Times New Roman"/>
          <w:szCs w:val="21"/>
        </w:rPr>
        <w:t xml:space="preserve">. </w:t>
      </w:r>
    </w:p>
    <w:p w14:paraId="4D1BE8A6" w14:textId="77777777" w:rsidR="00E95803" w:rsidRDefault="00E95803"/>
    <w:sectPr w:rsidR="00E958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Palatino-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823891"/>
    <w:multiLevelType w:val="multilevel"/>
    <w:tmpl w:val="BD0858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FAC"/>
    <w:rsid w:val="007D6FAC"/>
    <w:rsid w:val="00E95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6B084"/>
  <w15:chartTrackingRefBased/>
  <w15:docId w15:val="{BCC1673F-751B-46E5-A2E1-94F22AA0F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FAC"/>
    <w:pPr>
      <w:widowControl w:val="0"/>
      <w:spacing w:after="0" w:line="360" w:lineRule="auto"/>
      <w:jc w:val="both"/>
    </w:pPr>
    <w:rPr>
      <w:rFonts w:eastAsia="Times New Roman"/>
      <w:kern w:val="2"/>
      <w:sz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FAC"/>
    <w:pPr>
      <w:ind w:firstLineChars="200" w:firstLine="420"/>
    </w:pPr>
  </w:style>
  <w:style w:type="character" w:styleId="Hyperlink">
    <w:name w:val="Hyperlink"/>
    <w:basedOn w:val="DefaultParagraphFont"/>
    <w:uiPriority w:val="99"/>
    <w:unhideWhenUsed/>
    <w:rsid w:val="007D6F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ata.stats.gov.cn/easyquery.htm?cn=C01&amp;zb=A0O0K&amp;sj=201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3317</Words>
  <Characters>18909</Characters>
  <Application>Microsoft Office Word</Application>
  <DocSecurity>0</DocSecurity>
  <Lines>157</Lines>
  <Paragraphs>44</Paragraphs>
  <ScaleCrop>false</ScaleCrop>
  <Company/>
  <LinksUpToDate>false</LinksUpToDate>
  <CharactersWithSpaces>22182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Bevins</dc:creator>
  <cp:keywords/>
  <dc:description/>
  <cp:lastModifiedBy>Karina Bevins</cp:lastModifiedBy>
  <cp:revision>1</cp:revision>
  <dcterms:created xsi:type="dcterms:W3CDTF">2020-05-13T02:00:00Z</dcterms:created>
  <dcterms:modified xsi:type="dcterms:W3CDTF">2020-05-13T02:00:00Z</dcterms:modified>
</cp:coreProperties>
</file>