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21" w:rsidRDefault="00FC3121" w:rsidP="00FC3121">
      <w:pPr>
        <w:tabs>
          <w:tab w:val="left" w:pos="1764"/>
        </w:tabs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Figure S1. </w:t>
      </w:r>
      <w:r w:rsidRPr="00A444CF">
        <w:rPr>
          <w:b/>
          <w:bCs/>
        </w:rPr>
        <w:t>Analysis of lncRNA and mRNA expression profile of pancreas tissue from mouse with acute pancreatitis</w:t>
      </w:r>
      <w:r>
        <w:rPr>
          <w:rFonts w:hint="eastAsia"/>
          <w:b/>
          <w:bCs/>
        </w:rPr>
        <w:t>.</w:t>
      </w:r>
    </w:p>
    <w:p w:rsidR="00FC3121" w:rsidRDefault="00FC3121" w:rsidP="00FC3121">
      <w:pPr>
        <w:tabs>
          <w:tab w:val="left" w:pos="1764"/>
        </w:tabs>
        <w:spacing w:line="360" w:lineRule="auto"/>
        <w:rPr>
          <w:szCs w:val="21"/>
        </w:rPr>
      </w:pPr>
      <w:r>
        <w:rPr>
          <w:b/>
          <w:bCs/>
          <w:szCs w:val="21"/>
        </w:rPr>
        <w:t>A.</w:t>
      </w:r>
      <w:r>
        <w:rPr>
          <w:szCs w:val="21"/>
        </w:rPr>
        <w:t xml:space="preserve"> Bar plot showing the up-regulated and down-regulated numbers of </w:t>
      </w:r>
      <w:r>
        <w:rPr>
          <w:rFonts w:hint="eastAsia"/>
          <w:szCs w:val="21"/>
        </w:rPr>
        <w:t>DEmRNA</w:t>
      </w:r>
      <w:r>
        <w:rPr>
          <w:szCs w:val="21"/>
        </w:rPr>
        <w:t>,When analyzing the differential expression of genes, the software we used was DE</w:t>
      </w:r>
      <w:r>
        <w:rPr>
          <w:rFonts w:hint="eastAsia"/>
          <w:szCs w:val="21"/>
        </w:rPr>
        <w:t>Seq</w:t>
      </w:r>
      <w:r>
        <w:rPr>
          <w:szCs w:val="21"/>
        </w:rPr>
        <w:t>2</w:t>
      </w:r>
      <w:r>
        <w:rPr>
          <w:rFonts w:hint="eastAsia"/>
          <w:szCs w:val="21"/>
        </w:rPr>
        <w:t>.Pvalue</w:t>
      </w:r>
      <w:r>
        <w:rPr>
          <w:szCs w:val="21"/>
          <w:lang w:bidi="ar"/>
        </w:rPr>
        <w:t>≤</w:t>
      </w:r>
      <w:r>
        <w:rPr>
          <w:szCs w:val="21"/>
        </w:rPr>
        <w:t>0.05,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FC(fold change)</w:t>
      </w:r>
      <w:r>
        <w:rPr>
          <w:szCs w:val="21"/>
          <w:lang w:bidi="ar"/>
        </w:rPr>
        <w:t xml:space="preserve"> ≥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1.5</w:t>
      </w:r>
      <w:r>
        <w:rPr>
          <w:szCs w:val="21"/>
        </w:rPr>
        <w:t xml:space="preserve"> or </w:t>
      </w:r>
      <w:r>
        <w:rPr>
          <w:szCs w:val="21"/>
          <w:lang w:bidi="ar"/>
        </w:rPr>
        <w:t>≤</w:t>
      </w:r>
      <w:r>
        <w:rPr>
          <w:rFonts w:hint="eastAsia"/>
          <w:szCs w:val="21"/>
        </w:rPr>
        <w:t>1</w:t>
      </w:r>
      <w:r>
        <w:rPr>
          <w:szCs w:val="21"/>
        </w:rPr>
        <w:t>.5.</w:t>
      </w:r>
    </w:p>
    <w:p w:rsidR="00FC3121" w:rsidRDefault="00FC3121" w:rsidP="00FC3121">
      <w:pPr>
        <w:tabs>
          <w:tab w:val="left" w:pos="1764"/>
        </w:tabs>
        <w:spacing w:line="360" w:lineRule="auto"/>
      </w:pPr>
      <w:r>
        <w:rPr>
          <w:rFonts w:hint="eastAsia"/>
          <w:b/>
          <w:bCs/>
        </w:rPr>
        <w:t xml:space="preserve">B. </w:t>
      </w:r>
      <w:r>
        <w:t xml:space="preserve">Principal component analysis (PCA) based on FPKM value of all </w:t>
      </w:r>
      <w:r>
        <w:rPr>
          <w:rFonts w:hint="eastAsia"/>
        </w:rPr>
        <w:t>DEmRNA</w:t>
      </w:r>
      <w:r>
        <w:t>. The ellipse for each group is the confidence ellipse</w:t>
      </w:r>
      <w:r>
        <w:rPr>
          <w:rFonts w:hint="eastAsia"/>
        </w:rPr>
        <w:t>.</w:t>
      </w:r>
    </w:p>
    <w:p w:rsidR="00FC3121" w:rsidRDefault="00FC3121" w:rsidP="00FC3121">
      <w:pPr>
        <w:tabs>
          <w:tab w:val="left" w:pos="1764"/>
        </w:tabs>
        <w:spacing w:line="360" w:lineRule="auto"/>
      </w:pPr>
      <w:r>
        <w:rPr>
          <w:rFonts w:hint="eastAsia"/>
          <w:b/>
          <w:bCs/>
        </w:rPr>
        <w:t xml:space="preserve">C. </w:t>
      </w:r>
      <w:r>
        <w:t xml:space="preserve">The Heatmap showing the expression of </w:t>
      </w:r>
      <w:r>
        <w:rPr>
          <w:rFonts w:hint="eastAsia"/>
        </w:rPr>
        <w:t>DEmRNA</w:t>
      </w:r>
      <w:r>
        <w:t>.</w:t>
      </w:r>
    </w:p>
    <w:p w:rsidR="00FC3121" w:rsidRDefault="00FC3121" w:rsidP="00FC3121">
      <w:pPr>
        <w:pStyle w:val="a3"/>
        <w:tabs>
          <w:tab w:val="left" w:pos="1764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D-E.</w:t>
      </w:r>
      <w:r>
        <w:rPr>
          <w:rFonts w:ascii="Times New Roman" w:hAnsi="Times New Roman" w:cs="Times New Roman"/>
          <w:sz w:val="21"/>
          <w:szCs w:val="21"/>
        </w:rPr>
        <w:t>Bar plot showing the up-regulated and down-regulated numbers of DE</w:t>
      </w:r>
      <w:r>
        <w:rPr>
          <w:rFonts w:ascii="Times New Roman" w:hAnsi="Times New Roman" w:cs="Times New Roman" w:hint="eastAsia"/>
          <w:sz w:val="21"/>
          <w:szCs w:val="21"/>
        </w:rPr>
        <w:t>mRNA</w:t>
      </w:r>
      <w:r>
        <w:rPr>
          <w:rFonts w:ascii="Times New Roman" w:hAnsi="Times New Roman" w:cs="Times New Roman"/>
          <w:sz w:val="21"/>
          <w:szCs w:val="21"/>
        </w:rPr>
        <w:t>,When analyzing the differential expression of genes, the software we used was DE</w:t>
      </w:r>
      <w:r>
        <w:rPr>
          <w:rFonts w:ascii="Times New Roman" w:hAnsi="Times New Roman" w:cs="Times New Roman" w:hint="eastAsia"/>
          <w:sz w:val="21"/>
          <w:szCs w:val="21"/>
        </w:rPr>
        <w:t>Seq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.Pvalue</w:t>
      </w:r>
      <w:r>
        <w:rPr>
          <w:rFonts w:ascii="Times New Roman" w:hAnsi="Times New Roman" w:cs="Times New Roman"/>
          <w:sz w:val="21"/>
          <w:szCs w:val="21"/>
          <w:lang w:bidi="ar"/>
        </w:rPr>
        <w:t>≤</w:t>
      </w:r>
      <w:r>
        <w:rPr>
          <w:rFonts w:ascii="Times New Roman" w:hAnsi="Times New Roman" w:cs="Times New Roman"/>
          <w:sz w:val="21"/>
          <w:szCs w:val="21"/>
        </w:rPr>
        <w:t>0.05,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FC(fold change)</w:t>
      </w:r>
      <w:r>
        <w:rPr>
          <w:rFonts w:ascii="Times New Roman" w:hAnsi="Times New Roman" w:cs="Times New Roman"/>
          <w:sz w:val="21"/>
          <w:szCs w:val="21"/>
          <w:lang w:bidi="ar"/>
        </w:rPr>
        <w:t xml:space="preserve"> ≥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>1.5</w:t>
      </w:r>
      <w:r>
        <w:rPr>
          <w:rFonts w:ascii="Times New Roman" w:hAnsi="Times New Roman" w:cs="Times New Roman"/>
          <w:sz w:val="21"/>
          <w:szCs w:val="21"/>
        </w:rPr>
        <w:t xml:space="preserve"> or </w:t>
      </w:r>
      <w:r>
        <w:rPr>
          <w:rFonts w:ascii="Times New Roman" w:hAnsi="Times New Roman" w:cs="Times New Roman"/>
          <w:sz w:val="21"/>
          <w:szCs w:val="21"/>
          <w:lang w:bidi="ar"/>
        </w:rPr>
        <w:t>≤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.5.</w:t>
      </w:r>
    </w:p>
    <w:p w:rsidR="00FC3121" w:rsidRDefault="00FC3121" w:rsidP="00FC3121">
      <w:pPr>
        <w:tabs>
          <w:tab w:val="left" w:pos="1764"/>
        </w:tabs>
        <w:spacing w:line="360" w:lineRule="auto"/>
      </w:pPr>
      <w:r>
        <w:rPr>
          <w:rFonts w:hint="eastAsia"/>
          <w:b/>
          <w:bCs/>
        </w:rPr>
        <w:t>F-G.</w:t>
      </w:r>
      <w:r>
        <w:t xml:space="preserve">Bar plot exhibited the most enriched GO biological process results </w:t>
      </w:r>
      <w:r>
        <w:rPr>
          <w:rFonts w:hint="eastAsia"/>
        </w:rPr>
        <w:t>of D7 up and down.</w:t>
      </w:r>
    </w:p>
    <w:p w:rsidR="00FC3121" w:rsidRDefault="00FC3121" w:rsidP="00FC3121">
      <w:pPr>
        <w:tabs>
          <w:tab w:val="left" w:pos="1764"/>
        </w:tabs>
        <w:spacing w:line="360" w:lineRule="auto"/>
      </w:pPr>
      <w:r>
        <w:rPr>
          <w:rFonts w:hint="eastAsia"/>
          <w:b/>
          <w:bCs/>
        </w:rPr>
        <w:t>H-I.</w:t>
      </w:r>
      <w:r>
        <w:t xml:space="preserve">Bar plot exhibited the most enriched GO biological process results </w:t>
      </w:r>
      <w:r>
        <w:rPr>
          <w:rFonts w:hint="eastAsia"/>
        </w:rPr>
        <w:t>of D14 up and down.</w:t>
      </w:r>
    </w:p>
    <w:p w:rsidR="00FC3121" w:rsidRDefault="00FC3121" w:rsidP="00FC3121">
      <w:pPr>
        <w:tabs>
          <w:tab w:val="left" w:pos="1764"/>
        </w:tabs>
        <w:spacing w:line="360" w:lineRule="auto"/>
      </w:pPr>
    </w:p>
    <w:p w:rsidR="00FC3121" w:rsidRDefault="00FC3121" w:rsidP="00FC3121">
      <w:pPr>
        <w:tabs>
          <w:tab w:val="left" w:pos="1764"/>
        </w:tabs>
        <w:spacing w:line="360" w:lineRule="auto"/>
        <w:rPr>
          <w:b/>
          <w:bCs/>
        </w:rPr>
      </w:pPr>
      <w:r>
        <w:rPr>
          <w:rFonts w:hint="eastAsia"/>
          <w:b/>
          <w:bCs/>
        </w:rPr>
        <w:t>Figure</w:t>
      </w:r>
      <w:r>
        <w:rPr>
          <w:b/>
          <w:bCs/>
        </w:rPr>
        <w:t xml:space="preserve"> S2. </w:t>
      </w:r>
      <w:r w:rsidRPr="006072C6">
        <w:rPr>
          <w:b/>
          <w:bCs/>
        </w:rPr>
        <w:t>Expression correlation analysis of lncRNAs and mRNAs in pancreas tissue from mouse with acute pancreatitis</w:t>
      </w:r>
      <w:r>
        <w:rPr>
          <w:rFonts w:hint="eastAsia"/>
          <w:b/>
          <w:bCs/>
        </w:rPr>
        <w:t>.</w:t>
      </w:r>
    </w:p>
    <w:p w:rsidR="00FC3121" w:rsidRDefault="00FC3121" w:rsidP="00FC3121">
      <w:pPr>
        <w:tabs>
          <w:tab w:val="left" w:pos="1764"/>
        </w:tabs>
        <w:spacing w:line="360" w:lineRule="auto"/>
      </w:pPr>
      <w:r>
        <w:rPr>
          <w:rFonts w:hint="eastAsia"/>
          <w:b/>
          <w:bCs/>
        </w:rPr>
        <w:t xml:space="preserve">A. </w:t>
      </w:r>
      <w:r>
        <w:rPr>
          <w:rFonts w:hint="eastAsia"/>
        </w:rPr>
        <w:t xml:space="preserve">Bar </w:t>
      </w:r>
      <w:r>
        <w:t xml:space="preserve">plot showing the </w:t>
      </w:r>
      <w:r>
        <w:rPr>
          <w:rFonts w:hint="eastAsia"/>
        </w:rPr>
        <w:t>top 10</w:t>
      </w:r>
      <w:r>
        <w:t xml:space="preserve"> enriched </w:t>
      </w:r>
      <w:r>
        <w:rPr>
          <w:rFonts w:hint="eastAsia"/>
        </w:rPr>
        <w:t>KEGG pathways</w:t>
      </w:r>
      <w:r>
        <w:t xml:space="preserve"> </w:t>
      </w:r>
      <w:r>
        <w:rPr>
          <w:szCs w:val="21"/>
        </w:rPr>
        <w:t>of the up and down overlap in Fig</w:t>
      </w:r>
      <w:r>
        <w:rPr>
          <w:rFonts w:hint="eastAsia"/>
          <w:szCs w:val="21"/>
        </w:rPr>
        <w:t>2</w:t>
      </w:r>
      <w:r>
        <w:rPr>
          <w:szCs w:val="21"/>
        </w:rPr>
        <w:t>C-D.</w:t>
      </w:r>
    </w:p>
    <w:p w:rsidR="00FC3121" w:rsidRDefault="00FC3121" w:rsidP="00FC3121">
      <w:pPr>
        <w:tabs>
          <w:tab w:val="left" w:pos="1764"/>
        </w:tabs>
        <w:spacing w:line="360" w:lineRule="auto"/>
      </w:pPr>
      <w:r>
        <w:rPr>
          <w:rFonts w:hint="eastAsia"/>
          <w:b/>
          <w:bCs/>
        </w:rPr>
        <w:t xml:space="preserve">B. </w:t>
      </w:r>
      <w:r>
        <w:rPr>
          <w:rFonts w:hint="eastAsia"/>
        </w:rPr>
        <w:t xml:space="preserve">Bar </w:t>
      </w:r>
      <w:r>
        <w:t xml:space="preserve">plot showing the </w:t>
      </w:r>
      <w:r>
        <w:rPr>
          <w:rFonts w:hint="eastAsia"/>
        </w:rPr>
        <w:t>top 10</w:t>
      </w:r>
      <w:r>
        <w:t xml:space="preserve"> enriched </w:t>
      </w:r>
      <w:r>
        <w:rPr>
          <w:rFonts w:hint="eastAsia"/>
        </w:rPr>
        <w:t>KEGG pathways</w:t>
      </w:r>
      <w:r>
        <w:t xml:space="preserve"> of the D7 specific DElncRNA co expressed DEmRNA in Fi</w:t>
      </w:r>
      <w:r>
        <w:rPr>
          <w:rFonts w:hint="eastAsia"/>
        </w:rPr>
        <w:t>g2</w:t>
      </w:r>
      <w:r>
        <w:t xml:space="preserve">C-D. </w:t>
      </w:r>
    </w:p>
    <w:p w:rsidR="00FC3121" w:rsidRDefault="00FC3121" w:rsidP="00FC3121">
      <w:pPr>
        <w:tabs>
          <w:tab w:val="left" w:pos="1764"/>
        </w:tabs>
        <w:spacing w:line="360" w:lineRule="auto"/>
        <w:rPr>
          <w:b/>
          <w:bCs/>
        </w:rPr>
      </w:pPr>
    </w:p>
    <w:p w:rsidR="00FC3121" w:rsidRDefault="00FC3121" w:rsidP="00FC3121">
      <w:pPr>
        <w:tabs>
          <w:tab w:val="left" w:pos="1764"/>
        </w:tabs>
        <w:spacing w:line="360" w:lineRule="auto"/>
        <w:rPr>
          <w:b/>
          <w:bCs/>
        </w:rPr>
      </w:pPr>
      <w:r>
        <w:rPr>
          <w:rFonts w:hint="eastAsia"/>
          <w:b/>
          <w:bCs/>
        </w:rPr>
        <w:t>Figure</w:t>
      </w:r>
      <w:r>
        <w:rPr>
          <w:b/>
          <w:bCs/>
        </w:rPr>
        <w:t xml:space="preserve"> S3. </w:t>
      </w:r>
      <w:r w:rsidRPr="00A31707">
        <w:rPr>
          <w:b/>
          <w:bCs/>
        </w:rPr>
        <w:t>Co-expression analysis (WGCNA) of lncRNAs and mRNAs in pancreas tissue from mouse with acute pancreatitis</w:t>
      </w:r>
      <w:r>
        <w:rPr>
          <w:rFonts w:hint="eastAsia"/>
          <w:b/>
          <w:bCs/>
        </w:rPr>
        <w:t>.</w:t>
      </w:r>
    </w:p>
    <w:p w:rsidR="00FC3121" w:rsidRPr="00ED53ED" w:rsidRDefault="00FC3121" w:rsidP="00FC3121">
      <w:pPr>
        <w:tabs>
          <w:tab w:val="left" w:pos="1764"/>
        </w:tabs>
        <w:spacing w:line="360" w:lineRule="auto"/>
        <w:rPr>
          <w:bCs/>
        </w:rPr>
      </w:pPr>
      <w:r>
        <w:rPr>
          <w:bCs/>
        </w:rPr>
        <w:t>A-</w:t>
      </w:r>
      <w:r w:rsidRPr="00ED53ED">
        <w:rPr>
          <w:rFonts w:hint="eastAsia"/>
          <w:bCs/>
        </w:rPr>
        <w:t>C. Eigengene bar plot of three advanced assoiciated modules.</w:t>
      </w:r>
    </w:p>
    <w:p w:rsidR="00FC3121" w:rsidRPr="00ED53ED" w:rsidRDefault="00FC3121" w:rsidP="00FC3121">
      <w:pPr>
        <w:tabs>
          <w:tab w:val="left" w:pos="1764"/>
        </w:tabs>
        <w:spacing w:line="360" w:lineRule="auto"/>
        <w:rPr>
          <w:bCs/>
        </w:rPr>
      </w:pPr>
      <w:r w:rsidRPr="00ED53ED">
        <w:rPr>
          <w:rFonts w:hint="eastAsia"/>
          <w:bCs/>
        </w:rPr>
        <w:t xml:space="preserve">D-F. Bar </w:t>
      </w:r>
      <w:r w:rsidRPr="00ED53ED">
        <w:rPr>
          <w:bCs/>
        </w:rPr>
        <w:t xml:space="preserve">plot showing the </w:t>
      </w:r>
      <w:r w:rsidRPr="00ED53ED">
        <w:rPr>
          <w:rFonts w:hint="eastAsia"/>
          <w:bCs/>
        </w:rPr>
        <w:t>top 10</w:t>
      </w:r>
      <w:r w:rsidRPr="00ED53ED">
        <w:rPr>
          <w:bCs/>
        </w:rPr>
        <w:t xml:space="preserve"> enriched </w:t>
      </w:r>
      <w:r w:rsidRPr="00ED53ED">
        <w:rPr>
          <w:rFonts w:hint="eastAsia"/>
          <w:bCs/>
        </w:rPr>
        <w:t>KEGG pathways</w:t>
      </w:r>
      <w:r w:rsidRPr="00ED53ED">
        <w:rPr>
          <w:bCs/>
        </w:rPr>
        <w:t xml:space="preserve"> of the </w:t>
      </w:r>
      <w:r w:rsidRPr="00ED53ED">
        <w:rPr>
          <w:rFonts w:hint="eastAsia"/>
          <w:bCs/>
        </w:rPr>
        <w:t>three modules.</w:t>
      </w:r>
    </w:p>
    <w:p w:rsidR="00FD1A34" w:rsidRDefault="00FD1A34">
      <w:pPr>
        <w:rPr>
          <w:b/>
          <w:bCs/>
        </w:rPr>
      </w:pPr>
    </w:p>
    <w:p w:rsidR="00FC3121" w:rsidRPr="00FC3121" w:rsidRDefault="00FC3121">
      <w:bookmarkStart w:id="0" w:name="_GoBack"/>
      <w:bookmarkEnd w:id="0"/>
    </w:p>
    <w:sectPr w:rsidR="00FC3121" w:rsidRPr="00FC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1"/>
    <w:rsid w:val="00FC3121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3DFA-B079-4E9D-9B2B-E179F24F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C3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2021-12-16T14:38:00Z</dcterms:created>
  <dcterms:modified xsi:type="dcterms:W3CDTF">2021-12-16T14:40:00Z</dcterms:modified>
</cp:coreProperties>
</file>