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  <w:r>
        <w:rPr>
          <w:rFonts w:ascii="Arial" w:hAnsi="Arial" w:cs="Arial"/>
          <w:b/>
          <w:color w:val="525252" w:themeColor="accent3" w:themeShade="80"/>
          <w:sz w:val="20"/>
        </w:rPr>
        <w:t xml:space="preserve">Appendix Table 1 </w:t>
      </w:r>
      <w:r>
        <w:rPr>
          <w:rFonts w:ascii="Arial" w:hAnsi="Arial" w:cs="Arial"/>
          <w:color w:val="525252" w:themeColor="accent3" w:themeShade="80"/>
          <w:sz w:val="20"/>
        </w:rPr>
        <w:t>Two-part model results for polyclinic visits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079"/>
        <w:gridCol w:w="2207"/>
        <w:gridCol w:w="2270"/>
      </w:tblGrid>
      <w:tr w:rsidR="00502844" w:rsidTr="00502844"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Polyclinic visits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1 (Logistic)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2 (Poisson)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Log-counts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Combined (Margins)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/dx (95%CI),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since enrolment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≥8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-8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0.39 (0.28,0.53),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0.05 (-0.10,0.20), 0.53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-0.42 (-0.61,-0.22),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7Q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-7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1.13 (0.79,1.62), 0.51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0.001 (-0.20,0.21), 0.99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0.060 (-0.18,0.30), 0.64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-6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1.24 (0.86,1.77), 0.25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&lt;0.001 (-0.18,0.18), 1.00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0.10 (-0.13,0.33), 0.38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-5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1.25 (0.90,1.73), 0.18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-0.006 (-0.20,0.18), 0.95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0.10 (-0.12,0.32), 0.37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1.26 (0.87,1.82), 0.23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0.052 (-0.16,0.27), 0.64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0.15 (-0.098,0.40), 0.23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0.99 (0.73,1.34), 0.94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0.11 (-0.17,0.38), 0.45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0.081 (-0.19,0.35), 0.55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1.34 (0.93,1.94), 0.11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0.12 (-0.12,0.36), 0.34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0.24 (-0.025,0.50), 0.076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(Quarter before enrolment quarter  [Q</w:t>
            </w:r>
            <w:r>
              <w:rPr>
                <w:rFonts w:ascii="Arial" w:hAnsi="Arial" w:cs="Arial"/>
                <w:bCs/>
                <w:sz w:val="20"/>
                <w:vertAlign w:val="subscript"/>
              </w:rPr>
              <w:t>-1</w:t>
            </w:r>
            <w:r>
              <w:rPr>
                <w:rFonts w:ascii="Arial" w:hAnsi="Arial" w:cs="Arial"/>
                <w:bCs/>
                <w:sz w:val="20"/>
              </w:rPr>
              <w:t>])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0.44 (0.30,0.66),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-0.043 (-0.25,0.17), 0.69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-0.43 (-0.68,-0.17), 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0.34 (0.22,0.53),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-0.27 (-0.49,-0.054), 0.014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-0.74 (-1.02,-0.46),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0.32 (0.20,0.52),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-0.20 (-0.44,0.044), 0.11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-0.71 (-1.01,-0.41),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0.35 (0.22,0.55),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-0.21 (-0.54,0.12), 0.21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-0.68 (-1.03,-0.33),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≥4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0.19 (0.10,0.38),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-0.35 (-0.60,-0.11), 0.005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-1.08 (-1.46,-0.70),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Calendar 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1.32 (1.21,1.44),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-0.066 (-0.14,0.013), 0.10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0.080 (&lt;0.001,0.16), 0.049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1.20 (1.11,1.29),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-0.049 (-0.095, -0.004), 0.03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0.048 (-0.005,0.10), 0.074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 (1.00,1.13), 0.035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-0.024 (-0.069,0.022), 0.32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0.013 (-0.035,0.060), 0.60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0.99 (0.94,1.04), 0.59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-0.062 (-0.099,-0.025), 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-0.054 (-0.091,-0.017), 0.004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(2019)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 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0.98 (0.91,1.07), 0.71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0.013 (-0.036,0.063), 0.60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0.003 (-0.053,0.060), 0.92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Treatment</w:t>
            </w:r>
            <w:r>
              <w:rPr>
                <w:rFonts w:ascii="Arial" w:hAnsi="Arial" w:cs="Arial"/>
                <w:sz w:val="20"/>
              </w:rPr>
              <w:t>, 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0.70 (0.50,0.98), 0.039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-0.12 (-0.26,0.020), 0.093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-0.24 (-0.40,-0.078), 0.004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Interaction</w:t>
            </w:r>
            <w:r>
              <w:rPr>
                <w:rFonts w:ascii="Arial" w:hAnsi="Arial" w:cs="Arial"/>
                <w:sz w:val="20"/>
              </w:rPr>
              <w:t>, 2020×PCMH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0.50 (0.20,1.25), 0.14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0.50 (&lt;0.001,1.00), 0.050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-0.003 (-0.52,0.51), 0.99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1.01 (1.00,1.01), 0.10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&lt;0.001 (-0.002, 0.003), 0.60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0.003 (&lt;0.001,0.007), 0.098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>, Male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1.04 (0.92,1.18), 0.51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0.13 (0.067,0.19),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0.13 (0.046,0.21), 0.002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Housing</w:t>
            </w:r>
            <w:r>
              <w:rPr>
                <w:rFonts w:ascii="Arial" w:hAnsi="Arial" w:cs="Arial"/>
                <w:sz w:val="20"/>
              </w:rPr>
              <w:t>, Private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0.77 (0.28,2.12), 0.61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-0.38 (-0.52,-0.24),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-0.35 (-0.66,-0.027), 0.033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Indian &amp; Sikh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1.61 (1.13,2.31), 0.009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0.018 (-0.073,0.11), 0.70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0.26 (0.049,0.46), 0.015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0.96 (0.33,2.79), 0.94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-0.048 (-0.25,0.15), 0.64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-0.057 (-0.57,0.45), 0.83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1.26 (1.21,1.32),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0.031 (0.015,0.047),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0.14 (0.11,0.16), &lt;0.001</w:t>
            </w:r>
          </w:p>
        </w:tc>
      </w:tr>
    </w:tbl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b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b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b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  <w:r>
        <w:rPr>
          <w:rFonts w:ascii="Arial" w:hAnsi="Arial" w:cs="Arial"/>
          <w:b/>
          <w:color w:val="525252" w:themeColor="accent3" w:themeShade="80"/>
          <w:sz w:val="20"/>
        </w:rPr>
        <w:t>Appendix Table 2</w:t>
      </w:r>
      <w:r>
        <w:rPr>
          <w:rFonts w:ascii="Arial" w:hAnsi="Arial" w:cs="Arial"/>
          <w:color w:val="525252" w:themeColor="accent3" w:themeShade="80"/>
          <w:sz w:val="20"/>
        </w:rPr>
        <w:t xml:space="preserve"> Two-part model results for SOC visits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109"/>
        <w:gridCol w:w="2230"/>
        <w:gridCol w:w="2170"/>
      </w:tblGrid>
      <w:tr w:rsidR="00502844" w:rsidTr="00502844"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Specialist Outpatient Clinic visits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1 (Logistic)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2 (Poisson)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Log-counts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Combined (Margins)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/dx (95%CI),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since enrolment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≥8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-8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 (0.21,0.39),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 (-0.077,0.32), 0.23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-0.65 (-0.89,-0.40),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7Q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-7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 (0.47,0.99), 0.046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0.080 (-0.13,0.29), 0.46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-0.16 (-0.45,0.13), 0.28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-6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 (0.49,1.03), 0.075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-0.095 (-0.29,0.10), 0.35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-0.29 (-0.57,-0.004), 0.047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-5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 (0.46,0.96), 0.031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 (0.007,0.49), 0.044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-0.032 (-0.33,0.27), 0.84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 (0.47,0.98), 0.037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0.081 (-0.15,0.31), 0.49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-0.17 (-0.46,0.13), 0.27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 (0.55,1.04), 0.084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0.040 (-0.18,0.26), 0.73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(-0.40,0.14), 0.33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 (0.53,1.03), 0.072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0.036 (-0.16,0.24), 0.72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-0.15 (-0.42,0.11), 0.25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(Quarter before enrolment quarter  [Q</w:t>
            </w:r>
            <w:r>
              <w:rPr>
                <w:rFonts w:ascii="Arial" w:hAnsi="Arial" w:cs="Arial"/>
                <w:bCs/>
                <w:sz w:val="20"/>
                <w:vertAlign w:val="subscript"/>
              </w:rPr>
              <w:t>-1</w:t>
            </w:r>
            <w:r>
              <w:rPr>
                <w:rFonts w:ascii="Arial" w:hAnsi="Arial" w:cs="Arial"/>
                <w:bCs/>
                <w:sz w:val="20"/>
              </w:rPr>
              <w:t>])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 (0.63,1.26), 0.52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 (-0.10,0.30), 0.32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0.018 (-0.25,0.29), 0.90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 (0.60,1.23), 0.41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 (0.008,0.68), 0.045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 (-0.16,0.56), 0.27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 (0.56,1.18), 0.28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-0.003 (-0.21,0.21), 0.98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(-0.42,0.16), 0.39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 (0.49,1.02), 0.065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0.089 (-0.11,0.29), 0.38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(-0.41,0.15), 0.35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≥4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 (0.34,0.95), 0.031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-0.030 (-0.25,0.19), 0.79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-0.37 (-0.73,-0.005), 0.047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Calendar 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 (0.65,0.78),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-0.14 (-0.20,-0.075),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-0.31 (-0.38,-0.24),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 (0.75,0.88),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-0.077 (-0.13,-0.021), 0.008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-0.20 (-0.27,-0.13),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 (0.88,1.01), 0.081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 (-0.050,0.053), 0.96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-0.040 (-0.11,0.028), 0.25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 (0.91,1.03), 0.33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-0.026 (-0.071,0.019), 0.25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-0.046 (-0.11,0.014), 0.13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(2019)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 (0.67,0.82),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-0.054 (-0.12,0.009), 0.094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-0.23 (-0.31,-0.15),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Treatment</w:t>
            </w:r>
            <w:r>
              <w:rPr>
                <w:rFonts w:ascii="Arial" w:hAnsi="Arial" w:cs="Arial"/>
                <w:sz w:val="20"/>
              </w:rPr>
              <w:t>, 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 (1.18,2.22), 0.003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-0.053 (-0.21,0.11), 0.52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 (-0.044,0.49), 0.10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Interaction</w:t>
            </w:r>
            <w:r>
              <w:rPr>
                <w:rFonts w:ascii="Arial" w:hAnsi="Arial" w:cs="Arial"/>
                <w:sz w:val="20"/>
              </w:rPr>
              <w:t>, 2020×PCMH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 (0.12,0.50),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-0.28 (-0.61,0.038), 0.084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-0.81 (-1.07,-0.54),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 (0.98,0.99),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(0.001,0.006), 0.008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-0.007 (-0.012,-0.002), 0.004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>, Male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 (1.00,1.30), 0.045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0.091 (0.038,0.14), 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 (0.067,0.25), 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Housing</w:t>
            </w:r>
            <w:r>
              <w:rPr>
                <w:rFonts w:ascii="Arial" w:hAnsi="Arial" w:cs="Arial"/>
                <w:sz w:val="20"/>
              </w:rPr>
              <w:t>, Private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 (1.76,5.19),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 (-0.36,0.77), 0.48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 (-0.09,2.41), 0.069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 &amp; Sikh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 (0.84,1.68), 0.34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-0.027 (-0.24,0.19), 0.80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0.080 (-0.21,0.37), 0.59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 (0.36,3.11), 0.92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-0.28 (-0.43,-0.12),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-0.18 (-0.69,0.33), 0.49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 (1.19,1.29),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0.044 (0.029,0.060),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 (0.14,0.19), &lt;0.001</w:t>
            </w:r>
          </w:p>
        </w:tc>
      </w:tr>
    </w:tbl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Cs w:val="24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Cs w:val="24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Cs w:val="24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  <w:r>
        <w:rPr>
          <w:rFonts w:ascii="Arial" w:hAnsi="Arial" w:cs="Arial"/>
          <w:b/>
          <w:color w:val="525252" w:themeColor="accent3" w:themeShade="80"/>
          <w:sz w:val="20"/>
        </w:rPr>
        <w:t xml:space="preserve">Appendix Table 3 </w:t>
      </w:r>
      <w:r>
        <w:rPr>
          <w:rFonts w:ascii="Arial" w:hAnsi="Arial" w:cs="Arial"/>
          <w:color w:val="525252" w:themeColor="accent3" w:themeShade="80"/>
          <w:sz w:val="20"/>
        </w:rPr>
        <w:t>Two-part model results for emergency department visits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088"/>
        <w:gridCol w:w="2212"/>
        <w:gridCol w:w="2240"/>
      </w:tblGrid>
      <w:tr w:rsidR="00502844" w:rsidTr="00502844"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Emergency Department visits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1 (Logistic)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2 (Poisson)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Log-counts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Combined (Margins)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/dx (95%CI),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since enrolment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≥8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-8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 (0.23,0.71), 0.002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(-0.46,0.20), 0.44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-0.044 (-0.072,-0.016), 0.002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7Q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-7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 (0.17,0.99), 0.047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-0.057 (-0.45,0.33), 0.77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-0.040 (-0.081,&lt;0.001), 0.054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-6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 (0.31,1.50), 0.34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-0.22 (-0.56,0.12), 0.21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-0.026 (-0.063,0.011), 0.16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-5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 (0.17,0.93), 0.033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-0.17 (-0.53,0.19), 0.36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-0.046 (-0.085,-0.007), 0.020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 (0.35,1.57), 0.44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-0.25 (-0.59,0.088), 0.15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-0.024 (-0.059,0.011), 0.18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 (0.51,1.94), 0.99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-0.22 (-0.56,0.12), 0.21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-0.010 (-0.042,0.022), 0.54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 (0.29,1.36), 0.24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-0.28 (-0.61,0.058), 0.11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-0.032 (-0.067,0.004), 0.081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(Quarter before enrolment quarter  [Q</w:t>
            </w:r>
            <w:r>
              <w:rPr>
                <w:rFonts w:ascii="Arial" w:hAnsi="Arial" w:cs="Arial"/>
                <w:bCs/>
                <w:sz w:val="20"/>
                <w:vertAlign w:val="subscript"/>
              </w:rPr>
              <w:t>-1</w:t>
            </w:r>
            <w:r>
              <w:rPr>
                <w:rFonts w:ascii="Arial" w:hAnsi="Arial" w:cs="Arial"/>
                <w:bCs/>
                <w:sz w:val="20"/>
              </w:rPr>
              <w:t>])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 (0.67,2.29), 0.50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-0.23 (-0.56,0.10), 0.18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-0.001 (-0.031,0.029), 0.93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 (0.65,2.25), 0.54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-0.23 (-0.55,0.084), 0.15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(-0.032,0.027), 0.88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 (0.68,2.36), 0.46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-0.019 (-0.37,0.33), 0.91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 (-0.021,0.040), 0.56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 (0.42,1.75), 0.67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-0.14 (-0.51,0.24), 0.47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-0.013 (-0.047,0.022), 0.47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≥4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 (0.25,1.00), 0.049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-0.23 (-0.49,0.022), 0.073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-0.039 (-0.070,-0.008), 0.013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Calendar 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 (0.70,0.95), 0.010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-0.030 (-0.087,0.026), 0.29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-0.010 (-0.016,-0.003), 0.006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 (0.71,0.98), 0.026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 (-0.049,0.079), 0.65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-0.007 (-0.014,&lt;0.001), 0.061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 (0.84,1.13), 0.75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-0.016 (-0.072,0.040), 0.58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(-0.009,0.005), 0.61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 (0.79,1.08), 0.34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0.078 (0.015,0.14), 0.016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 (-0.008,0.008), 0.93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(2019)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 (0.55,0.91), 0.007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0.025 (-0.075,0.13), 0.63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-0.013 (-0.022,-0.003), 0.011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Treatment</w:t>
            </w:r>
            <w:r>
              <w:rPr>
                <w:rFonts w:ascii="Arial" w:hAnsi="Arial" w:cs="Arial"/>
                <w:sz w:val="20"/>
              </w:rPr>
              <w:t>, 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 (1.12,3.09), 0.017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 (-0.17,0.44), 0.39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0.043 (-0.003,0.090), 0.069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Interaction</w:t>
            </w:r>
            <w:r>
              <w:rPr>
                <w:rFonts w:ascii="Arial" w:hAnsi="Arial" w:cs="Arial"/>
                <w:sz w:val="20"/>
              </w:rPr>
              <w:t>, 2020×PCMH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 (0.15,1.66), 0.26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 (-0.29,0.50), 0.61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-0.037 (-0.10,0.031), 0.28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 (0.95,0.97),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(-0.006, &lt;0.001), 0.14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(-0.002,-0.001),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>, Male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 (0.91,1.24), 0.46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0.046 (-0.005,0.97), 0.077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 (-0.003,0.012), 0.21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Housing</w:t>
            </w:r>
            <w:r>
              <w:rPr>
                <w:rFonts w:ascii="Arial" w:hAnsi="Arial" w:cs="Arial"/>
                <w:sz w:val="20"/>
              </w:rPr>
              <w:t>, Private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 (0.45,4.99), 0.51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0.023 (-0.15,0.19), 0.79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 (-0.052,0.096), 0.57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 &amp; Sikh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 (0.76,2.07), 0.38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0.065 (-0.053,0.18), 0.28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 (-0.014,0.042), 0.32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 (0.41,2.57), 0.97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(-0.16,0.16), 0.98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 (-0.039,0.041), 0.97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 (1.18,1.29),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 (0.004,0.024), 0.007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 (0.008,0.011), &lt;0.001</w:t>
            </w:r>
          </w:p>
        </w:tc>
      </w:tr>
    </w:tbl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7B7B7B" w:themeColor="accent3" w:themeShade="BF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  <w:r>
        <w:rPr>
          <w:rFonts w:ascii="Arial" w:hAnsi="Arial" w:cs="Arial"/>
          <w:b/>
          <w:color w:val="525252" w:themeColor="accent3" w:themeShade="80"/>
          <w:sz w:val="20"/>
        </w:rPr>
        <w:t xml:space="preserve">Appendix Table 4 </w:t>
      </w:r>
      <w:r>
        <w:rPr>
          <w:rFonts w:ascii="Arial" w:hAnsi="Arial" w:cs="Arial"/>
          <w:color w:val="525252" w:themeColor="accent3" w:themeShade="80"/>
          <w:sz w:val="20"/>
        </w:rPr>
        <w:t>Two-part model results for inpatient admissions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143"/>
        <w:gridCol w:w="2205"/>
        <w:gridCol w:w="2205"/>
      </w:tblGrid>
      <w:tr w:rsidR="00502844" w:rsidTr="00502844"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Inpatient Admissions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1 (Logistic)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2 (Poisson)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Log-counts (95% 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Combined (Margins)</w:t>
            </w:r>
          </w:p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/dx (95%CI), </w:t>
            </w: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since enrolment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≥8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-8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 (0.14,0.50),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-0.07 (-0.24,0.086), 0.36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-0.041 (-0.06,-0.02),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7Q quarters before 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-7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 (0.030,0.51), 0.004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-0.10 (-0.29,0.079), 0.27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-0.064 (-0.11,-0.02), 0.003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-6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 (0.24,1.41), 0.23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(-0.31,0.050), 0.16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-0.020 (-0.05,0.01), 0.14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-5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 (0.11,0.86), 0.025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0.084 (-0.23,0.39), 0.60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-0.032 (-0.06,0), 0.049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 (0.14,0.99), 0.047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-0.14 (-0.32,0.035), 0.12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-0.033 (-0.06,0), 0.025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 (0.32,1.58), 0.40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-0.065 (-0.31,0.18), 0.60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-0.012 (-0.04,0.01), 0.34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quarters before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-2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 (0.17,1.11), 0.081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-0.010 (-0.32,0.30), 0.95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-0.025 (-0.05,0), 0.095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(Quarter before enrolment quarter  [Q</w:t>
            </w:r>
            <w:r>
              <w:rPr>
                <w:rFonts w:ascii="Arial" w:hAnsi="Arial" w:cs="Arial"/>
                <w:bCs/>
                <w:sz w:val="20"/>
                <w:vertAlign w:val="subscript"/>
              </w:rPr>
              <w:t>-1</w:t>
            </w:r>
            <w:r>
              <w:rPr>
                <w:rFonts w:ascii="Arial" w:hAnsi="Arial" w:cs="Arial"/>
                <w:bCs/>
                <w:sz w:val="20"/>
              </w:rPr>
              <w:t>])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Enrolment quarter [Q</w:t>
            </w:r>
            <w:r>
              <w:rPr>
                <w:rFonts w:ascii="Arial" w:hAnsi="Arial" w:cs="Arial"/>
                <w:sz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 (0.52,1.98), 0.97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-0.17 (-0.34,-0.011), 0.036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-0.005 (-0.03,0.02), 0.63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 (0.52,2.08), 0.92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-0.16 (-0.34,0.016), 0.075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-0.004 (-0.02,0.02), 0.72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 (0.43,1.79), 0.73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0.091 (-0.14,0.33), 0.45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-&lt;0.001 (-0.02,0.02), 0.94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 (0.40,2.00), 0.79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0.052 (-0.25,0.35), 0.74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(-0.03,0.02), 0.90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≥4 quarters after enrolment quarter  [Q</w:t>
            </w:r>
            <w:r>
              <w:rPr>
                <w:rFonts w:ascii="Arial" w:hAnsi="Arial" w:cs="Arial"/>
                <w:sz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 (0.25,1.07), 0.077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(-0.20,0.21), 0.97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-0.019 (-0.04,0), 0.093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Calendar 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 (0.64,0.91), 0.002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-0.044 (-0.11,0.026), 0.22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-0.010 (-0.02,0), 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 (0.60,0.86),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 (-0.063,0.083), 0.79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-0.010 (-0.02,0), 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 (0.73,1.03), 0.10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-0.048 (-0.12,0.023), 0.19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-0.006 (-0.01,0), 0.042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 (0.72,0.99), 0.039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0.044 (-0.042,0.13), 0.32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-0.004 (-0.01,0), 0.20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(2019)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 (0.68,1.14), 0.34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 (-0.007,0.32), 0.060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 (-0.010,0.012), 0.81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Treatment</w:t>
            </w:r>
            <w:r>
              <w:rPr>
                <w:rFonts w:ascii="Arial" w:hAnsi="Arial" w:cs="Arial"/>
                <w:sz w:val="20"/>
              </w:rPr>
              <w:t>, 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 (1.25,3.80), 0.006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(-0.17,0.17), 0.98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0.030 (-0.001,0.061), 0.06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Interaction</w:t>
            </w:r>
            <w:r>
              <w:rPr>
                <w:rFonts w:ascii="Arial" w:hAnsi="Arial" w:cs="Arial"/>
                <w:sz w:val="20"/>
              </w:rPr>
              <w:t>, 2020×PCMH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 (0.18,1.69), 0.30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-0.13 (-0.49,0.24), 0.50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-0.031 (-0.071,0.010), 0.14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 (0.95,0.97),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(-0.005, 0.001), 0.24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 (-0.001,-&lt;0.001), &lt;0.001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>, Male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 (0.9,1.27), 0.44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 (-0.042,0.060), 0.73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 (-0.003,0.008), 0.41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Housing</w:t>
            </w:r>
            <w:r>
              <w:rPr>
                <w:rFonts w:ascii="Arial" w:hAnsi="Arial" w:cs="Arial"/>
                <w:sz w:val="20"/>
              </w:rPr>
              <w:t>, Private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 (0.44,6.51), 0.45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0.084 (-0.055,0.22), 0.24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 (-0.044,0.092), 0.50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 &amp; Sikh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 (0.46,1.60), 0.64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0.065 (-0.061,0.19), 0.31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(-0.020,0.015), 0.80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ind w:left="3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0.48 (0.22,1.04), 0.062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-0.11 (-0.22,-0.002), 0.047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-0.017 (-0.028,-0.007), 0.001</w:t>
            </w:r>
          </w:p>
        </w:tc>
      </w:tr>
      <w:tr w:rsidR="00502844" w:rsidTr="0050284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844" w:rsidRDefault="005028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 (1.24,1.35),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 (0.012,0.033), &lt;0.001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44" w:rsidRDefault="00502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 (0.007,0.010), &lt;0.001</w:t>
            </w:r>
          </w:p>
        </w:tc>
      </w:tr>
    </w:tbl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 w:val="20"/>
        </w:rPr>
      </w:pPr>
    </w:p>
    <w:p w:rsidR="00502844" w:rsidRDefault="00502844" w:rsidP="00502844">
      <w:pPr>
        <w:spacing w:after="0" w:line="240" w:lineRule="auto"/>
        <w:jc w:val="center"/>
        <w:rPr>
          <w:rFonts w:ascii="Arial" w:hAnsi="Arial" w:cs="Arial"/>
          <w:color w:val="525252" w:themeColor="accent3" w:themeShade="80"/>
          <w:szCs w:val="24"/>
        </w:rPr>
      </w:pPr>
    </w:p>
    <w:p w:rsidR="00502844" w:rsidRDefault="00502844" w:rsidP="00502844">
      <w:pPr>
        <w:rPr>
          <w:rFonts w:ascii="Arial" w:hAnsi="Arial" w:cs="Arial"/>
          <w:color w:val="525252" w:themeColor="accent3" w:themeShade="80"/>
          <w:szCs w:val="24"/>
        </w:rPr>
      </w:pPr>
    </w:p>
    <w:p w:rsidR="00AD1398" w:rsidRDefault="00AD1398">
      <w:bookmarkStart w:id="0" w:name="_GoBack"/>
      <w:bookmarkEnd w:id="0"/>
    </w:p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4"/>
    <w:rsid w:val="00502844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05CCA-8F23-411D-8FC3-A097CD6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44"/>
    <w:pPr>
      <w:spacing w:line="256" w:lineRule="auto"/>
    </w:pPr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2022-02-18T09:10:00Z</dcterms:created>
  <dcterms:modified xsi:type="dcterms:W3CDTF">2022-02-18T09:11:00Z</dcterms:modified>
</cp:coreProperties>
</file>