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26EEC" w14:textId="7C86DE41" w:rsidR="00444629" w:rsidRDefault="003417D7">
      <w:pPr>
        <w:rPr>
          <w:rFonts w:ascii="Palatino Linotype" w:hAnsi="Palatino Linotype"/>
          <w:sz w:val="20"/>
          <w:szCs w:val="20"/>
        </w:rPr>
      </w:pPr>
      <w:r w:rsidRPr="00390C6F">
        <w:rPr>
          <w:rFonts w:ascii="Palatino Linotype" w:hAnsi="Palatino Linotype"/>
          <w:sz w:val="20"/>
          <w:szCs w:val="20"/>
        </w:rPr>
        <w:t>Supplementary methods</w:t>
      </w:r>
      <w:r w:rsidR="003E5B3B">
        <w:rPr>
          <w:rFonts w:ascii="Palatino Linotype" w:hAnsi="Palatino Linotype"/>
          <w:sz w:val="20"/>
          <w:szCs w:val="20"/>
        </w:rPr>
        <w:t xml:space="preserve"> and results</w:t>
      </w:r>
    </w:p>
    <w:p w14:paraId="5D09616B" w14:textId="77777777" w:rsidR="003E5B3B" w:rsidRPr="00390C6F" w:rsidRDefault="003E5B3B">
      <w:pPr>
        <w:rPr>
          <w:rFonts w:ascii="Palatino Linotype" w:hAnsi="Palatino Linotype"/>
          <w:sz w:val="20"/>
          <w:szCs w:val="20"/>
        </w:rPr>
      </w:pPr>
    </w:p>
    <w:p w14:paraId="5BBA691F" w14:textId="77777777" w:rsidR="00620FAA" w:rsidRPr="00620FAA" w:rsidRDefault="00620FAA" w:rsidP="00620FAA">
      <w:pPr>
        <w:autoSpaceDE w:val="0"/>
        <w:autoSpaceDN w:val="0"/>
        <w:adjustRightInd w:val="0"/>
        <w:jc w:val="left"/>
        <w:rPr>
          <w:rFonts w:ascii="Palatino Linotype" w:hAnsi="Palatino Linotype"/>
          <w:b/>
          <w:bCs/>
          <w:sz w:val="20"/>
          <w:szCs w:val="20"/>
        </w:rPr>
      </w:pPr>
      <w:r w:rsidRPr="00620FAA">
        <w:rPr>
          <w:rFonts w:ascii="Palatino Linotype" w:hAnsi="Palatino Linotype"/>
          <w:b/>
          <w:bCs/>
          <w:sz w:val="20"/>
          <w:szCs w:val="20"/>
        </w:rPr>
        <w:t>Methods</w:t>
      </w:r>
    </w:p>
    <w:p w14:paraId="195FAB12" w14:textId="77777777" w:rsidR="00620FAA" w:rsidRPr="00620FAA" w:rsidRDefault="00620FAA" w:rsidP="00620FAA">
      <w:pPr>
        <w:autoSpaceDE w:val="0"/>
        <w:autoSpaceDN w:val="0"/>
        <w:adjustRightInd w:val="0"/>
        <w:jc w:val="left"/>
        <w:rPr>
          <w:rFonts w:ascii="Palatino Linotype" w:hAnsi="Palatino Linotype"/>
          <w:b/>
          <w:bCs/>
          <w:i/>
          <w:iCs/>
          <w:sz w:val="20"/>
          <w:szCs w:val="20"/>
        </w:rPr>
      </w:pPr>
      <w:r w:rsidRPr="00620FAA">
        <w:rPr>
          <w:rFonts w:ascii="Palatino Linotype" w:hAnsi="Palatino Linotype"/>
          <w:b/>
          <w:bCs/>
          <w:i/>
          <w:iCs/>
          <w:sz w:val="20"/>
          <w:szCs w:val="20"/>
        </w:rPr>
        <w:t>Participants</w:t>
      </w:r>
    </w:p>
    <w:p w14:paraId="06329F18" w14:textId="50EE3191" w:rsidR="00620FAA" w:rsidRPr="00620FAA" w:rsidRDefault="00620FAA" w:rsidP="00620FAA">
      <w:pPr>
        <w:autoSpaceDE w:val="0"/>
        <w:autoSpaceDN w:val="0"/>
        <w:adjustRightInd w:val="0"/>
        <w:jc w:val="left"/>
        <w:rPr>
          <w:rFonts w:ascii="Palatino Linotype" w:hAnsi="Palatino Linotype"/>
          <w:sz w:val="20"/>
          <w:szCs w:val="20"/>
        </w:rPr>
      </w:pPr>
      <w:r w:rsidRPr="00620FAA">
        <w:rPr>
          <w:rFonts w:ascii="Palatino Linotype" w:hAnsi="Palatino Linotype"/>
          <w:sz w:val="20"/>
          <w:szCs w:val="20"/>
        </w:rPr>
        <w:t xml:space="preserve">Two patients with severe and mild ischemic stroke participated in the whole-day monitoring session. The first was a 69-year-old male with right mild hemiparesis. The motor impairment was recorded as 20/25 in terms of the </w:t>
      </w:r>
      <w:r w:rsidR="00133515" w:rsidRPr="00620FAA">
        <w:rPr>
          <w:rFonts w:ascii="Palatino Linotype" w:hAnsi="Palatino Linotype"/>
          <w:sz w:val="20"/>
          <w:szCs w:val="20"/>
        </w:rPr>
        <w:t xml:space="preserve">stroke impairment assessment set </w:t>
      </w:r>
      <w:r w:rsidRPr="00620FAA">
        <w:rPr>
          <w:rFonts w:ascii="Palatino Linotype" w:hAnsi="Palatino Linotype"/>
          <w:sz w:val="20"/>
          <w:szCs w:val="20"/>
        </w:rPr>
        <w:t xml:space="preserve">(SIAS) score </w:t>
      </w:r>
      <w:r w:rsidRPr="00620FAA">
        <w:rPr>
          <w:rFonts w:ascii="Palatino Linotype" w:hAnsi="Palatino Linotype"/>
          <w:sz w:val="20"/>
          <w:szCs w:val="20"/>
        </w:rPr>
        <w:fldChar w:fldCharType="begin"/>
      </w:r>
      <w:r w:rsidRPr="00620FAA">
        <w:rPr>
          <w:rFonts w:ascii="Palatino Linotype" w:hAnsi="Palatino Linotype"/>
          <w:sz w:val="20"/>
          <w:szCs w:val="20"/>
        </w:rPr>
        <w:instrText xml:space="preserve"> ADDIN EN.CITE &lt;EndNote&gt;&lt;Cite&gt;&lt;Author&gt;Chino&lt;/Author&gt;&lt;Year&gt;1994&lt;/Year&gt;&lt;RecNum&gt;157&lt;/RecNum&gt;&lt;DisplayText&gt;[1]&lt;/DisplayText&gt;&lt;record&gt;&lt;rec-number&gt;157&lt;/rec-number&gt;&lt;foreign-keys&gt;&lt;key app="EN" db-id="vfad9xwv3xwv21epwxcvxvp0sedeepw2st0p" timestamp="1589258204"&gt;157&lt;/key&gt;&lt;/foreign-keys&gt;&lt;ref-type name="Journal Article"&gt;17&lt;/ref-type&gt;&lt;contributors&gt;&lt;authors&gt;&lt;author&gt;Chino, N&lt;/author&gt;&lt;author&gt;Sonoda, S&lt;/author&gt;&lt;author&gt;Domen, K&lt;/author&gt;&lt;author&gt;Saitoh, E&lt;/author&gt;&lt;author&gt;Kimura, A&lt;/author&gt;&lt;/authors&gt;&lt;/contributors&gt;&lt;titles&gt;&lt;title&gt;Stroke Impairment Assessment Set </w:instrText>
      </w:r>
      <w:r w:rsidRPr="00620FAA">
        <w:rPr>
          <w:rFonts w:ascii="Palatino Linotype" w:hAnsi="Palatino Linotype"/>
          <w:sz w:val="20"/>
          <w:szCs w:val="20"/>
        </w:rPr>
        <w:instrText>（</w:instrText>
      </w:r>
      <w:r w:rsidRPr="00620FAA">
        <w:rPr>
          <w:rFonts w:ascii="Palatino Linotype" w:hAnsi="Palatino Linotype"/>
          <w:sz w:val="20"/>
          <w:szCs w:val="20"/>
        </w:rPr>
        <w:instrText>SIAS</w:instrText>
      </w:r>
      <w:r w:rsidRPr="00620FAA">
        <w:rPr>
          <w:rFonts w:ascii="Palatino Linotype" w:hAnsi="Palatino Linotype"/>
          <w:sz w:val="20"/>
          <w:szCs w:val="20"/>
        </w:rPr>
        <w:instrText>）</w:instrText>
      </w:r>
      <w:r w:rsidRPr="00620FAA">
        <w:rPr>
          <w:rFonts w:ascii="Palatino Linotype" w:hAnsi="Palatino Linotype"/>
          <w:sz w:val="20"/>
          <w:szCs w:val="20"/>
        </w:rPr>
        <w:instrText xml:space="preserve"> a new evaluation instrument for stroke patients&lt;/title&gt;&lt;secondary-title&gt;Jpn J Rehabil Med&lt;/secondary-title&gt;&lt;/titles&gt;&lt;periodical&gt;&lt;full-title&gt;Jpn J Rehabil Med&lt;/full-title&gt;&lt;/periodical&gt;&lt;pages&gt;119-125&lt;/pages&gt;&lt;volume&gt;31&lt;/volume&gt;&lt;number&gt;2&lt;/number&gt;&lt;dates&gt;&lt;year&gt;1994&lt;/year&gt;&lt;/dates&gt;&lt;urls&gt;&lt;/urls&gt;&lt;electronic-resource-num&gt;10.2490/jjrm1963.31.119&lt;/electronic-resource-num&gt;&lt;/record&gt;&lt;/Cite&gt;&lt;/EndNote&gt;</w:instrText>
      </w:r>
      <w:r w:rsidRPr="00620FAA">
        <w:rPr>
          <w:rFonts w:ascii="Palatino Linotype" w:hAnsi="Palatino Linotype"/>
          <w:sz w:val="20"/>
          <w:szCs w:val="20"/>
        </w:rPr>
        <w:fldChar w:fldCharType="separate"/>
      </w:r>
      <w:r w:rsidRPr="00620FAA">
        <w:rPr>
          <w:rFonts w:ascii="Palatino Linotype" w:hAnsi="Palatino Linotype"/>
          <w:sz w:val="20"/>
          <w:szCs w:val="20"/>
        </w:rPr>
        <w:t>[1]</w:t>
      </w:r>
      <w:r w:rsidRPr="00620FAA">
        <w:rPr>
          <w:rFonts w:ascii="Palatino Linotype" w:hAnsi="Palatino Linotype"/>
          <w:sz w:val="20"/>
          <w:szCs w:val="20"/>
        </w:rPr>
        <w:fldChar w:fldCharType="end"/>
      </w:r>
      <w:r w:rsidRPr="00620FAA">
        <w:rPr>
          <w:rFonts w:ascii="Palatino Linotype" w:hAnsi="Palatino Linotype"/>
          <w:sz w:val="20"/>
          <w:szCs w:val="20"/>
        </w:rPr>
        <w:t xml:space="preserve">. The second was a 67-year-old male suffering from left hemiparesis, which was severe. The motor impairment was recorded as 2/25 in the SIAS score. </w:t>
      </w:r>
    </w:p>
    <w:p w14:paraId="5F0E0F1E" w14:textId="77777777" w:rsidR="00620FAA" w:rsidRPr="00620FAA" w:rsidRDefault="00620FAA" w:rsidP="00620FAA">
      <w:pPr>
        <w:autoSpaceDE w:val="0"/>
        <w:autoSpaceDN w:val="0"/>
        <w:adjustRightInd w:val="0"/>
        <w:jc w:val="left"/>
        <w:rPr>
          <w:rFonts w:ascii="Palatino Linotype" w:hAnsi="Palatino Linotype"/>
          <w:b/>
          <w:bCs/>
          <w:sz w:val="20"/>
          <w:szCs w:val="20"/>
        </w:rPr>
      </w:pPr>
    </w:p>
    <w:p w14:paraId="3966E2F7" w14:textId="77777777" w:rsidR="00620FAA" w:rsidRPr="00620FAA" w:rsidRDefault="00620FAA" w:rsidP="00620FAA">
      <w:pPr>
        <w:autoSpaceDE w:val="0"/>
        <w:autoSpaceDN w:val="0"/>
        <w:adjustRightInd w:val="0"/>
        <w:jc w:val="left"/>
        <w:rPr>
          <w:rFonts w:ascii="Palatino Linotype" w:hAnsi="Palatino Linotype"/>
          <w:b/>
          <w:bCs/>
          <w:i/>
          <w:iCs/>
          <w:sz w:val="20"/>
          <w:szCs w:val="20"/>
        </w:rPr>
      </w:pPr>
      <w:r w:rsidRPr="00620FAA">
        <w:rPr>
          <w:rFonts w:ascii="Palatino Linotype" w:hAnsi="Palatino Linotype"/>
          <w:b/>
          <w:bCs/>
          <w:i/>
          <w:iCs/>
          <w:sz w:val="20"/>
          <w:szCs w:val="20"/>
        </w:rPr>
        <w:t>Procedure</w:t>
      </w:r>
    </w:p>
    <w:p w14:paraId="3B1DFB3E" w14:textId="0FA5966D" w:rsidR="00620FAA" w:rsidRPr="00620FAA" w:rsidRDefault="00620FAA" w:rsidP="00620FAA">
      <w:pPr>
        <w:autoSpaceDE w:val="0"/>
        <w:autoSpaceDN w:val="0"/>
        <w:adjustRightInd w:val="0"/>
        <w:jc w:val="left"/>
        <w:rPr>
          <w:rFonts w:ascii="Palatino Linotype" w:hAnsi="Palatino Linotype"/>
          <w:sz w:val="20"/>
          <w:szCs w:val="20"/>
        </w:rPr>
      </w:pPr>
      <w:r w:rsidRPr="00620FAA">
        <w:rPr>
          <w:rFonts w:ascii="Palatino Linotype" w:hAnsi="Palatino Linotype"/>
          <w:sz w:val="20"/>
          <w:szCs w:val="20"/>
        </w:rPr>
        <w:t>For the whole-day measurement session, the</w:t>
      </w:r>
      <w:r w:rsidRPr="00620FAA">
        <w:rPr>
          <w:rFonts w:ascii="Palatino Linotype" w:hAnsi="Palatino Linotype"/>
          <w:i/>
          <w:sz w:val="20"/>
          <w:szCs w:val="20"/>
        </w:rPr>
        <w:t xml:space="preserve"> </w:t>
      </w:r>
      <w:r w:rsidRPr="00620FAA">
        <w:rPr>
          <w:rFonts w:ascii="Palatino Linotype" w:hAnsi="Palatino Linotype"/>
          <w:sz w:val="20"/>
          <w:szCs w:val="20"/>
        </w:rPr>
        <w:t>‘</w:t>
      </w:r>
      <w:proofErr w:type="spellStart"/>
      <w:r w:rsidRPr="00620FAA">
        <w:rPr>
          <w:rFonts w:ascii="Palatino Linotype" w:hAnsi="Palatino Linotype"/>
          <w:i/>
          <w:sz w:val="20"/>
          <w:szCs w:val="20"/>
        </w:rPr>
        <w:t>hitoe</w:t>
      </w:r>
      <w:proofErr w:type="spellEnd"/>
      <w:r w:rsidRPr="00620FAA">
        <w:rPr>
          <w:rFonts w:ascii="Palatino Linotype" w:hAnsi="Palatino Linotype"/>
          <w:i/>
          <w:sz w:val="20"/>
          <w:szCs w:val="20"/>
        </w:rPr>
        <w:t>’</w:t>
      </w:r>
      <w:r w:rsidRPr="00620FAA">
        <w:rPr>
          <w:rFonts w:ascii="Palatino Linotype" w:hAnsi="Palatino Linotype"/>
          <w:sz w:val="20"/>
          <w:szCs w:val="20"/>
        </w:rPr>
        <w:t xml:space="preserve"> smart clothing system was used (see Material and Methods and Figure 1 in the main manuscript). The patients wore a ‘</w:t>
      </w:r>
      <w:proofErr w:type="spellStart"/>
      <w:r w:rsidRPr="00620FAA">
        <w:rPr>
          <w:rFonts w:ascii="Palatino Linotype" w:hAnsi="Palatino Linotype"/>
          <w:i/>
          <w:sz w:val="20"/>
          <w:szCs w:val="20"/>
        </w:rPr>
        <w:t>hitoe</w:t>
      </w:r>
      <w:proofErr w:type="spellEnd"/>
      <w:r w:rsidRPr="00620FAA">
        <w:rPr>
          <w:rFonts w:ascii="Palatino Linotype" w:hAnsi="Palatino Linotype"/>
          <w:i/>
          <w:sz w:val="20"/>
          <w:szCs w:val="20"/>
        </w:rPr>
        <w:t>’</w:t>
      </w:r>
      <w:r w:rsidRPr="00620FAA">
        <w:rPr>
          <w:rFonts w:ascii="Palatino Linotype" w:hAnsi="Palatino Linotype"/>
          <w:sz w:val="20"/>
          <w:szCs w:val="20"/>
        </w:rPr>
        <w:t xml:space="preserve"> wear for consecutive 48 hours from 12:00 on day 1 to 12:00 on day 3. The heart rate and the trunk acceleration were measured with the ‘</w:t>
      </w:r>
      <w:proofErr w:type="spellStart"/>
      <w:r w:rsidRPr="00620FAA">
        <w:rPr>
          <w:rFonts w:ascii="Palatino Linotype" w:hAnsi="Palatino Linotype"/>
          <w:i/>
          <w:sz w:val="20"/>
          <w:szCs w:val="20"/>
        </w:rPr>
        <w:t>hitoe</w:t>
      </w:r>
      <w:proofErr w:type="spellEnd"/>
      <w:r w:rsidRPr="00620FAA">
        <w:rPr>
          <w:rFonts w:ascii="Palatino Linotype" w:hAnsi="Palatino Linotype"/>
          <w:i/>
          <w:sz w:val="20"/>
          <w:szCs w:val="20"/>
        </w:rPr>
        <w:t>’</w:t>
      </w:r>
      <w:r w:rsidRPr="00620FAA">
        <w:rPr>
          <w:rFonts w:ascii="Palatino Linotype" w:hAnsi="Palatino Linotype"/>
          <w:sz w:val="20"/>
          <w:szCs w:val="20"/>
        </w:rPr>
        <w:t xml:space="preserve"> system. The data of 24-hour monitoring from 5:00 at day 2 to 5:00 at day 3 w</w:t>
      </w:r>
      <w:r w:rsidR="00133515">
        <w:rPr>
          <w:rFonts w:ascii="Palatino Linotype" w:hAnsi="Palatino Linotype"/>
          <w:sz w:val="20"/>
          <w:szCs w:val="20"/>
        </w:rPr>
        <w:t>ere</w:t>
      </w:r>
      <w:r w:rsidRPr="00620FAA">
        <w:rPr>
          <w:rFonts w:ascii="Palatino Linotype" w:hAnsi="Palatino Linotype"/>
          <w:sz w:val="20"/>
          <w:szCs w:val="20"/>
        </w:rPr>
        <w:t xml:space="preserve"> extracted for analysis. The moving standard deviation of the acceleration value was used as an index for physical movement intensity. The time course of the values averaged for every 30 mi</w:t>
      </w:r>
      <w:r w:rsidR="00133515">
        <w:rPr>
          <w:rFonts w:ascii="Palatino Linotype" w:hAnsi="Palatino Linotype"/>
          <w:sz w:val="20"/>
          <w:szCs w:val="20"/>
        </w:rPr>
        <w:t>n</w:t>
      </w:r>
      <w:r w:rsidRPr="00620FAA">
        <w:rPr>
          <w:rFonts w:ascii="Palatino Linotype" w:hAnsi="Palatino Linotype"/>
          <w:sz w:val="20"/>
          <w:szCs w:val="20"/>
        </w:rPr>
        <w:t xml:space="preserve"> were used for analysis. The accuracy of heart rate measurement of this system was reported previously </w:t>
      </w:r>
      <w:r w:rsidRPr="00620FAA">
        <w:rPr>
          <w:rFonts w:ascii="Palatino Linotype" w:hAnsi="Palatino Linotype"/>
          <w:sz w:val="20"/>
          <w:szCs w:val="20"/>
        </w:rPr>
        <w:fldChar w:fldCharType="begin"/>
      </w:r>
      <w:r w:rsidRPr="00620FAA">
        <w:rPr>
          <w:rFonts w:ascii="Palatino Linotype" w:hAnsi="Palatino Linotype"/>
          <w:sz w:val="20"/>
          <w:szCs w:val="20"/>
        </w:rPr>
        <w:instrText xml:space="preserve"> ADDIN EN.CITE &lt;EndNote&gt;&lt;Cite&gt;&lt;Author&gt;Tsukada&lt;/Author&gt;&lt;Year&gt;2014&lt;/Year&gt;&lt;RecNum&gt;28&lt;/RecNum&gt;&lt;DisplayText&gt;[2]&lt;/DisplayText&gt;&lt;record&gt;&lt;rec-number&gt;28&lt;/rec-number&gt;&lt;foreign-keys&gt;&lt;key app="EN" db-id="vfad9xwv3xwv21epwxcvxvp0sedeepw2st0p" timestamp="1570879449"&gt;28&lt;/key&gt;&lt;/foreign-keys&gt;&lt;ref-type name="Journal Article"&gt;17&lt;/ref-type&gt;&lt;contributors&gt;&lt;authors&gt;&lt;author&gt;Tsukada, S&lt;/author&gt;&lt;author&gt;Kasai, N&lt;/author&gt;&lt;author&gt;Kawano, R&lt;/author&gt;&lt;author&gt;Takagahara, K&lt;/author&gt;&lt;author&gt;Fujii, K&lt;/author&gt;&lt;author&gt;Sumitomo, K&lt;/author&gt;&lt;/authors&gt;&lt;/contributors&gt;&lt;titles&gt;&lt;title&gt;Electrocardiogram Monitoring Simply by Wearing a Shirt—For Medical, Healthcare, Sports, and Entertainment&lt;/title&gt;&lt;secondary-title&gt;NTT Technical Review&lt;/secondary-title&gt;&lt;/titles&gt;&lt;periodical&gt;&lt;full-title&gt;NTT technical review&lt;/full-title&gt;&lt;/periodical&gt;&lt;pages&gt;1-7&lt;/pages&gt;&lt;volume&gt;12&lt;/volume&gt;&lt;number&gt;4&lt;/number&gt;&lt;dates&gt;&lt;year&gt;2014&lt;/year&gt;&lt;/dates&gt;&lt;urls&gt;&lt;/urls&gt;&lt;/record&gt;&lt;/Cite&gt;&lt;/EndNote&gt;</w:instrText>
      </w:r>
      <w:r w:rsidRPr="00620FAA">
        <w:rPr>
          <w:rFonts w:ascii="Palatino Linotype" w:hAnsi="Palatino Linotype"/>
          <w:sz w:val="20"/>
          <w:szCs w:val="20"/>
        </w:rPr>
        <w:fldChar w:fldCharType="separate"/>
      </w:r>
      <w:r w:rsidRPr="00620FAA">
        <w:rPr>
          <w:rFonts w:ascii="Palatino Linotype" w:hAnsi="Palatino Linotype"/>
          <w:sz w:val="20"/>
          <w:szCs w:val="20"/>
        </w:rPr>
        <w:t>[2]</w:t>
      </w:r>
      <w:r w:rsidRPr="00620FAA">
        <w:rPr>
          <w:rFonts w:ascii="Palatino Linotype" w:hAnsi="Palatino Linotype"/>
          <w:sz w:val="20"/>
          <w:szCs w:val="20"/>
        </w:rPr>
        <w:fldChar w:fldCharType="end"/>
      </w:r>
      <w:r w:rsidRPr="00620FAA">
        <w:rPr>
          <w:rFonts w:ascii="Palatino Linotype" w:hAnsi="Palatino Linotype"/>
          <w:sz w:val="20"/>
          <w:szCs w:val="20"/>
        </w:rPr>
        <w:t>.</w:t>
      </w:r>
    </w:p>
    <w:p w14:paraId="083C4761" w14:textId="77777777" w:rsidR="00620FAA" w:rsidRPr="00620FAA" w:rsidRDefault="00620FAA" w:rsidP="00620FAA">
      <w:pPr>
        <w:autoSpaceDE w:val="0"/>
        <w:autoSpaceDN w:val="0"/>
        <w:adjustRightInd w:val="0"/>
        <w:jc w:val="left"/>
        <w:rPr>
          <w:rFonts w:ascii="Palatino Linotype" w:hAnsi="Palatino Linotype"/>
          <w:b/>
          <w:bCs/>
          <w:sz w:val="20"/>
          <w:szCs w:val="20"/>
        </w:rPr>
      </w:pPr>
    </w:p>
    <w:p w14:paraId="0B8AFD27" w14:textId="77777777" w:rsidR="00620FAA" w:rsidRPr="00620FAA" w:rsidRDefault="00620FAA" w:rsidP="00620FAA">
      <w:pPr>
        <w:autoSpaceDE w:val="0"/>
        <w:autoSpaceDN w:val="0"/>
        <w:adjustRightInd w:val="0"/>
        <w:jc w:val="left"/>
        <w:rPr>
          <w:rFonts w:ascii="Palatino Linotype" w:hAnsi="Palatino Linotype"/>
          <w:b/>
          <w:bCs/>
          <w:sz w:val="20"/>
          <w:szCs w:val="20"/>
        </w:rPr>
      </w:pPr>
      <w:r w:rsidRPr="00620FAA">
        <w:rPr>
          <w:rFonts w:ascii="Palatino Linotype" w:hAnsi="Palatino Linotype"/>
          <w:b/>
          <w:bCs/>
          <w:sz w:val="20"/>
          <w:szCs w:val="20"/>
        </w:rPr>
        <w:t>Results</w:t>
      </w:r>
    </w:p>
    <w:p w14:paraId="6E1E7B63" w14:textId="77777777" w:rsidR="00620FAA" w:rsidRPr="00620FAA" w:rsidRDefault="00620FAA" w:rsidP="00620FAA">
      <w:pPr>
        <w:autoSpaceDE w:val="0"/>
        <w:autoSpaceDN w:val="0"/>
        <w:adjustRightInd w:val="0"/>
        <w:jc w:val="left"/>
        <w:rPr>
          <w:rFonts w:ascii="Palatino Linotype" w:hAnsi="Palatino Linotype"/>
          <w:sz w:val="20"/>
          <w:szCs w:val="20"/>
        </w:rPr>
      </w:pPr>
      <w:r w:rsidRPr="00620FAA">
        <w:rPr>
          <w:rFonts w:ascii="Palatino Linotype" w:hAnsi="Palatino Linotype"/>
          <w:sz w:val="20"/>
          <w:szCs w:val="20"/>
        </w:rPr>
        <w:t xml:space="preserve">Whole-day patterns of heart rate and the MSD, which is an acceleration-based measurement index of movement intensity, in the patients with severe and mild paresis due to stroke are shown in Figure S2. Despite the high increase in heart rate during daytime in patients with severe paresis, the physical movement intensity was lower than the patients with mild paresis. </w:t>
      </w:r>
    </w:p>
    <w:p w14:paraId="2B9F3038" w14:textId="645953E3" w:rsidR="002601DF" w:rsidRDefault="002601DF" w:rsidP="003417D7">
      <w:pPr>
        <w:autoSpaceDE w:val="0"/>
        <w:autoSpaceDN w:val="0"/>
        <w:adjustRightInd w:val="0"/>
        <w:jc w:val="left"/>
        <w:rPr>
          <w:rFonts w:ascii="Palatino Linotype" w:hAnsi="Palatino Linotype" w:cs="Times New Roman"/>
          <w:color w:val="131413"/>
          <w:kern w:val="0"/>
          <w:sz w:val="20"/>
          <w:szCs w:val="20"/>
        </w:rPr>
      </w:pPr>
      <w:r w:rsidRPr="002601DF">
        <w:rPr>
          <w:rFonts w:ascii="Palatino Linotype" w:hAnsi="Palatino Linotype"/>
          <w:noProof/>
          <w:sz w:val="20"/>
          <w:szCs w:val="20"/>
        </w:rPr>
        <w:drawing>
          <wp:inline distT="0" distB="0" distL="0" distR="0" wp14:anchorId="51F41783" wp14:editId="221B741F">
            <wp:extent cx="5731510" cy="3223895"/>
            <wp:effectExtent l="0" t="0" r="0" b="190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3223895"/>
                    </a:xfrm>
                    <a:prstGeom prst="rect">
                      <a:avLst/>
                    </a:prstGeom>
                  </pic:spPr>
                </pic:pic>
              </a:graphicData>
            </a:graphic>
          </wp:inline>
        </w:drawing>
      </w:r>
      <w:r>
        <w:rPr>
          <w:rFonts w:ascii="Palatino Linotype" w:hAnsi="Palatino Linotype"/>
          <w:sz w:val="20"/>
          <w:szCs w:val="20"/>
        </w:rPr>
        <w:t xml:space="preserve"> </w:t>
      </w:r>
    </w:p>
    <w:p w14:paraId="7A4E9631" w14:textId="79526469" w:rsidR="002601DF" w:rsidRDefault="00620FAA" w:rsidP="00620FAA">
      <w:pPr>
        <w:pStyle w:val="MDPI51figurecaption"/>
        <w:ind w:left="284"/>
        <w:rPr>
          <w:color w:val="000000" w:themeColor="text1"/>
          <w:szCs w:val="18"/>
        </w:rPr>
      </w:pPr>
      <w:r w:rsidRPr="00620FAA">
        <w:rPr>
          <w:b/>
          <w:bCs/>
          <w:color w:val="000000" w:themeColor="text1"/>
          <w:szCs w:val="18"/>
        </w:rPr>
        <w:lastRenderedPageBreak/>
        <w:t>Figure S</w:t>
      </w:r>
      <w:r w:rsidR="004E7E92">
        <w:rPr>
          <w:b/>
          <w:bCs/>
          <w:color w:val="000000" w:themeColor="text1"/>
          <w:szCs w:val="18"/>
        </w:rPr>
        <w:t>1</w:t>
      </w:r>
      <w:r w:rsidRPr="00620FAA">
        <w:rPr>
          <w:b/>
          <w:bCs/>
          <w:color w:val="000000" w:themeColor="text1"/>
          <w:szCs w:val="18"/>
        </w:rPr>
        <w:t xml:space="preserve">. </w:t>
      </w:r>
      <w:r w:rsidRPr="00620FAA">
        <w:rPr>
          <w:color w:val="000000" w:themeColor="text1"/>
          <w:szCs w:val="18"/>
        </w:rPr>
        <w:t>Difference in heart rate and movement intensity between patients with severe and mild motor impairment. (A, B) Whole-day pattern of heart rate in a patient with severe paresis (A) and mild paresis (B). (C, D) Whole-day pattern of moving standard deviation of trunk acceleration in a patient with severe paresis (C) and mild paresis (D). MSD; moving standard deviation.</w:t>
      </w:r>
    </w:p>
    <w:p w14:paraId="346E73E7" w14:textId="26B23FEA" w:rsidR="00133515" w:rsidRPr="00133515" w:rsidRDefault="00133515" w:rsidP="00133515">
      <w:pPr>
        <w:pStyle w:val="MDPI51figurecaption"/>
        <w:ind w:left="284"/>
        <w:rPr>
          <w:rFonts w:eastAsiaTheme="minorEastAsia" w:cs="Calibri"/>
          <w:noProof/>
          <w:color w:val="auto"/>
          <w:kern w:val="2"/>
          <w:sz w:val="20"/>
          <w:szCs w:val="24"/>
          <w:lang w:bidi="ar-SA"/>
        </w:rPr>
      </w:pPr>
      <w:r w:rsidRPr="00133515">
        <w:rPr>
          <w:rFonts w:eastAsiaTheme="minorEastAsia" w:cs="Calibri"/>
          <w:noProof/>
          <w:color w:val="auto"/>
          <w:kern w:val="2"/>
          <w:sz w:val="20"/>
          <w:szCs w:val="24"/>
          <w:lang w:bidi="ar-SA"/>
        </w:rPr>
        <w:t xml:space="preserve">1. </w:t>
      </w:r>
      <w:r w:rsidRPr="00133515">
        <w:rPr>
          <w:rFonts w:eastAsiaTheme="minorEastAsia" w:cs="Calibri"/>
          <w:noProof/>
          <w:color w:val="auto"/>
          <w:kern w:val="2"/>
          <w:sz w:val="20"/>
          <w:szCs w:val="24"/>
          <w:lang w:bidi="ar-SA"/>
        </w:rPr>
        <w:tab/>
        <w:t xml:space="preserve">Chino N, Sonoda S, Domen K, Saitoh E, Kimura A. Stroke Impairment Assessment Set </w:t>
      </w:r>
      <w:r>
        <w:rPr>
          <w:rFonts w:eastAsiaTheme="minorEastAsia" w:cs="Calibri"/>
          <w:noProof/>
          <w:color w:val="auto"/>
          <w:kern w:val="2"/>
          <w:sz w:val="20"/>
          <w:szCs w:val="24"/>
          <w:lang w:val="en-GB" w:bidi="ar-SA"/>
        </w:rPr>
        <w:t>(</w:t>
      </w:r>
      <w:r w:rsidRPr="00133515">
        <w:rPr>
          <w:rFonts w:eastAsiaTheme="minorEastAsia" w:cs="Calibri"/>
          <w:noProof/>
          <w:color w:val="auto"/>
          <w:kern w:val="2"/>
          <w:sz w:val="20"/>
          <w:szCs w:val="24"/>
          <w:lang w:bidi="ar-SA"/>
        </w:rPr>
        <w:t>SIAS</w:t>
      </w:r>
      <w:r>
        <w:rPr>
          <w:rFonts w:eastAsiaTheme="minorEastAsia" w:cs="Calibri"/>
          <w:noProof/>
          <w:color w:val="auto"/>
          <w:kern w:val="2"/>
          <w:sz w:val="20"/>
          <w:szCs w:val="24"/>
          <w:lang w:val="en-GB" w:bidi="ar-SA"/>
        </w:rPr>
        <w:t>)</w:t>
      </w:r>
      <w:r w:rsidRPr="00133515">
        <w:rPr>
          <w:rFonts w:eastAsiaTheme="minorEastAsia" w:cs="Calibri"/>
          <w:noProof/>
          <w:color w:val="auto"/>
          <w:kern w:val="2"/>
          <w:sz w:val="20"/>
          <w:szCs w:val="24"/>
          <w:lang w:bidi="ar-SA"/>
        </w:rPr>
        <w:t xml:space="preserve"> a new evaluation instrument for stroke patients. J</w:t>
      </w:r>
      <w:r>
        <w:rPr>
          <w:rFonts w:eastAsiaTheme="minorEastAsia" w:cs="Calibri"/>
          <w:noProof/>
          <w:color w:val="auto"/>
          <w:kern w:val="2"/>
          <w:sz w:val="20"/>
          <w:szCs w:val="24"/>
          <w:lang w:bidi="ar-SA"/>
        </w:rPr>
        <w:t>ap</w:t>
      </w:r>
      <w:r w:rsidRPr="00133515">
        <w:rPr>
          <w:rFonts w:eastAsiaTheme="minorEastAsia" w:cs="Calibri"/>
          <w:noProof/>
          <w:color w:val="auto"/>
          <w:kern w:val="2"/>
          <w:sz w:val="20"/>
          <w:szCs w:val="24"/>
          <w:lang w:bidi="ar-SA"/>
        </w:rPr>
        <w:t xml:space="preserve"> J Rehabil Med. 1994;31:119-25.</w:t>
      </w:r>
    </w:p>
    <w:p w14:paraId="68E3160A" w14:textId="370565FE" w:rsidR="00133515" w:rsidRDefault="00133515" w:rsidP="00133515">
      <w:pPr>
        <w:pStyle w:val="MDPI51figurecaption"/>
        <w:ind w:left="284"/>
        <w:rPr>
          <w:rFonts w:eastAsiaTheme="minorEastAsia" w:cs="Calibri"/>
          <w:noProof/>
          <w:color w:val="auto"/>
          <w:kern w:val="2"/>
          <w:sz w:val="20"/>
          <w:szCs w:val="24"/>
          <w:lang w:bidi="ar-SA"/>
        </w:rPr>
      </w:pPr>
      <w:r w:rsidRPr="00133515">
        <w:rPr>
          <w:rFonts w:eastAsiaTheme="minorEastAsia" w:cs="Calibri"/>
          <w:noProof/>
          <w:color w:val="auto"/>
          <w:kern w:val="2"/>
          <w:sz w:val="20"/>
          <w:szCs w:val="24"/>
          <w:lang w:bidi="ar-SA"/>
        </w:rPr>
        <w:t>2.</w:t>
      </w:r>
      <w:r w:rsidRPr="00133515">
        <w:rPr>
          <w:rFonts w:eastAsiaTheme="minorEastAsia" w:cs="Calibri"/>
          <w:noProof/>
          <w:color w:val="auto"/>
          <w:kern w:val="2"/>
          <w:sz w:val="20"/>
          <w:szCs w:val="24"/>
          <w:lang w:bidi="ar-SA"/>
        </w:rPr>
        <w:tab/>
        <w:t>Tsukada S, Kasai N, Kawano R, Takagahara K, Fujii K, Sumitomo K. Electrocardiogram Monitoring Simply by Wearing a Shirt—For Medical, Healthcare, Sports, and Entertainment. NTT Tech</w:t>
      </w:r>
      <w:r>
        <w:rPr>
          <w:rFonts w:eastAsiaTheme="minorEastAsia" w:cs="Calibri"/>
          <w:noProof/>
          <w:color w:val="auto"/>
          <w:kern w:val="2"/>
          <w:sz w:val="20"/>
          <w:szCs w:val="24"/>
          <w:lang w:bidi="ar-SA"/>
        </w:rPr>
        <w:t xml:space="preserve"> </w:t>
      </w:r>
      <w:r w:rsidRPr="00133515">
        <w:rPr>
          <w:rFonts w:eastAsiaTheme="minorEastAsia" w:cs="Calibri"/>
          <w:noProof/>
          <w:color w:val="auto"/>
          <w:kern w:val="2"/>
          <w:sz w:val="20"/>
          <w:szCs w:val="24"/>
          <w:lang w:bidi="ar-SA"/>
        </w:rPr>
        <w:t>Rev 2014;12:1-7</w:t>
      </w:r>
    </w:p>
    <w:p w14:paraId="30E0C3AD" w14:textId="77777777" w:rsidR="00133515" w:rsidRPr="00133515" w:rsidRDefault="00133515" w:rsidP="00133515">
      <w:pPr>
        <w:pStyle w:val="MDPI51figurecaption"/>
        <w:ind w:left="284"/>
        <w:rPr>
          <w:rFonts w:eastAsiaTheme="minorEastAsia" w:cs="Calibri"/>
          <w:noProof/>
          <w:color w:val="auto"/>
          <w:kern w:val="2"/>
          <w:sz w:val="20"/>
          <w:szCs w:val="24"/>
          <w:lang w:bidi="ar-SA"/>
        </w:rPr>
      </w:pPr>
    </w:p>
    <w:p w14:paraId="10BCA96F" w14:textId="77777777" w:rsidR="00585FC0" w:rsidRPr="00585FC0" w:rsidRDefault="00390C6F" w:rsidP="00585FC0">
      <w:pPr>
        <w:pStyle w:val="EndNoteBibliography"/>
        <w:ind w:left="720" w:hanging="720"/>
        <w:rPr>
          <w:rFonts w:ascii="Palatino Linotype" w:hAnsi="Palatino Linotype"/>
          <w:noProof/>
        </w:rPr>
      </w:pPr>
      <w:r w:rsidRPr="00585FC0">
        <w:rPr>
          <w:rFonts w:ascii="Palatino Linotype" w:hAnsi="Palatino Linotype"/>
          <w:szCs w:val="20"/>
        </w:rPr>
        <w:fldChar w:fldCharType="begin"/>
      </w:r>
      <w:r w:rsidRPr="00585FC0">
        <w:rPr>
          <w:rFonts w:ascii="Palatino Linotype" w:hAnsi="Palatino Linotype"/>
          <w:szCs w:val="20"/>
        </w:rPr>
        <w:instrText xml:space="preserve"> ADDIN EN.REFLIST </w:instrText>
      </w:r>
      <w:r w:rsidRPr="00585FC0">
        <w:rPr>
          <w:rFonts w:ascii="Palatino Linotype" w:hAnsi="Palatino Linotype"/>
          <w:szCs w:val="20"/>
        </w:rPr>
        <w:fldChar w:fldCharType="separate"/>
      </w:r>
      <w:r w:rsidR="00585FC0" w:rsidRPr="00585FC0">
        <w:rPr>
          <w:rFonts w:ascii="Palatino Linotype" w:hAnsi="Palatino Linotype"/>
          <w:noProof/>
        </w:rPr>
        <w:t>1.</w:t>
      </w:r>
      <w:r w:rsidR="00585FC0" w:rsidRPr="00585FC0">
        <w:rPr>
          <w:rFonts w:ascii="Palatino Linotype" w:hAnsi="Palatino Linotype"/>
          <w:noProof/>
        </w:rPr>
        <w:tab/>
        <w:t xml:space="preserve">Chino N, Sonoda S, Domen K, Saitoh E, Kimura A. Stroke Impairment Assessment Set </w:t>
      </w:r>
      <w:r w:rsidR="00585FC0" w:rsidRPr="00585FC0">
        <w:rPr>
          <w:rFonts w:ascii="Palatino Linotype" w:hAnsi="Palatino Linotype"/>
          <w:noProof/>
        </w:rPr>
        <w:t>（</w:t>
      </w:r>
      <w:r w:rsidR="00585FC0" w:rsidRPr="00585FC0">
        <w:rPr>
          <w:rFonts w:ascii="Palatino Linotype" w:hAnsi="Palatino Linotype"/>
          <w:noProof/>
        </w:rPr>
        <w:t>SIAS</w:t>
      </w:r>
      <w:r w:rsidR="00585FC0" w:rsidRPr="00585FC0">
        <w:rPr>
          <w:rFonts w:ascii="Palatino Linotype" w:hAnsi="Palatino Linotype"/>
          <w:noProof/>
        </w:rPr>
        <w:t>）</w:t>
      </w:r>
      <w:r w:rsidR="00585FC0" w:rsidRPr="00585FC0">
        <w:rPr>
          <w:rFonts w:ascii="Palatino Linotype" w:hAnsi="Palatino Linotype"/>
          <w:noProof/>
        </w:rPr>
        <w:t xml:space="preserve"> a new evaluation instrument for stroke patients. Jpn J Rehabil Med.</w:t>
      </w:r>
      <w:r w:rsidR="00585FC0" w:rsidRPr="00585FC0">
        <w:rPr>
          <w:rFonts w:ascii="Palatino Linotype" w:hAnsi="Palatino Linotype"/>
          <w:i/>
          <w:noProof/>
        </w:rPr>
        <w:t xml:space="preserve"> </w:t>
      </w:r>
      <w:r w:rsidR="00585FC0" w:rsidRPr="00585FC0">
        <w:rPr>
          <w:rFonts w:ascii="Palatino Linotype" w:hAnsi="Palatino Linotype"/>
          <w:noProof/>
        </w:rPr>
        <w:t>1994; 31</w:t>
      </w:r>
      <w:r w:rsidR="00585FC0" w:rsidRPr="00585FC0">
        <w:rPr>
          <w:rFonts w:ascii="Palatino Linotype" w:hAnsi="Palatino Linotype"/>
          <w:b/>
          <w:noProof/>
        </w:rPr>
        <w:t>:</w:t>
      </w:r>
      <w:r w:rsidR="00585FC0" w:rsidRPr="00585FC0">
        <w:rPr>
          <w:rFonts w:ascii="Palatino Linotype" w:hAnsi="Palatino Linotype"/>
          <w:noProof/>
        </w:rPr>
        <w:t>119-25.</w:t>
      </w:r>
    </w:p>
    <w:p w14:paraId="3E06DD9D" w14:textId="77777777" w:rsidR="00585FC0" w:rsidRPr="00585FC0" w:rsidRDefault="00585FC0" w:rsidP="00585FC0">
      <w:pPr>
        <w:pStyle w:val="EndNoteBibliography"/>
        <w:ind w:left="720" w:hanging="720"/>
        <w:rPr>
          <w:rFonts w:ascii="Palatino Linotype" w:hAnsi="Palatino Linotype"/>
          <w:noProof/>
        </w:rPr>
      </w:pPr>
      <w:r w:rsidRPr="00585FC0">
        <w:rPr>
          <w:rFonts w:ascii="Palatino Linotype" w:hAnsi="Palatino Linotype"/>
          <w:noProof/>
        </w:rPr>
        <w:t>2.</w:t>
      </w:r>
      <w:r w:rsidRPr="00585FC0">
        <w:rPr>
          <w:rFonts w:ascii="Palatino Linotype" w:hAnsi="Palatino Linotype"/>
          <w:noProof/>
        </w:rPr>
        <w:tab/>
        <w:t>Tsukada S, Kasai N, Kawano R, Takagahara K, Fujii K, Sumitomo K. Electrocardiogram Monitoring Simply by Wearing a Shirt—For Medical, Healthcare, Sports, and Entertainment. NTT Technical Review.</w:t>
      </w:r>
      <w:r w:rsidRPr="00585FC0">
        <w:rPr>
          <w:rFonts w:ascii="Palatino Linotype" w:hAnsi="Palatino Linotype"/>
          <w:i/>
          <w:noProof/>
        </w:rPr>
        <w:t xml:space="preserve"> </w:t>
      </w:r>
      <w:r w:rsidRPr="00585FC0">
        <w:rPr>
          <w:rFonts w:ascii="Palatino Linotype" w:hAnsi="Palatino Linotype"/>
          <w:noProof/>
        </w:rPr>
        <w:t>2014; 12</w:t>
      </w:r>
      <w:r w:rsidRPr="00585FC0">
        <w:rPr>
          <w:rFonts w:ascii="Palatino Linotype" w:hAnsi="Palatino Linotype"/>
          <w:b/>
          <w:noProof/>
        </w:rPr>
        <w:t>:</w:t>
      </w:r>
      <w:r w:rsidRPr="00585FC0">
        <w:rPr>
          <w:rFonts w:ascii="Palatino Linotype" w:hAnsi="Palatino Linotype"/>
          <w:noProof/>
        </w:rPr>
        <w:t>1-7.</w:t>
      </w:r>
    </w:p>
    <w:p w14:paraId="47D2EDE1" w14:textId="46A38C2B" w:rsidR="00801FEF" w:rsidRPr="00563BB6" w:rsidRDefault="00390C6F" w:rsidP="003417D7">
      <w:pPr>
        <w:rPr>
          <w:rFonts w:ascii="Palatino Linotype" w:hAnsi="Palatino Linotype"/>
          <w:sz w:val="20"/>
          <w:szCs w:val="20"/>
        </w:rPr>
      </w:pPr>
      <w:r w:rsidRPr="00585FC0">
        <w:rPr>
          <w:rFonts w:ascii="Palatino Linotype" w:hAnsi="Palatino Linotype"/>
          <w:sz w:val="20"/>
          <w:szCs w:val="20"/>
        </w:rPr>
        <w:fldChar w:fldCharType="end"/>
      </w:r>
    </w:p>
    <w:sectPr w:rsidR="00801FEF" w:rsidRPr="00563BB6" w:rsidSect="006535D6">
      <w:pgSz w:w="11906" w:h="16838"/>
      <w:pgMar w:top="1440" w:right="1440" w:bottom="1440" w:left="1440" w:header="851" w:footer="992" w:gutter="0"/>
      <w:lnNumType w:countBy="1"/>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IJBNPA&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fad9xwv3xwv21epwxcvxvp0sedeepw2st0p&quot;&gt;hitoe validity-Converted&lt;record-ids&gt;&lt;item&gt;28&lt;/item&gt;&lt;item&gt;157&lt;/item&gt;&lt;/record-ids&gt;&lt;/item&gt;&lt;/Libraries&gt;"/>
  </w:docVars>
  <w:rsids>
    <w:rsidRoot w:val="003417D7"/>
    <w:rsid w:val="000114A3"/>
    <w:rsid w:val="0001664E"/>
    <w:rsid w:val="00017ABB"/>
    <w:rsid w:val="00021565"/>
    <w:rsid w:val="0002599F"/>
    <w:rsid w:val="00025A95"/>
    <w:rsid w:val="00033091"/>
    <w:rsid w:val="00045D09"/>
    <w:rsid w:val="0005318E"/>
    <w:rsid w:val="0005773D"/>
    <w:rsid w:val="00073CA2"/>
    <w:rsid w:val="00092A4A"/>
    <w:rsid w:val="000A31A2"/>
    <w:rsid w:val="000B18B6"/>
    <w:rsid w:val="000B3B4E"/>
    <w:rsid w:val="000B6CA8"/>
    <w:rsid w:val="000D1BB4"/>
    <w:rsid w:val="000D4059"/>
    <w:rsid w:val="000E1767"/>
    <w:rsid w:val="000E44A7"/>
    <w:rsid w:val="000F2916"/>
    <w:rsid w:val="000F3471"/>
    <w:rsid w:val="000F6926"/>
    <w:rsid w:val="00112FA7"/>
    <w:rsid w:val="00125C4B"/>
    <w:rsid w:val="00133515"/>
    <w:rsid w:val="00134F0D"/>
    <w:rsid w:val="001408BA"/>
    <w:rsid w:val="00140E35"/>
    <w:rsid w:val="00141158"/>
    <w:rsid w:val="001425BD"/>
    <w:rsid w:val="00146DD7"/>
    <w:rsid w:val="00152E95"/>
    <w:rsid w:val="00156C11"/>
    <w:rsid w:val="001663F2"/>
    <w:rsid w:val="001674A0"/>
    <w:rsid w:val="001679A8"/>
    <w:rsid w:val="00174E4A"/>
    <w:rsid w:val="00181C76"/>
    <w:rsid w:val="00194EF3"/>
    <w:rsid w:val="00197343"/>
    <w:rsid w:val="001A75D0"/>
    <w:rsid w:val="001A7830"/>
    <w:rsid w:val="001B0662"/>
    <w:rsid w:val="001B7358"/>
    <w:rsid w:val="001C45E3"/>
    <w:rsid w:val="001D3157"/>
    <w:rsid w:val="001D4F33"/>
    <w:rsid w:val="001E0B05"/>
    <w:rsid w:val="001E4DD6"/>
    <w:rsid w:val="00220EA9"/>
    <w:rsid w:val="002214ED"/>
    <w:rsid w:val="00227FDC"/>
    <w:rsid w:val="00253D7C"/>
    <w:rsid w:val="002601DF"/>
    <w:rsid w:val="002702DF"/>
    <w:rsid w:val="0027292D"/>
    <w:rsid w:val="00274225"/>
    <w:rsid w:val="00293580"/>
    <w:rsid w:val="002965D8"/>
    <w:rsid w:val="002A0A88"/>
    <w:rsid w:val="002B0C21"/>
    <w:rsid w:val="002B1058"/>
    <w:rsid w:val="002C2101"/>
    <w:rsid w:val="002D2EB9"/>
    <w:rsid w:val="002E5378"/>
    <w:rsid w:val="002F6D81"/>
    <w:rsid w:val="00303D0A"/>
    <w:rsid w:val="00340496"/>
    <w:rsid w:val="003417D7"/>
    <w:rsid w:val="00344070"/>
    <w:rsid w:val="00355C4D"/>
    <w:rsid w:val="0037790B"/>
    <w:rsid w:val="00390A1D"/>
    <w:rsid w:val="00390C6F"/>
    <w:rsid w:val="003A3999"/>
    <w:rsid w:val="003E0F60"/>
    <w:rsid w:val="003E18DB"/>
    <w:rsid w:val="003E5B3B"/>
    <w:rsid w:val="003F0C7B"/>
    <w:rsid w:val="003F5273"/>
    <w:rsid w:val="00421C65"/>
    <w:rsid w:val="00423C34"/>
    <w:rsid w:val="00423C9C"/>
    <w:rsid w:val="004259C3"/>
    <w:rsid w:val="00434FBE"/>
    <w:rsid w:val="00444629"/>
    <w:rsid w:val="00444DE3"/>
    <w:rsid w:val="00462FDF"/>
    <w:rsid w:val="00467B8C"/>
    <w:rsid w:val="004705AC"/>
    <w:rsid w:val="00477866"/>
    <w:rsid w:val="00481498"/>
    <w:rsid w:val="004816CF"/>
    <w:rsid w:val="00497F59"/>
    <w:rsid w:val="004C2F8F"/>
    <w:rsid w:val="004C4AE0"/>
    <w:rsid w:val="004E7E92"/>
    <w:rsid w:val="004F7723"/>
    <w:rsid w:val="00522535"/>
    <w:rsid w:val="005243B4"/>
    <w:rsid w:val="00530A68"/>
    <w:rsid w:val="0055420B"/>
    <w:rsid w:val="005602FD"/>
    <w:rsid w:val="00561ED9"/>
    <w:rsid w:val="00563BB6"/>
    <w:rsid w:val="005711C9"/>
    <w:rsid w:val="0057427D"/>
    <w:rsid w:val="00577027"/>
    <w:rsid w:val="00577B44"/>
    <w:rsid w:val="00583230"/>
    <w:rsid w:val="00585FC0"/>
    <w:rsid w:val="00587385"/>
    <w:rsid w:val="00595BA4"/>
    <w:rsid w:val="005A7E1E"/>
    <w:rsid w:val="005B23F2"/>
    <w:rsid w:val="005B4613"/>
    <w:rsid w:val="005C11FE"/>
    <w:rsid w:val="005C7E92"/>
    <w:rsid w:val="005D2E53"/>
    <w:rsid w:val="005E048B"/>
    <w:rsid w:val="006137B5"/>
    <w:rsid w:val="00620FAA"/>
    <w:rsid w:val="00627081"/>
    <w:rsid w:val="006407FD"/>
    <w:rsid w:val="0064450F"/>
    <w:rsid w:val="006535D6"/>
    <w:rsid w:val="00660284"/>
    <w:rsid w:val="006606F6"/>
    <w:rsid w:val="006705BB"/>
    <w:rsid w:val="00671F7F"/>
    <w:rsid w:val="00681982"/>
    <w:rsid w:val="00683A53"/>
    <w:rsid w:val="0068628B"/>
    <w:rsid w:val="006B4931"/>
    <w:rsid w:val="006C2F67"/>
    <w:rsid w:val="00704112"/>
    <w:rsid w:val="0072039B"/>
    <w:rsid w:val="0072155E"/>
    <w:rsid w:val="00723FEF"/>
    <w:rsid w:val="007245C8"/>
    <w:rsid w:val="007322F0"/>
    <w:rsid w:val="00733ABB"/>
    <w:rsid w:val="00740C96"/>
    <w:rsid w:val="0074358D"/>
    <w:rsid w:val="00747A51"/>
    <w:rsid w:val="007508AC"/>
    <w:rsid w:val="00775992"/>
    <w:rsid w:val="0077770C"/>
    <w:rsid w:val="00780BE3"/>
    <w:rsid w:val="00783A33"/>
    <w:rsid w:val="00790CD8"/>
    <w:rsid w:val="007A306C"/>
    <w:rsid w:val="007A44B9"/>
    <w:rsid w:val="007B534F"/>
    <w:rsid w:val="007C7142"/>
    <w:rsid w:val="007D6B71"/>
    <w:rsid w:val="007F0DF2"/>
    <w:rsid w:val="007F78C6"/>
    <w:rsid w:val="00801FEF"/>
    <w:rsid w:val="008059B1"/>
    <w:rsid w:val="00834BD4"/>
    <w:rsid w:val="00836011"/>
    <w:rsid w:val="00847FF6"/>
    <w:rsid w:val="00854003"/>
    <w:rsid w:val="00864CF5"/>
    <w:rsid w:val="00865221"/>
    <w:rsid w:val="0089096C"/>
    <w:rsid w:val="00891B95"/>
    <w:rsid w:val="008965D9"/>
    <w:rsid w:val="008A480E"/>
    <w:rsid w:val="008A4A1D"/>
    <w:rsid w:val="008A7682"/>
    <w:rsid w:val="008B18B4"/>
    <w:rsid w:val="008B5D2F"/>
    <w:rsid w:val="008D0045"/>
    <w:rsid w:val="008D19D4"/>
    <w:rsid w:val="00923C13"/>
    <w:rsid w:val="0093529D"/>
    <w:rsid w:val="00940A8E"/>
    <w:rsid w:val="00947AF4"/>
    <w:rsid w:val="00960D39"/>
    <w:rsid w:val="00966001"/>
    <w:rsid w:val="00991994"/>
    <w:rsid w:val="00996C76"/>
    <w:rsid w:val="009A0380"/>
    <w:rsid w:val="009A48C6"/>
    <w:rsid w:val="009B182B"/>
    <w:rsid w:val="009C4E9E"/>
    <w:rsid w:val="009E1AE9"/>
    <w:rsid w:val="009E3EE4"/>
    <w:rsid w:val="009F242C"/>
    <w:rsid w:val="009F581E"/>
    <w:rsid w:val="00A03F73"/>
    <w:rsid w:val="00A25D10"/>
    <w:rsid w:val="00A335D4"/>
    <w:rsid w:val="00A34261"/>
    <w:rsid w:val="00A351AD"/>
    <w:rsid w:val="00A42086"/>
    <w:rsid w:val="00A42088"/>
    <w:rsid w:val="00A44A63"/>
    <w:rsid w:val="00A46E60"/>
    <w:rsid w:val="00A558CA"/>
    <w:rsid w:val="00A630C0"/>
    <w:rsid w:val="00A92DB5"/>
    <w:rsid w:val="00A962A0"/>
    <w:rsid w:val="00AA76D1"/>
    <w:rsid w:val="00AB05FA"/>
    <w:rsid w:val="00AB2986"/>
    <w:rsid w:val="00AB507C"/>
    <w:rsid w:val="00AB762E"/>
    <w:rsid w:val="00AC2C1B"/>
    <w:rsid w:val="00AC3388"/>
    <w:rsid w:val="00AC6D16"/>
    <w:rsid w:val="00AD0388"/>
    <w:rsid w:val="00AD3D5E"/>
    <w:rsid w:val="00AD6616"/>
    <w:rsid w:val="00AE144F"/>
    <w:rsid w:val="00AE68EE"/>
    <w:rsid w:val="00AE7B9B"/>
    <w:rsid w:val="00AF0CE1"/>
    <w:rsid w:val="00AF450A"/>
    <w:rsid w:val="00B03995"/>
    <w:rsid w:val="00B11AED"/>
    <w:rsid w:val="00B20BC3"/>
    <w:rsid w:val="00B5232F"/>
    <w:rsid w:val="00B53AB9"/>
    <w:rsid w:val="00B578F5"/>
    <w:rsid w:val="00B83488"/>
    <w:rsid w:val="00B86C19"/>
    <w:rsid w:val="00B9145A"/>
    <w:rsid w:val="00B931CB"/>
    <w:rsid w:val="00B94978"/>
    <w:rsid w:val="00B9792A"/>
    <w:rsid w:val="00BA30C8"/>
    <w:rsid w:val="00BB16EE"/>
    <w:rsid w:val="00BB7CD5"/>
    <w:rsid w:val="00BC5962"/>
    <w:rsid w:val="00BE09AF"/>
    <w:rsid w:val="00BF30F8"/>
    <w:rsid w:val="00C119E3"/>
    <w:rsid w:val="00C40818"/>
    <w:rsid w:val="00C43E2A"/>
    <w:rsid w:val="00C44DDC"/>
    <w:rsid w:val="00C46346"/>
    <w:rsid w:val="00CA390A"/>
    <w:rsid w:val="00CB5C8D"/>
    <w:rsid w:val="00CC2302"/>
    <w:rsid w:val="00CC3DDE"/>
    <w:rsid w:val="00CD39CC"/>
    <w:rsid w:val="00CF2B0C"/>
    <w:rsid w:val="00D079F0"/>
    <w:rsid w:val="00D11FC4"/>
    <w:rsid w:val="00D13B4E"/>
    <w:rsid w:val="00D213CF"/>
    <w:rsid w:val="00D32B0B"/>
    <w:rsid w:val="00D53D19"/>
    <w:rsid w:val="00D60302"/>
    <w:rsid w:val="00D66B69"/>
    <w:rsid w:val="00D7022B"/>
    <w:rsid w:val="00D71C5A"/>
    <w:rsid w:val="00D86512"/>
    <w:rsid w:val="00D95E38"/>
    <w:rsid w:val="00D9659A"/>
    <w:rsid w:val="00D978D2"/>
    <w:rsid w:val="00DA6158"/>
    <w:rsid w:val="00DA63D3"/>
    <w:rsid w:val="00DC53DA"/>
    <w:rsid w:val="00DC5A80"/>
    <w:rsid w:val="00DF07E7"/>
    <w:rsid w:val="00E039B3"/>
    <w:rsid w:val="00E07EA0"/>
    <w:rsid w:val="00E1069C"/>
    <w:rsid w:val="00E1391B"/>
    <w:rsid w:val="00E374CE"/>
    <w:rsid w:val="00E37B2A"/>
    <w:rsid w:val="00E41643"/>
    <w:rsid w:val="00E61D83"/>
    <w:rsid w:val="00EA2691"/>
    <w:rsid w:val="00EA44C7"/>
    <w:rsid w:val="00EA7304"/>
    <w:rsid w:val="00EB1E3C"/>
    <w:rsid w:val="00ED52C9"/>
    <w:rsid w:val="00F06089"/>
    <w:rsid w:val="00F1583A"/>
    <w:rsid w:val="00F35FF0"/>
    <w:rsid w:val="00F4384D"/>
    <w:rsid w:val="00F6776E"/>
    <w:rsid w:val="00F722B6"/>
    <w:rsid w:val="00F72422"/>
    <w:rsid w:val="00F7260E"/>
    <w:rsid w:val="00F91329"/>
    <w:rsid w:val="00FA142E"/>
    <w:rsid w:val="00FA420B"/>
    <w:rsid w:val="00FB0EA7"/>
    <w:rsid w:val="00FB3696"/>
    <w:rsid w:val="00FC5A8B"/>
    <w:rsid w:val="00FC6B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2E0367"/>
  <w15:chartTrackingRefBased/>
  <w15:docId w15:val="{6BF89D84-E13B-7A46-AFA7-3BAC6C167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0"/>
    <w:rsid w:val="00390C6F"/>
    <w:pPr>
      <w:jc w:val="center"/>
    </w:pPr>
    <w:rPr>
      <w:rFonts w:ascii="Calibri" w:hAnsi="Calibri" w:cs="Calibri"/>
      <w:sz w:val="20"/>
    </w:rPr>
  </w:style>
  <w:style w:type="character" w:customStyle="1" w:styleId="EndNoteBibliographyTitle0">
    <w:name w:val="EndNote Bibliography Title (文字)"/>
    <w:basedOn w:val="DefaultParagraphFont"/>
    <w:link w:val="EndNoteBibliographyTitle"/>
    <w:rsid w:val="00390C6F"/>
    <w:rPr>
      <w:rFonts w:ascii="Calibri" w:hAnsi="Calibri" w:cs="Calibri"/>
      <w:sz w:val="20"/>
    </w:rPr>
  </w:style>
  <w:style w:type="paragraph" w:customStyle="1" w:styleId="EndNoteBibliography">
    <w:name w:val="EndNote Bibliography"/>
    <w:basedOn w:val="Normal"/>
    <w:link w:val="EndNoteBibliography0"/>
    <w:rsid w:val="00390C6F"/>
    <w:rPr>
      <w:rFonts w:ascii="Calibri" w:hAnsi="Calibri" w:cs="Calibri"/>
      <w:sz w:val="20"/>
    </w:rPr>
  </w:style>
  <w:style w:type="character" w:customStyle="1" w:styleId="EndNoteBibliography0">
    <w:name w:val="EndNote Bibliography (文字)"/>
    <w:basedOn w:val="DefaultParagraphFont"/>
    <w:link w:val="EndNoteBibliography"/>
    <w:rsid w:val="00390C6F"/>
    <w:rPr>
      <w:rFonts w:ascii="Calibri" w:hAnsi="Calibri" w:cs="Calibri"/>
      <w:sz w:val="20"/>
    </w:rPr>
  </w:style>
  <w:style w:type="paragraph" w:customStyle="1" w:styleId="MDPI51figurecaption">
    <w:name w:val="MDPI_5.1_figure_caption"/>
    <w:qFormat/>
    <w:rsid w:val="003E5B3B"/>
    <w:pPr>
      <w:adjustRightInd w:val="0"/>
      <w:snapToGrid w:val="0"/>
      <w:spacing w:before="120" w:after="240" w:line="228" w:lineRule="auto"/>
      <w:ind w:left="2608"/>
    </w:pPr>
    <w:rPr>
      <w:rFonts w:ascii="Palatino Linotype" w:eastAsia="Times New Roman" w:hAnsi="Palatino Linotype" w:cs="Times New Roman"/>
      <w:color w:val="000000"/>
      <w:kern w:val="0"/>
      <w:sz w:val="18"/>
      <w:szCs w:val="20"/>
      <w:lang w:eastAsia="de-DE" w:bidi="en-US"/>
    </w:rPr>
  </w:style>
  <w:style w:type="character" w:styleId="LineNumber">
    <w:name w:val="line number"/>
    <w:basedOn w:val="DefaultParagraphFont"/>
    <w:uiPriority w:val="99"/>
    <w:semiHidden/>
    <w:unhideWhenUsed/>
    <w:rsid w:val="006535D6"/>
  </w:style>
  <w:style w:type="character" w:styleId="CommentReference">
    <w:name w:val="annotation reference"/>
    <w:basedOn w:val="DefaultParagraphFont"/>
    <w:uiPriority w:val="99"/>
    <w:semiHidden/>
    <w:unhideWhenUsed/>
    <w:rsid w:val="00620FAA"/>
    <w:rPr>
      <w:sz w:val="16"/>
      <w:szCs w:val="16"/>
    </w:rPr>
  </w:style>
  <w:style w:type="paragraph" w:styleId="CommentText">
    <w:name w:val="annotation text"/>
    <w:basedOn w:val="Normal"/>
    <w:link w:val="CommentTextChar"/>
    <w:uiPriority w:val="99"/>
    <w:semiHidden/>
    <w:unhideWhenUsed/>
    <w:rsid w:val="00620FAA"/>
    <w:rPr>
      <w:sz w:val="20"/>
      <w:szCs w:val="20"/>
      <w:lang w:eastAsia="ja-JP"/>
    </w:rPr>
  </w:style>
  <w:style w:type="character" w:customStyle="1" w:styleId="CommentTextChar">
    <w:name w:val="Comment Text Char"/>
    <w:basedOn w:val="DefaultParagraphFont"/>
    <w:link w:val="CommentText"/>
    <w:uiPriority w:val="99"/>
    <w:semiHidden/>
    <w:rsid w:val="00620FAA"/>
    <w:rPr>
      <w:sz w:val="20"/>
      <w:szCs w:val="20"/>
      <w:lang w:eastAsia="ja-JP"/>
    </w:rPr>
  </w:style>
  <w:style w:type="paragraph" w:styleId="Revision">
    <w:name w:val="Revision"/>
    <w:hidden/>
    <w:uiPriority w:val="99"/>
    <w:semiHidden/>
    <w:rsid w:val="00133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920639">
      <w:bodyDiv w:val="1"/>
      <w:marLeft w:val="0"/>
      <w:marRight w:val="0"/>
      <w:marTop w:val="0"/>
      <w:marBottom w:val="0"/>
      <w:divBdr>
        <w:top w:val="none" w:sz="0" w:space="0" w:color="auto"/>
        <w:left w:val="none" w:sz="0" w:space="0" w:color="auto"/>
        <w:bottom w:val="none" w:sz="0" w:space="0" w:color="auto"/>
        <w:right w:val="none" w:sz="0" w:space="0" w:color="auto"/>
      </w:divBdr>
    </w:div>
    <w:div w:id="771122695">
      <w:bodyDiv w:val="1"/>
      <w:marLeft w:val="0"/>
      <w:marRight w:val="0"/>
      <w:marTop w:val="0"/>
      <w:marBottom w:val="0"/>
      <w:divBdr>
        <w:top w:val="none" w:sz="0" w:space="0" w:color="auto"/>
        <w:left w:val="none" w:sz="0" w:space="0" w:color="auto"/>
        <w:bottom w:val="none" w:sz="0" w:space="0" w:color="auto"/>
        <w:right w:val="none" w:sz="0" w:space="0" w:color="auto"/>
      </w:divBdr>
    </w:div>
    <w:div w:id="147633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684</Words>
  <Characters>3904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masahiko mukaino</dc:creator>
  <cp:keywords/>
  <dc:description/>
  <cp:lastModifiedBy>Author</cp:lastModifiedBy>
  <cp:revision>4</cp:revision>
  <dcterms:created xsi:type="dcterms:W3CDTF">2021-11-22T13:17:00Z</dcterms:created>
  <dcterms:modified xsi:type="dcterms:W3CDTF">2021-11-26T12:08:00Z</dcterms:modified>
</cp:coreProperties>
</file>