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9388" w14:textId="77777777" w:rsidR="00496DE8" w:rsidRDefault="00496DE8" w:rsidP="00496DE8">
      <w:pPr>
        <w:spacing w:line="480" w:lineRule="auto"/>
        <w:rPr>
          <w:rFonts w:ascii="Times New Roman" w:hAnsi="Times New Roman"/>
          <w:b/>
          <w:iCs/>
          <w:sz w:val="20"/>
          <w:szCs w:val="20"/>
        </w:rPr>
      </w:pPr>
      <w:r w:rsidRPr="00ED1265">
        <w:rPr>
          <w:rFonts w:ascii="Times New Roman" w:hAnsi="Times New Roman"/>
          <w:b/>
          <w:iCs/>
          <w:sz w:val="20"/>
          <w:szCs w:val="20"/>
        </w:rPr>
        <w:t>Is the Clinical Course of Non-</w:t>
      </w:r>
      <w:proofErr w:type="spellStart"/>
      <w:r w:rsidRPr="00ED1265">
        <w:rPr>
          <w:rFonts w:ascii="Times New Roman" w:hAnsi="Times New Roman"/>
          <w:b/>
          <w:iCs/>
          <w:sz w:val="20"/>
          <w:szCs w:val="20"/>
        </w:rPr>
        <w:t>Arteritic</w:t>
      </w:r>
      <w:proofErr w:type="spellEnd"/>
      <w:r w:rsidRPr="00ED1265">
        <w:rPr>
          <w:rFonts w:ascii="Times New Roman" w:hAnsi="Times New Roman"/>
          <w:b/>
          <w:iCs/>
          <w:sz w:val="20"/>
          <w:szCs w:val="20"/>
        </w:rPr>
        <w:t xml:space="preserve"> Ischemic Optic Neuropathy Associated with Oxidative Damage and the Dynamics of the Antioxidant Response?</w:t>
      </w:r>
      <w:r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DA2B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Int </w:t>
      </w:r>
      <w:proofErr w:type="spellStart"/>
      <w:r w:rsidRPr="00DA2B78">
        <w:rPr>
          <w:rFonts w:ascii="Times New Roman" w:hAnsi="Times New Roman" w:cs="Times New Roman"/>
          <w:sz w:val="20"/>
          <w:szCs w:val="20"/>
          <w:shd w:val="clear" w:color="auto" w:fill="FFFFFF"/>
        </w:rPr>
        <w:t>Ophthalmol</w:t>
      </w:r>
      <w:proofErr w:type="spellEnd"/>
      <w:r w:rsidRPr="00DA2B7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151CAA57" w14:textId="77777777" w:rsidR="00496DE8" w:rsidRPr="00ED1265" w:rsidRDefault="00496DE8" w:rsidP="00496DE8">
      <w:pPr>
        <w:spacing w:line="480" w:lineRule="auto"/>
        <w:rPr>
          <w:rFonts w:ascii="Times New Roman" w:hAnsi="Times New Roman"/>
          <w:sz w:val="20"/>
          <w:szCs w:val="20"/>
        </w:rPr>
      </w:pPr>
      <w:r w:rsidRPr="00ED1265">
        <w:rPr>
          <w:rFonts w:ascii="Times New Roman" w:hAnsi="Times New Roman" w:cs="Times New Roman"/>
          <w:sz w:val="20"/>
          <w:szCs w:val="20"/>
        </w:rPr>
        <w:t>Engin</w:t>
      </w:r>
      <w:r>
        <w:rPr>
          <w:rFonts w:ascii="Times New Roman" w:hAnsi="Times New Roman" w:cs="Times New Roman"/>
          <w:sz w:val="20"/>
          <w:szCs w:val="20"/>
        </w:rPr>
        <w:t xml:space="preserve"> KN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Harmancı</w:t>
      </w:r>
      <w:proofErr w:type="spellEnd"/>
      <w:r w:rsidRPr="00ED1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Karagülle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 w:rsidRPr="001E52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Durmaz</w:t>
      </w:r>
      <w:proofErr w:type="spellEnd"/>
      <w:r w:rsidRPr="00ED1265">
        <w:rPr>
          <w:rFonts w:ascii="Times New Roman" w:hAnsi="Times New Roman" w:cs="Times New Roman"/>
          <w:sz w:val="20"/>
          <w:szCs w:val="20"/>
        </w:rPr>
        <w:t xml:space="preserve"> Engin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 w:rsidRPr="001E5210">
        <w:rPr>
          <w:rFonts w:ascii="Times New Roman" w:hAnsi="Times New Roman" w:cs="Times New Roman"/>
          <w:sz w:val="20"/>
          <w:szCs w:val="20"/>
        </w:rPr>
        <w:t xml:space="preserve"> </w:t>
      </w:r>
      <w:r w:rsidRPr="00ED1265">
        <w:rPr>
          <w:rFonts w:ascii="Times New Roman" w:hAnsi="Times New Roman" w:cs="Times New Roman"/>
          <w:sz w:val="20"/>
          <w:szCs w:val="20"/>
        </w:rPr>
        <w:t>Kant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 w:rsidRPr="001E52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Yaman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 w:rsidRPr="001E52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Akış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 w:rsidRPr="001E5210">
        <w:rPr>
          <w:rFonts w:ascii="Times New Roman" w:hAnsi="Times New Roman" w:cs="Times New Roman"/>
          <w:sz w:val="20"/>
          <w:szCs w:val="20"/>
        </w:rPr>
        <w:t xml:space="preserve"> </w:t>
      </w:r>
      <w:r w:rsidRPr="00ED1265">
        <w:rPr>
          <w:rFonts w:ascii="Times New Roman" w:hAnsi="Times New Roman" w:cs="Times New Roman"/>
          <w:sz w:val="20"/>
          <w:szCs w:val="20"/>
        </w:rPr>
        <w:t xml:space="preserve">Özel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Yıldız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 w:rsidRPr="001E52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İşlekel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 w:rsidRPr="001E52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Güner</w:t>
      </w:r>
      <w:proofErr w:type="spellEnd"/>
      <w:r w:rsidRPr="00ED1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Akdoğan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</w:t>
      </w:r>
      <w:r w:rsidRPr="00ED1265">
        <w:rPr>
          <w:rFonts w:ascii="Times New Roman" w:hAnsi="Times New Roman" w:cs="Times New Roman"/>
          <w:sz w:val="20"/>
          <w:szCs w:val="20"/>
        </w:rPr>
        <w:t>,</w:t>
      </w:r>
      <w:r w:rsidRPr="00DA2B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Söylev</w:t>
      </w:r>
      <w:proofErr w:type="spellEnd"/>
      <w:r w:rsidRPr="00ED1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Bajin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M.</w:t>
      </w:r>
    </w:p>
    <w:p w14:paraId="07BF8E98" w14:textId="77777777" w:rsidR="00496DE8" w:rsidRPr="00DA2B78" w:rsidRDefault="00496DE8" w:rsidP="00496DE8">
      <w:pPr>
        <w:spacing w:line="480" w:lineRule="auto"/>
        <w:jc w:val="both"/>
        <w:rPr>
          <w:rFonts w:ascii="Times New Roman" w:hAnsi="Times New Roman" w:cs="Arial"/>
          <w:b/>
          <w:sz w:val="20"/>
          <w:szCs w:val="20"/>
        </w:rPr>
      </w:pPr>
      <w:r w:rsidRPr="00ED1265">
        <w:rPr>
          <w:rFonts w:ascii="Times New Roman" w:hAnsi="Times New Roman" w:cs="Arial"/>
          <w:b/>
          <w:sz w:val="20"/>
          <w:szCs w:val="20"/>
        </w:rPr>
        <w:t>Corresponding Author:</w:t>
      </w:r>
      <w:r>
        <w:rPr>
          <w:rFonts w:ascii="Times New Roman" w:hAnsi="Times New Roman" w:cs="Arial"/>
          <w:b/>
          <w:sz w:val="20"/>
          <w:szCs w:val="20"/>
        </w:rPr>
        <w:t xml:space="preserve"> </w:t>
      </w:r>
      <w:r w:rsidRPr="00ED1265">
        <w:rPr>
          <w:rFonts w:ascii="Times New Roman" w:hAnsi="Times New Roman" w:cs="Times New Roman"/>
          <w:sz w:val="20"/>
          <w:szCs w:val="20"/>
        </w:rPr>
        <w:t xml:space="preserve">Kaya </w:t>
      </w:r>
      <w:proofErr w:type="spellStart"/>
      <w:r w:rsidRPr="00ED1265">
        <w:rPr>
          <w:rFonts w:ascii="Times New Roman" w:hAnsi="Times New Roman" w:cs="Times New Roman"/>
          <w:sz w:val="20"/>
          <w:szCs w:val="20"/>
        </w:rPr>
        <w:t>Nusret</w:t>
      </w:r>
      <w:proofErr w:type="spellEnd"/>
      <w:r w:rsidRPr="00ED12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Engin, kayanengin@hotmail.com</w:t>
      </w:r>
    </w:p>
    <w:p w14:paraId="5ACE1F87" w14:textId="77777777" w:rsidR="00496DE8" w:rsidRPr="00ED1265" w:rsidRDefault="00496DE8" w:rsidP="00496DE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 w:rsidRPr="00ED1265">
        <w:rPr>
          <w:rFonts w:ascii="Times New Roman" w:hAnsi="Times New Roman" w:cs="Times New Roman"/>
          <w:sz w:val="20"/>
          <w:szCs w:val="20"/>
        </w:rPr>
        <w:t>Sağlık</w:t>
      </w:r>
      <w:proofErr w:type="spellEnd"/>
      <w:r w:rsidRPr="00ED1265">
        <w:rPr>
          <w:rFonts w:ascii="Times New Roman" w:hAnsi="Times New Roman" w:cs="Times New Roman"/>
          <w:sz w:val="20"/>
          <w:szCs w:val="20"/>
        </w:rPr>
        <w:t xml:space="preserve"> University, </w:t>
      </w:r>
      <w:proofErr w:type="spellStart"/>
      <w:r w:rsidRPr="00ED1265">
        <w:rPr>
          <w:rFonts w:ascii="Times New Roman" w:hAnsi="Times New Roman" w:cs="Arial"/>
          <w:sz w:val="20"/>
          <w:szCs w:val="20"/>
        </w:rPr>
        <w:t>Ü</w:t>
      </w:r>
      <w:r w:rsidRPr="00ED1265">
        <w:rPr>
          <w:rFonts w:ascii="Times New Roman" w:hAnsi="Times New Roman" w:cs="Arial"/>
          <w:bCs/>
          <w:sz w:val="20"/>
          <w:szCs w:val="20"/>
        </w:rPr>
        <w:t>mraniye</w:t>
      </w:r>
      <w:proofErr w:type="spellEnd"/>
      <w:r w:rsidRPr="00ED1265">
        <w:rPr>
          <w:rFonts w:ascii="Times New Roman" w:hAnsi="Times New Roman" w:cs="Arial"/>
          <w:bCs/>
          <w:sz w:val="20"/>
          <w:szCs w:val="20"/>
        </w:rPr>
        <w:t xml:space="preserve"> Education and Research Hospital, Department of Ophthalmology. Istanbul/Turkey</w:t>
      </w:r>
    </w:p>
    <w:p w14:paraId="0AC12E1C" w14:textId="77777777" w:rsidR="00720EB4" w:rsidRPr="00496DE8" w:rsidRDefault="00720EB4" w:rsidP="00000A9B">
      <w:pPr>
        <w:spacing w:line="480" w:lineRule="auto"/>
        <w:ind w:right="-2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617A730" w14:textId="0B83978F" w:rsidR="00000A9B" w:rsidRPr="00496DE8" w:rsidRDefault="00000A9B" w:rsidP="00000A9B">
      <w:pPr>
        <w:spacing w:line="48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658" w:type="dxa"/>
        <w:jc w:val="center"/>
        <w:tblLayout w:type="fixed"/>
        <w:tblLook w:val="0000" w:firstRow="0" w:lastRow="0" w:firstColumn="0" w:lastColumn="0" w:noHBand="0" w:noVBand="0"/>
      </w:tblPr>
      <w:tblGrid>
        <w:gridCol w:w="1098"/>
        <w:gridCol w:w="431"/>
        <w:gridCol w:w="732"/>
        <w:gridCol w:w="733"/>
        <w:gridCol w:w="733"/>
        <w:gridCol w:w="732"/>
        <w:gridCol w:w="733"/>
        <w:gridCol w:w="733"/>
        <w:gridCol w:w="733"/>
      </w:tblGrid>
      <w:tr w:rsidR="00496DE8" w:rsidRPr="00496DE8" w14:paraId="705C21C9" w14:textId="77777777" w:rsidTr="00D802DB">
        <w:trPr>
          <w:trHeight w:val="274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C5FA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E2A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Vision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F406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C Vs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E02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IOP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4BEAF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c/d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383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RNFL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D342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MT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783E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Glu</w:t>
            </w:r>
          </w:p>
        </w:tc>
      </w:tr>
      <w:tr w:rsidR="00496DE8" w:rsidRPr="00496DE8" w14:paraId="72F010DF" w14:textId="77777777" w:rsidTr="00D802DB">
        <w:trPr>
          <w:trHeight w:val="263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89194D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9C6D6C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6DE8">
              <w:rPr>
                <w:rFonts w:ascii="Arial" w:hAnsi="Arial" w:cs="Arial"/>
                <w:sz w:val="16"/>
                <w:szCs w:val="16"/>
              </w:rPr>
              <w:t>r</w:t>
            </w:r>
            <w:r w:rsidRPr="00496DE8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1EA8E3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,405</w:t>
            </w:r>
            <w:r w:rsidRPr="00496DE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tr-TR" w:eastAsia="tr-TR"/>
              </w:rPr>
              <w:t>*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24218C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-,582</w:t>
            </w:r>
            <w:r w:rsidRPr="00496DE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tr-TR" w:eastAsia="tr-TR"/>
              </w:rPr>
              <w:t>**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E78E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,112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1A04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,086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F3DA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-,205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0D49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,075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60718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,241</w:t>
            </w:r>
          </w:p>
        </w:tc>
      </w:tr>
      <w:tr w:rsidR="00496DE8" w:rsidRPr="00496DE8" w14:paraId="4500343A" w14:textId="77777777" w:rsidTr="00D802DB">
        <w:trPr>
          <w:trHeight w:val="296"/>
          <w:jc w:val="center"/>
        </w:trPr>
        <w:tc>
          <w:tcPr>
            <w:tcW w:w="10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42A20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911C3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F436EF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,019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EEC373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EB190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,533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BBE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,636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B578C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,253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A6C6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,679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D7D6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,199</w:t>
            </w:r>
          </w:p>
        </w:tc>
      </w:tr>
      <w:tr w:rsidR="00496DE8" w:rsidRPr="00496DE8" w14:paraId="3A84FBAC" w14:textId="77777777" w:rsidTr="00D802DB">
        <w:trPr>
          <w:trHeight w:val="296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0792D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8099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7351D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A1759E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1DB7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D8CE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3023C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997E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66106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</w:tr>
      <w:tr w:rsidR="00496DE8" w:rsidRPr="00496DE8" w14:paraId="62A4FC84" w14:textId="77777777" w:rsidTr="00D802DB">
        <w:trPr>
          <w:trHeight w:val="257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B7BCD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Vision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D374C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6DE8">
              <w:rPr>
                <w:rFonts w:ascii="Arial" w:hAnsi="Arial" w:cs="Arial"/>
                <w:sz w:val="16"/>
                <w:szCs w:val="16"/>
              </w:rPr>
              <w:t>r</w:t>
            </w:r>
            <w:r w:rsidRPr="00496DE8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  <w:proofErr w:type="spellEnd"/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vAlign w:val="center"/>
          </w:tcPr>
          <w:p w14:paraId="6C33710C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1,000</w:t>
            </w:r>
          </w:p>
          <w:p w14:paraId="0C84BE2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B7F2A6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-,633</w:t>
            </w:r>
            <w:r w:rsidRPr="00496DE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tr-TR" w:eastAsia="tr-TR"/>
              </w:rPr>
              <w:t>**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A2AD3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,207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9BB1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,143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FAB4469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-,601</w:t>
            </w:r>
            <w:r w:rsidRPr="00496DE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tr-TR" w:eastAsia="tr-TR"/>
              </w:rPr>
              <w:t>**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C4EED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-,151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CD1A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,252</w:t>
            </w:r>
          </w:p>
        </w:tc>
      </w:tr>
      <w:tr w:rsidR="00496DE8" w:rsidRPr="00496DE8" w14:paraId="3A322651" w14:textId="77777777" w:rsidTr="00D802DB">
        <w:trPr>
          <w:trHeight w:val="276"/>
          <w:jc w:val="center"/>
        </w:trPr>
        <w:tc>
          <w:tcPr>
            <w:tcW w:w="10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83AFA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B7FA9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32" w:type="dxa"/>
            <w:vMerge/>
            <w:tcBorders>
              <w:left w:val="single" w:sz="4" w:space="0" w:color="000000"/>
            </w:tcBorders>
            <w:shd w:val="clear" w:color="auto" w:fill="000000"/>
            <w:vAlign w:val="center"/>
          </w:tcPr>
          <w:p w14:paraId="3DDD2D2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91A9BF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F432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,247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0DE0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,429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4C13AF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0FC5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,401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DD55D3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,179</w:t>
            </w:r>
          </w:p>
        </w:tc>
      </w:tr>
      <w:tr w:rsidR="00496DE8" w:rsidRPr="00496DE8" w14:paraId="2BAEF9B1" w14:textId="77777777" w:rsidTr="00D802DB">
        <w:trPr>
          <w:trHeight w:val="276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4C0C7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537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2D537093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512778A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0D58D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D7C21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3DFEC2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AEA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29EB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</w:tr>
      <w:tr w:rsidR="00496DE8" w:rsidRPr="00496DE8" w14:paraId="0EB9D528" w14:textId="77777777" w:rsidTr="00D802DB">
        <w:trPr>
          <w:trHeight w:val="279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ADCBC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C Vs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6F47E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6DE8">
              <w:rPr>
                <w:rFonts w:ascii="Arial" w:hAnsi="Arial" w:cs="Arial"/>
                <w:sz w:val="16"/>
                <w:szCs w:val="16"/>
              </w:rPr>
              <w:t>r</w:t>
            </w:r>
            <w:r w:rsidRPr="00496DE8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826C5E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-,633</w:t>
            </w:r>
            <w:r w:rsidRPr="00496DE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tr-TR" w:eastAsia="tr-TR"/>
              </w:rPr>
              <w:t>**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vAlign w:val="center"/>
          </w:tcPr>
          <w:p w14:paraId="22823BD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1,000</w:t>
            </w:r>
          </w:p>
          <w:p w14:paraId="793E0DDA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65C3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-,108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1CF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-,211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D589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,314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8F6D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,106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3FCE6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-,344</w:t>
            </w:r>
          </w:p>
        </w:tc>
      </w:tr>
      <w:tr w:rsidR="00496DE8" w:rsidRPr="00496DE8" w14:paraId="615EB605" w14:textId="77777777" w:rsidTr="00D802DB">
        <w:trPr>
          <w:trHeight w:val="269"/>
          <w:jc w:val="center"/>
        </w:trPr>
        <w:tc>
          <w:tcPr>
            <w:tcW w:w="10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0B98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507233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03A004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,000</w:t>
            </w: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000000"/>
            <w:vAlign w:val="center"/>
          </w:tcPr>
          <w:p w14:paraId="6C292690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57C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,548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A261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,239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5342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,075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9230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,558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B02F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,063</w:t>
            </w:r>
          </w:p>
        </w:tc>
      </w:tr>
      <w:tr w:rsidR="00496DE8" w:rsidRPr="00496DE8" w14:paraId="25D536A2" w14:textId="77777777" w:rsidTr="00D802DB">
        <w:trPr>
          <w:trHeight w:val="269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9BF4D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AC8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162F8A0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2CE90691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A67F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903F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B076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135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6B0CC3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</w:tr>
      <w:tr w:rsidR="00496DE8" w:rsidRPr="00496DE8" w14:paraId="4E0DB6DB" w14:textId="77777777" w:rsidTr="00D802DB">
        <w:trPr>
          <w:trHeight w:val="286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9DBB9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IOP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338EC6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6DE8">
              <w:rPr>
                <w:rFonts w:ascii="Arial" w:hAnsi="Arial" w:cs="Arial"/>
                <w:sz w:val="16"/>
                <w:szCs w:val="16"/>
              </w:rPr>
              <w:t>r</w:t>
            </w:r>
            <w:r w:rsidRPr="00496DE8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9399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,207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332C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-,108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vAlign w:val="center"/>
          </w:tcPr>
          <w:p w14:paraId="5E5F6C0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1,000</w:t>
            </w:r>
          </w:p>
          <w:p w14:paraId="0DC05F2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F126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,036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15B2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-,043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28BF6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,041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016F6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-,168</w:t>
            </w:r>
          </w:p>
        </w:tc>
      </w:tr>
      <w:tr w:rsidR="00496DE8" w:rsidRPr="00496DE8" w14:paraId="05964FFF" w14:textId="77777777" w:rsidTr="00D802DB">
        <w:trPr>
          <w:trHeight w:val="263"/>
          <w:jc w:val="center"/>
        </w:trPr>
        <w:tc>
          <w:tcPr>
            <w:tcW w:w="10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2CC114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80E1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122C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,247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F40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,548</w:t>
            </w: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000000"/>
            <w:vAlign w:val="center"/>
          </w:tcPr>
          <w:p w14:paraId="7738ACC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907E9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,843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169B6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,810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12C7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,822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1346F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,374</w:t>
            </w:r>
          </w:p>
        </w:tc>
      </w:tr>
      <w:tr w:rsidR="00496DE8" w:rsidRPr="00496DE8" w14:paraId="16896316" w14:textId="77777777" w:rsidTr="00D802DB">
        <w:trPr>
          <w:trHeight w:val="263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78A14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140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3416A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161A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07CC8EA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9529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348D9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7151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CE0B03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</w:tr>
      <w:tr w:rsidR="00496DE8" w:rsidRPr="00496DE8" w14:paraId="2164AC86" w14:textId="77777777" w:rsidTr="00D802DB">
        <w:trPr>
          <w:trHeight w:val="266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AAF32C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c/d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3FB0F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6DE8">
              <w:rPr>
                <w:rFonts w:ascii="Arial" w:hAnsi="Arial" w:cs="Arial"/>
                <w:sz w:val="16"/>
                <w:szCs w:val="16"/>
              </w:rPr>
              <w:t>r</w:t>
            </w:r>
            <w:r w:rsidRPr="00496DE8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475E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,143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030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-,211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CCA6D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,036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vAlign w:val="center"/>
          </w:tcPr>
          <w:p w14:paraId="179EC23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1,000</w:t>
            </w:r>
          </w:p>
          <w:p w14:paraId="408D9351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97461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-,087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25A93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-,199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968C1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-,198</w:t>
            </w:r>
          </w:p>
        </w:tc>
      </w:tr>
      <w:tr w:rsidR="00496DE8" w:rsidRPr="00496DE8" w14:paraId="5ACA674D" w14:textId="77777777" w:rsidTr="00D802DB">
        <w:trPr>
          <w:trHeight w:val="285"/>
          <w:jc w:val="center"/>
        </w:trPr>
        <w:tc>
          <w:tcPr>
            <w:tcW w:w="10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3B66A0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DCC8B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CDDFD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,429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CEDA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,239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6091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,843</w:t>
            </w:r>
          </w:p>
        </w:tc>
        <w:tc>
          <w:tcPr>
            <w:tcW w:w="732" w:type="dxa"/>
            <w:vMerge/>
            <w:tcBorders>
              <w:left w:val="single" w:sz="4" w:space="0" w:color="000000"/>
            </w:tcBorders>
            <w:shd w:val="clear" w:color="auto" w:fill="000000"/>
            <w:vAlign w:val="center"/>
          </w:tcPr>
          <w:p w14:paraId="4337A700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E775A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,629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950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,267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4205D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,294</w:t>
            </w:r>
          </w:p>
        </w:tc>
      </w:tr>
      <w:tr w:rsidR="00496DE8" w:rsidRPr="00496DE8" w14:paraId="01FA202A" w14:textId="77777777" w:rsidTr="00D802DB">
        <w:trPr>
          <w:trHeight w:val="285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D4CF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C8E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89570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D5E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240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806141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46E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65E63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F004EF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</w:tr>
      <w:tr w:rsidR="00496DE8" w:rsidRPr="00496DE8" w14:paraId="30CA748F" w14:textId="77777777" w:rsidTr="00D802DB">
        <w:trPr>
          <w:trHeight w:val="274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B0AED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RNFL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30682A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6DE8">
              <w:rPr>
                <w:rFonts w:ascii="Arial" w:hAnsi="Arial" w:cs="Arial"/>
                <w:sz w:val="16"/>
                <w:szCs w:val="16"/>
              </w:rPr>
              <w:t>r</w:t>
            </w:r>
            <w:r w:rsidRPr="00496DE8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818FFF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-,601</w:t>
            </w:r>
            <w:r w:rsidRPr="00496DE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tr-TR" w:eastAsia="tr-TR"/>
              </w:rPr>
              <w:t>**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1092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,314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966F3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-,043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F5831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-,087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vAlign w:val="center"/>
          </w:tcPr>
          <w:p w14:paraId="1207071A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1,000</w:t>
            </w:r>
          </w:p>
          <w:p w14:paraId="32A825DF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A30A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,237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8BE5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-,070</w:t>
            </w:r>
          </w:p>
        </w:tc>
      </w:tr>
      <w:tr w:rsidR="00496DE8" w:rsidRPr="00496DE8" w14:paraId="03428212" w14:textId="77777777" w:rsidTr="00D802DB">
        <w:trPr>
          <w:trHeight w:val="265"/>
          <w:jc w:val="center"/>
        </w:trPr>
        <w:tc>
          <w:tcPr>
            <w:tcW w:w="10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E655D5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77BBF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8721E8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95B2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,075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A1591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,810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634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,629</w:t>
            </w: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000000"/>
            <w:vAlign w:val="center"/>
          </w:tcPr>
          <w:p w14:paraId="7A602BC1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B8073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,185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BA700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,712</w:t>
            </w:r>
          </w:p>
        </w:tc>
      </w:tr>
      <w:tr w:rsidR="00496DE8" w:rsidRPr="00496DE8" w14:paraId="0972A119" w14:textId="77777777" w:rsidTr="00D802DB">
        <w:trPr>
          <w:trHeight w:val="265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4A290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46B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56F4B4C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89AD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A250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F9A6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07C81E10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60D9A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492DA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</w:tr>
      <w:tr w:rsidR="00496DE8" w:rsidRPr="00496DE8" w14:paraId="2B8E6844" w14:textId="77777777" w:rsidTr="00D802DB">
        <w:trPr>
          <w:trHeight w:val="283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9ADEC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MT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612F9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6DE8">
              <w:rPr>
                <w:rFonts w:ascii="Arial" w:hAnsi="Arial" w:cs="Arial"/>
                <w:sz w:val="16"/>
                <w:szCs w:val="16"/>
              </w:rPr>
              <w:t>r</w:t>
            </w:r>
            <w:r w:rsidRPr="00496DE8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B8FA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-,151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273F9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,106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F8C9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,041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355A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-,199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B7A9D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,237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0000" w:themeFill="text1"/>
            <w:vAlign w:val="center"/>
          </w:tcPr>
          <w:p w14:paraId="485BA65C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1,00</w:t>
            </w:r>
          </w:p>
          <w:p w14:paraId="7F0A02A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144B0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-,065</w:t>
            </w:r>
          </w:p>
        </w:tc>
      </w:tr>
      <w:tr w:rsidR="00496DE8" w:rsidRPr="00496DE8" w14:paraId="6A08A923" w14:textId="77777777" w:rsidTr="00D802DB">
        <w:trPr>
          <w:trHeight w:val="259"/>
          <w:jc w:val="center"/>
        </w:trPr>
        <w:tc>
          <w:tcPr>
            <w:tcW w:w="10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42B8B2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43CC9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CC6B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,401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0DA5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,558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E0E0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,822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0C91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,267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0524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,185</w:t>
            </w: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000000" w:themeFill="text1"/>
            <w:vAlign w:val="center"/>
          </w:tcPr>
          <w:p w14:paraId="2051211F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0661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,734</w:t>
            </w:r>
          </w:p>
        </w:tc>
      </w:tr>
      <w:tr w:rsidR="00496DE8" w:rsidRPr="00496DE8" w14:paraId="2FD02DD5" w14:textId="77777777" w:rsidTr="00D802DB">
        <w:trPr>
          <w:trHeight w:val="259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D936E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DC7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BF70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1A9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19960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CA26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8D83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09EB899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AA7B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</w:tr>
      <w:tr w:rsidR="00496DE8" w:rsidRPr="00496DE8" w14:paraId="2DDDC29A" w14:textId="77777777" w:rsidTr="00D802DB">
        <w:trPr>
          <w:trHeight w:val="277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7B19DF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MD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C638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6DE8">
              <w:rPr>
                <w:rFonts w:ascii="Arial" w:hAnsi="Arial" w:cs="Arial"/>
                <w:sz w:val="16"/>
                <w:szCs w:val="16"/>
              </w:rPr>
              <w:t>r</w:t>
            </w:r>
            <w:r w:rsidRPr="00496DE8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A130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-,151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E670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,265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96E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,143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3502A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-,119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742F6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099D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A384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,025</w:t>
            </w:r>
          </w:p>
        </w:tc>
      </w:tr>
      <w:tr w:rsidR="00496DE8" w:rsidRPr="00496DE8" w14:paraId="4EAD7AFF" w14:textId="77777777" w:rsidTr="00D802DB">
        <w:trPr>
          <w:trHeight w:val="281"/>
          <w:jc w:val="center"/>
        </w:trPr>
        <w:tc>
          <w:tcPr>
            <w:tcW w:w="10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F5A60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AD2D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7644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,402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363A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,136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351D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,427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6BDC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,509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B68FD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,226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88C1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,945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61B9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,895</w:t>
            </w:r>
          </w:p>
        </w:tc>
      </w:tr>
      <w:tr w:rsidR="00496DE8" w:rsidRPr="00496DE8" w14:paraId="2679ADF7" w14:textId="77777777" w:rsidTr="00D802DB">
        <w:trPr>
          <w:trHeight w:val="281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46E3D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FFAF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E19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087C3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528F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7A5C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CC5FC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40E9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1947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</w:tr>
      <w:tr w:rsidR="00496DE8" w:rsidRPr="00496DE8" w14:paraId="17F566AE" w14:textId="77777777" w:rsidTr="00D802DB">
        <w:trPr>
          <w:trHeight w:val="271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13A5A3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PSD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62DEF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6DE8">
              <w:rPr>
                <w:rFonts w:ascii="Arial" w:hAnsi="Arial" w:cs="Arial"/>
                <w:sz w:val="16"/>
                <w:szCs w:val="16"/>
              </w:rPr>
              <w:t>r</w:t>
            </w:r>
            <w:r w:rsidRPr="00496DE8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343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90EB3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,322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5D85F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-,022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8B3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-,081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B29CC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-,049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6421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,127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12AD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-,281</w:t>
            </w:r>
          </w:p>
        </w:tc>
      </w:tr>
      <w:tr w:rsidR="00496DE8" w:rsidRPr="00496DE8" w14:paraId="09532E6A" w14:textId="77777777" w:rsidTr="00D802DB">
        <w:trPr>
          <w:trHeight w:val="275"/>
          <w:jc w:val="center"/>
        </w:trPr>
        <w:tc>
          <w:tcPr>
            <w:tcW w:w="10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70DC41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BE888C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9420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,618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6878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,068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9BAA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,904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817D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,656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9D09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,788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3293A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,483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17070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,133</w:t>
            </w:r>
          </w:p>
        </w:tc>
      </w:tr>
      <w:tr w:rsidR="00496DE8" w:rsidRPr="00496DE8" w14:paraId="21D6CA9D" w14:textId="77777777" w:rsidTr="00D802DB">
        <w:trPr>
          <w:trHeight w:val="275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550D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BB90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6ACA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09B4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2C399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8A4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329B1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36716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66D2A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</w:tr>
      <w:tr w:rsidR="00496DE8" w:rsidRPr="00496DE8" w14:paraId="22F6B427" w14:textId="77777777" w:rsidTr="00D802DB">
        <w:trPr>
          <w:trHeight w:val="265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27A12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Glu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5E573F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6DE8">
              <w:rPr>
                <w:rFonts w:ascii="Arial" w:hAnsi="Arial" w:cs="Arial"/>
                <w:sz w:val="16"/>
                <w:szCs w:val="16"/>
              </w:rPr>
              <w:t>r</w:t>
            </w:r>
            <w:r w:rsidRPr="00496DE8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5CBF3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,252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E0EBC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-,344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7F38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-,168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6427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-,198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14A9D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-,070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8527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-,065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6810422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1,000</w:t>
            </w:r>
          </w:p>
          <w:p w14:paraId="52C6780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496DE8" w:rsidRPr="00496DE8" w14:paraId="05111D4E" w14:textId="77777777" w:rsidTr="00D802DB">
        <w:trPr>
          <w:trHeight w:val="283"/>
          <w:jc w:val="center"/>
        </w:trPr>
        <w:tc>
          <w:tcPr>
            <w:tcW w:w="10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A0452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4BAEC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3B06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,179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3098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,063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5D0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,374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ABF5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,294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B58B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,712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7B58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,734</w:t>
            </w:r>
          </w:p>
        </w:tc>
        <w:tc>
          <w:tcPr>
            <w:tcW w:w="7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258BF3B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DE8" w:rsidRPr="00496DE8" w14:paraId="38341306" w14:textId="77777777" w:rsidTr="00D802DB">
        <w:trPr>
          <w:trHeight w:val="283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F5CD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A9B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AF3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0B3BD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C1C9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EEB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E9D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E5F21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73344B2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</w:p>
        </w:tc>
      </w:tr>
      <w:tr w:rsidR="00496DE8" w:rsidRPr="00496DE8" w14:paraId="6E728749" w14:textId="77777777" w:rsidTr="00D802DB">
        <w:trPr>
          <w:trHeight w:val="273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CAB0C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Ch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BEBAD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6DE8">
              <w:rPr>
                <w:rFonts w:ascii="Arial" w:hAnsi="Arial" w:cs="Arial"/>
                <w:sz w:val="16"/>
                <w:szCs w:val="16"/>
              </w:rPr>
              <w:t>r</w:t>
            </w:r>
            <w:r w:rsidRPr="00496DE8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D269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E210E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-,098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70AC0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,313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43A8C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-,173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6DBAF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6A5B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-,219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0087D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-,220</w:t>
            </w:r>
          </w:p>
        </w:tc>
      </w:tr>
      <w:tr w:rsidR="00496DE8" w:rsidRPr="00496DE8" w14:paraId="72D2D16B" w14:textId="77777777" w:rsidTr="00D802DB">
        <w:trPr>
          <w:trHeight w:val="277"/>
          <w:jc w:val="center"/>
        </w:trPr>
        <w:tc>
          <w:tcPr>
            <w:tcW w:w="10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D0098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C917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5A90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,953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0B8C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,594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AE75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,081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ABF9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,344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57D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,927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E613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,228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37455" w14:textId="77777777" w:rsidR="00496DE8" w:rsidRPr="00496DE8" w:rsidRDefault="00496DE8" w:rsidP="00D802DB">
            <w:pPr>
              <w:ind w:right="-2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,243</w:t>
            </w:r>
          </w:p>
        </w:tc>
      </w:tr>
      <w:tr w:rsidR="00496DE8" w:rsidRPr="00496DE8" w14:paraId="65F92321" w14:textId="77777777" w:rsidTr="00D802DB">
        <w:trPr>
          <w:trHeight w:val="277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CB8EF7B" w14:textId="77777777" w:rsidR="00496DE8" w:rsidRPr="00496DE8" w:rsidRDefault="00496DE8" w:rsidP="00D802DB">
            <w:pPr>
              <w:snapToGrid w:val="0"/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DC8140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DE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FB54248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7BCBA2B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E3EE0C2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D4143D9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BD4BFB7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BCB87D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9A44" w14:textId="77777777" w:rsidR="00496DE8" w:rsidRPr="00496DE8" w:rsidRDefault="00496DE8" w:rsidP="00D802DB">
            <w:pPr>
              <w:ind w:right="-2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496DE8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</w:tr>
    </w:tbl>
    <w:p w14:paraId="5439684D" w14:textId="77777777" w:rsidR="00496DE8" w:rsidRDefault="00496DE8">
      <w:pPr>
        <w:rPr>
          <w:rFonts w:ascii="Times New Roman" w:hAnsi="Times New Roman"/>
          <w:sz w:val="20"/>
          <w:szCs w:val="20"/>
        </w:rPr>
      </w:pPr>
    </w:p>
    <w:p w14:paraId="5AA940B5" w14:textId="77CF8F6A" w:rsidR="008B1330" w:rsidRPr="00496DE8" w:rsidRDefault="005D49DA" w:rsidP="005D49DA">
      <w:pPr>
        <w:spacing w:line="480" w:lineRule="auto"/>
        <w:jc w:val="both"/>
        <w:rPr>
          <w:sz w:val="20"/>
          <w:szCs w:val="20"/>
        </w:rPr>
      </w:pPr>
      <w:r w:rsidRPr="005D49DA">
        <w:rPr>
          <w:rFonts w:ascii="Times New Roman" w:hAnsi="Times New Roman"/>
          <w:sz w:val="20"/>
          <w:szCs w:val="20"/>
        </w:rPr>
        <w:lastRenderedPageBreak/>
        <w:t>ESM_3</w:t>
      </w:r>
      <w:r w:rsidR="00496DE8" w:rsidRPr="00496DE8">
        <w:rPr>
          <w:rFonts w:ascii="Times New Roman" w:hAnsi="Times New Roman"/>
          <w:sz w:val="20"/>
          <w:szCs w:val="20"/>
        </w:rPr>
        <w:t>: Correlation analysis between clinical and biochemical data showing non-</w:t>
      </w:r>
      <w:r w:rsidR="00496DE8" w:rsidRPr="00496DE8">
        <w:rPr>
          <w:rFonts w:ascii="Times New Roman" w:hAnsi="Times New Roman" w:cs="Times New Roman"/>
          <w:sz w:val="20"/>
          <w:szCs w:val="20"/>
        </w:rPr>
        <w:t>parametric distributions</w:t>
      </w:r>
      <w:r w:rsidR="00496DE8" w:rsidRPr="00496DE8">
        <w:rPr>
          <w:rFonts w:ascii="Times New Roman" w:hAnsi="Times New Roman"/>
          <w:sz w:val="20"/>
          <w:szCs w:val="20"/>
        </w:rPr>
        <w:t xml:space="preserve"> in the patient group. </w:t>
      </w:r>
      <w:proofErr w:type="spellStart"/>
      <w:r w:rsidR="00496DE8" w:rsidRPr="00496DE8">
        <w:rPr>
          <w:rFonts w:ascii="Times New Roman" w:hAnsi="Times New Roman" w:cs="Times New Roman"/>
          <w:bCs/>
          <w:sz w:val="20"/>
          <w:szCs w:val="20"/>
        </w:rPr>
        <w:t>r</w:t>
      </w:r>
      <w:r w:rsidR="00496DE8" w:rsidRPr="00496DE8">
        <w:rPr>
          <w:rFonts w:ascii="Arial" w:hAnsi="Arial" w:cs="Arial"/>
          <w:sz w:val="20"/>
          <w:szCs w:val="20"/>
          <w:vertAlign w:val="subscript"/>
        </w:rPr>
        <w:t>s</w:t>
      </w:r>
      <w:proofErr w:type="spellEnd"/>
      <w:r w:rsidR="00496DE8" w:rsidRPr="00496DE8">
        <w:rPr>
          <w:rFonts w:ascii="Times New Roman" w:hAnsi="Times New Roman" w:cs="Times New Roman"/>
          <w:bCs/>
          <w:sz w:val="20"/>
          <w:szCs w:val="20"/>
        </w:rPr>
        <w:t>: Spearman’s c</w:t>
      </w:r>
      <w:r w:rsidR="00496DE8" w:rsidRPr="00496DE8">
        <w:rPr>
          <w:rFonts w:ascii="Times New Roman" w:hAnsi="Times New Roman" w:cs="Times New Roman"/>
          <w:sz w:val="20"/>
          <w:szCs w:val="20"/>
        </w:rPr>
        <w:t xml:space="preserve">orrelation coefficient, p: 2-tailed p value, C Vs: Color vision, IOP: Intraocular pressure, </w:t>
      </w:r>
      <w:r w:rsidR="00496DE8" w:rsidRPr="00496DE8">
        <w:rPr>
          <w:rFonts w:ascii="Times New Roman" w:hAnsi="Times New Roman" w:cs="Times New Roman"/>
          <w:bCs/>
          <w:sz w:val="20"/>
          <w:szCs w:val="20"/>
        </w:rPr>
        <w:t xml:space="preserve">c/d: cup disc ratio, RNFL: Retinal nerve fiber layer analysis, </w:t>
      </w:r>
      <w:r w:rsidR="00496DE8" w:rsidRPr="00496DE8">
        <w:rPr>
          <w:rFonts w:ascii="Times New Roman" w:hAnsi="Times New Roman" w:cs="Times New Roman"/>
          <w:sz w:val="20"/>
          <w:szCs w:val="20"/>
        </w:rPr>
        <w:t xml:space="preserve">MT: Macular thickness, MD: Mean deviation, PSD: Pattern standard deviation, Glu: Glucose, Ch: </w:t>
      </w:r>
      <w:proofErr w:type="spellStart"/>
      <w:r w:rsidR="00496DE8" w:rsidRPr="00496DE8">
        <w:rPr>
          <w:rFonts w:ascii="Times New Roman" w:hAnsi="Times New Roman" w:cs="Times New Roman"/>
          <w:sz w:val="20"/>
          <w:szCs w:val="20"/>
        </w:rPr>
        <w:t>Choesterol</w:t>
      </w:r>
      <w:proofErr w:type="spellEnd"/>
      <w:r w:rsidR="00496DE8" w:rsidRPr="00496DE8">
        <w:rPr>
          <w:rFonts w:ascii="Times New Roman" w:hAnsi="Times New Roman" w:cs="Times New Roman"/>
          <w:sz w:val="20"/>
          <w:szCs w:val="20"/>
        </w:rPr>
        <w:t>. *: p&lt;0.05 significant, **: p&lt;0.01 very significant (Significant and very significant correlations are represented in light and dark grey, respectively).</w:t>
      </w:r>
    </w:p>
    <w:sectPr w:rsidR="008B1330" w:rsidRPr="0049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34"/>
    <w:rsid w:val="00000A9B"/>
    <w:rsid w:val="00234D34"/>
    <w:rsid w:val="00295D24"/>
    <w:rsid w:val="00496DE8"/>
    <w:rsid w:val="005D49DA"/>
    <w:rsid w:val="00720EB4"/>
    <w:rsid w:val="008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5B62"/>
  <w15:chartTrackingRefBased/>
  <w15:docId w15:val="{2DEEBBF9-6DA9-4CEB-953F-080E14CD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D24"/>
    <w:pPr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Engin</dc:creator>
  <cp:keywords/>
  <dc:description/>
  <cp:lastModifiedBy>Kaya Engin</cp:lastModifiedBy>
  <cp:revision>6</cp:revision>
  <dcterms:created xsi:type="dcterms:W3CDTF">2021-08-03T20:19:00Z</dcterms:created>
  <dcterms:modified xsi:type="dcterms:W3CDTF">2021-12-06T09:52:00Z</dcterms:modified>
</cp:coreProperties>
</file>