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480" w:lineRule="auto"/>
        <w:rPr>
          <w:rFonts w:ascii="Times New Roman" w:hAnsi="Times New Roman" w:eastAsia="宋体" w:cs="Times New Roman"/>
          <w:b/>
          <w:sz w:val="24"/>
          <w:szCs w:val="24"/>
        </w:rPr>
      </w:pPr>
      <w:r>
        <w:rPr>
          <w:rFonts w:ascii="Times New Roman" w:hAnsi="Times New Roman" w:eastAsia="宋体" w:cs="Times New Roman"/>
          <w:b/>
          <w:sz w:val="24"/>
          <w:szCs w:val="24"/>
        </w:rPr>
        <w:t>Supplementary material</w:t>
      </w:r>
    </w:p>
    <w:p>
      <w:pPr>
        <w:spacing w:line="480" w:lineRule="auto"/>
        <w:jc w:val="left"/>
        <w:rPr>
          <w:rFonts w:ascii="Times New Roman" w:hAnsi="Times New Roman" w:eastAsia="宋体" w:cs="Times New Roman"/>
          <w:b/>
          <w:sz w:val="24"/>
          <w:szCs w:val="24"/>
        </w:rPr>
      </w:pPr>
      <w:r>
        <w:rPr>
          <w:rFonts w:ascii="Times New Roman" w:hAnsi="Times New Roman" w:eastAsia="宋体" w:cs="Times New Roman"/>
          <w:b/>
          <w:sz w:val="24"/>
          <w:szCs w:val="24"/>
        </w:rPr>
        <w:t>Figure(s)</w:t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219700" cy="3308350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12" t="14115" r="29567" b="37085"/>
                    <a:stretch>
                      <a:fillRect/>
                    </a:stretch>
                  </pic:blipFill>
                  <pic:spPr>
                    <a:xfrm>
                      <a:off x="0" y="0"/>
                      <a:ext cx="5225373" cy="33115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ure</w:t>
      </w:r>
      <w:bookmarkStart w:id="13" w:name="_GoBack"/>
      <w:bookmarkEnd w:id="13"/>
      <w:r>
        <w:rPr>
          <w:rFonts w:ascii="Times New Roman" w:hAnsi="Times New Roman" w:cs="Times New Roman"/>
          <w:b/>
          <w:bCs/>
          <w:sz w:val="24"/>
          <w:szCs w:val="24"/>
        </w:rPr>
        <w:t xml:space="preserve"> S1. </w:t>
      </w:r>
      <w:r>
        <w:rPr>
          <w:rFonts w:ascii="Times New Roman" w:hAnsi="Times New Roman" w:cs="Times New Roman"/>
          <w:sz w:val="24"/>
          <w:szCs w:val="24"/>
        </w:rPr>
        <w:t>The determination of transgenic plants. (A) Leaves assay of transgenic plants for bar protein by PAT/bar test strip resistance kit. (B) PCR detection of Ubi region in transgenic plants. WT: wild type; wx1 to wx19: independent transgenic plants.</w:t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-66040</wp:posOffset>
            </wp:positionH>
            <wp:positionV relativeFrom="paragraph">
              <wp:posOffset>93980</wp:posOffset>
            </wp:positionV>
            <wp:extent cx="5368290" cy="2193925"/>
            <wp:effectExtent l="0" t="0" r="3810" b="0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9" t="7838" r="14688" b="37313"/>
                    <a:stretch>
                      <a:fillRect/>
                    </a:stretch>
                  </pic:blipFill>
                  <pic:spPr>
                    <a:xfrm>
                      <a:off x="0" y="0"/>
                      <a:ext cx="5368332" cy="219410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S2.</w:t>
      </w:r>
      <w:r>
        <w:rPr>
          <w:rFonts w:ascii="Times New Roman" w:hAnsi="Times New Roman" w:cs="Times New Roman"/>
          <w:sz w:val="24"/>
          <w:szCs w:val="24"/>
        </w:rPr>
        <w:t xml:space="preserve"> (A)The domains of GBSS I protein and (B) amino acids sequence alignment of </w:t>
      </w:r>
      <w:r>
        <w:rPr>
          <w:rFonts w:ascii="Times New Roman" w:hAnsi="Times New Roman" w:cs="Times New Roman"/>
          <w:i/>
          <w:iCs/>
          <w:sz w:val="24"/>
          <w:szCs w:val="24"/>
        </w:rPr>
        <w:t>Waxy</w:t>
      </w:r>
      <w:r>
        <w:rPr>
          <w:rFonts w:ascii="Times New Roman" w:hAnsi="Times New Roman" w:cs="Times New Roman"/>
          <w:sz w:val="24"/>
          <w:szCs w:val="24"/>
        </w:rPr>
        <w:t xml:space="preserve"> allelic genes.</w:t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191135</wp:posOffset>
            </wp:positionV>
            <wp:extent cx="5332730" cy="2682875"/>
            <wp:effectExtent l="0" t="0" r="1270" b="3175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6" t="15784" r="12449" b="19687"/>
                    <a:stretch>
                      <a:fillRect/>
                    </a:stretch>
                  </pic:blipFill>
                  <pic:spPr>
                    <a:xfrm>
                      <a:off x="0" y="0"/>
                      <a:ext cx="5332730" cy="26828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S3. </w:t>
      </w:r>
      <w:r>
        <w:rPr>
          <w:rFonts w:ascii="Times New Roman" w:hAnsi="Times New Roman" w:cs="Times New Roman"/>
          <w:sz w:val="24"/>
          <w:szCs w:val="24"/>
        </w:rPr>
        <w:t>The starch granules images of different developing grains. (A-D) wild type, (E-H) wx14. Black arrow: A-type granules; white arrow: B-type granules. dpa: day post anthesis.</w:t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3285490" cy="2503805"/>
            <wp:effectExtent l="0" t="0" r="10160" b="1079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3" t="14728" r="65576" b="47748"/>
                    <a:stretch>
                      <a:fillRect/>
                    </a:stretch>
                  </pic:blipFill>
                  <pic:spPr>
                    <a:xfrm>
                      <a:off x="0" y="0"/>
                      <a:ext cx="3285490" cy="250380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S4. </w:t>
      </w:r>
      <w:r>
        <w:rPr>
          <w:rFonts w:ascii="Times New Roman" w:hAnsi="Times New Roman" w:cs="Times New Roman"/>
          <w:sz w:val="24"/>
          <w:szCs w:val="24"/>
        </w:rPr>
        <w:t xml:space="preserve">The relative expression levels of </w:t>
      </w:r>
      <w:r>
        <w:rPr>
          <w:rFonts w:ascii="Times New Roman" w:hAnsi="Times New Roman" w:cs="Times New Roman"/>
          <w:i/>
          <w:iCs/>
          <w:sz w:val="24"/>
          <w:szCs w:val="24"/>
        </w:rPr>
        <w:t>Waxy</w:t>
      </w:r>
      <w:r>
        <w:rPr>
          <w:rFonts w:ascii="Times New Roman" w:hAnsi="Times New Roman" w:cs="Times New Roman"/>
          <w:sz w:val="24"/>
          <w:szCs w:val="24"/>
        </w:rPr>
        <w:t xml:space="preserve"> gene in different developing grains. dpa: day post anthesis; bars: standard errors; values followed by the same letters in each sample are not significantly different at p &lt; 0.01 level.</w:t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360045</wp:posOffset>
            </wp:positionV>
            <wp:extent cx="3967480" cy="4110990"/>
            <wp:effectExtent l="0" t="0" r="0" b="3810"/>
            <wp:wrapTopAndBottom/>
            <wp:docPr id="4" name="图片 3" descr="volcan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volcano2"/>
                    <pic:cNvPicPr>
                      <a:picLocks noChangeAspect="1"/>
                    </pic:cNvPicPr>
                  </pic:nvPicPr>
                  <pic:blipFill>
                    <a:blip r:embed="rId8"/>
                    <a:srcRect t="10417" r="13542"/>
                    <a:stretch>
                      <a:fillRect/>
                    </a:stretch>
                  </pic:blipFill>
                  <pic:spPr>
                    <a:xfrm>
                      <a:off x="0" y="0"/>
                      <a:ext cx="3967480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bookmarkStart w:id="0" w:name="OLE_LINK4"/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S5.</w:t>
      </w:r>
      <w:bookmarkEnd w:id="0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DEGs in the grains between wild type and wx14. Red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point: </w:t>
      </w:r>
      <w:r>
        <w:rPr>
          <w:rFonts w:ascii="Times New Roman" w:hAnsi="Times New Roman" w:cs="Times New Roman"/>
          <w:sz w:val="24"/>
          <w:szCs w:val="24"/>
        </w:rPr>
        <w:t>down-regulated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genes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 xml:space="preserve">blue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point: </w:t>
      </w:r>
      <w:bookmarkStart w:id="1" w:name="_Hlk79505722"/>
      <w:r>
        <w:rPr>
          <w:rFonts w:ascii="Times New Roman" w:hAnsi="Times New Roman" w:cs="Times New Roman"/>
          <w:sz w:val="24"/>
          <w:szCs w:val="24"/>
        </w:rPr>
        <w:t xml:space="preserve">up-regulated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genes </w:t>
      </w:r>
      <w:r>
        <w:rPr>
          <w:rFonts w:ascii="Times New Roman" w:hAnsi="Times New Roman" w:cs="Times New Roman"/>
          <w:sz w:val="24"/>
          <w:szCs w:val="24"/>
        </w:rPr>
        <w:t>in wx14</w:t>
      </w:r>
      <w:bookmarkEnd w:id="1"/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; g</w:t>
      </w:r>
      <w:r>
        <w:rPr>
          <w:rFonts w:ascii="Times New Roman" w:hAnsi="Times New Roman" w:cs="Times New Roman"/>
          <w:sz w:val="24"/>
          <w:szCs w:val="24"/>
        </w:rPr>
        <w:t xml:space="preserve">rey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point: </w:t>
      </w:r>
      <w:r>
        <w:rPr>
          <w:rFonts w:ascii="Times New Roman" w:hAnsi="Times New Roman" w:cs="Times New Roman"/>
          <w:sz w:val="24"/>
          <w:szCs w:val="24"/>
        </w:rPr>
        <w:t>not differentially expressed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genes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between wild type and wx14.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313055</wp:posOffset>
            </wp:positionV>
            <wp:extent cx="5265420" cy="3496310"/>
            <wp:effectExtent l="0" t="0" r="0" b="8890"/>
            <wp:wrapTopAndBottom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929" b="1374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963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S6. </w:t>
      </w:r>
      <w:r>
        <w:rPr>
          <w:rFonts w:ascii="Times New Roman" w:hAnsi="Times New Roman" w:cs="Times New Roman"/>
          <w:sz w:val="24"/>
          <w:szCs w:val="24"/>
        </w:rPr>
        <w:t>The KEGG pathway analysis of DEGs between wild type and wx14.</w:t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Primer sequences used in this research.</w:t>
      </w:r>
    </w:p>
    <w:tbl>
      <w:tblPr>
        <w:tblStyle w:val="6"/>
        <w:tblW w:w="8386" w:type="dxa"/>
        <w:jc w:val="center"/>
        <w:tblBorders>
          <w:top w:val="single" w:color="auto" w:sz="4" w:space="0"/>
          <w:left w:val="none" w:color="auto" w:sz="0" w:space="0"/>
          <w:bottom w:val="sing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50"/>
        <w:gridCol w:w="6736"/>
      </w:tblGrid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b/>
                <w:bCs/>
                <w:kern w:val="0"/>
                <w:sz w:val="24"/>
                <w:szCs w:val="24"/>
              </w:rPr>
              <w:t>Primers</w:t>
            </w:r>
          </w:p>
        </w:tc>
        <w:tc>
          <w:tcPr>
            <w:tcW w:w="6736" w:type="dxa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b/>
                <w:bCs/>
                <w:kern w:val="0"/>
                <w:sz w:val="24"/>
                <w:szCs w:val="24"/>
              </w:rPr>
              <w:t>Primer sequences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  <w:tcBorders>
              <w:top w:val="single" w:color="auto" w:sz="4" w:space="0"/>
            </w:tcBorders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wxF</w:t>
            </w:r>
          </w:p>
        </w:tc>
        <w:tc>
          <w:tcPr>
            <w:tcW w:w="6736" w:type="dxa"/>
            <w:tcBorders>
              <w:top w:val="single" w:color="auto" w:sz="4" w:space="0"/>
            </w:tcBorders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  <w:t>CTCTCACTGCAGGTAGCCAC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wxR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  <w:t>CAGGCGTCCTTGTACTGATC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T1F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  <w:t>AATAATGGTCTCAGGCGGCATGAACCTCGTGTTCGT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T1F0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  <w:t>GGCATGAACCTCGTGTTCGTGTTTTAGAGCTAGAAATAGC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T2R0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  <w:t>GGACGCCGGAATCTGTCGGTGCTTCTTGGTGCCGC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T2R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  <w:t>ATTATTGGTCTCTAAACGGACGCCGGAATCTGTCGGT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ubiF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  <w:t>CGGTAGTTCTACTTCTGTTC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ubiR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  <w:t>CATCTCTGTATATGCATCAG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wxQF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  <w:t>CCAGTCCAATGGCATCTACA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wxQR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it-IT"/>
              </w:rPr>
              <w:t>GGCTCACCGTCAGCACCT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α-TublinF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等线" w:cs="Times New Roman"/>
                <w:kern w:val="0"/>
                <w:sz w:val="24"/>
                <w:szCs w:val="24"/>
              </w:rPr>
              <w:t>CAAGGAGGTGGACGAGCAGATG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  <w:jc w:val="center"/>
        </w:trPr>
        <w:tc>
          <w:tcPr>
            <w:tcW w:w="1650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  <w:t>α-TublinR</w:t>
            </w:r>
          </w:p>
        </w:tc>
        <w:tc>
          <w:tcPr>
            <w:tcW w:w="6736" w:type="dxa"/>
          </w:tcPr>
          <w:p>
            <w:pPr>
              <w:spacing w:line="480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 w:eastAsia="等线" w:cs="Times New Roman"/>
                <w:kern w:val="0"/>
                <w:sz w:val="24"/>
                <w:szCs w:val="24"/>
              </w:rPr>
              <w:t>GACTTGACGTTGTTGGGGATCCA</w:t>
            </w:r>
          </w:p>
        </w:tc>
      </w:tr>
    </w:tbl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2" w:name="OLE_LINK3"/>
    </w:p>
    <w:p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Grain compounds between wild type and </w:t>
      </w:r>
      <w:bookmarkEnd w:id="2"/>
      <w:r>
        <w:rPr>
          <w:rFonts w:ascii="Times New Roman" w:hAnsi="Times New Roman" w:cs="Times New Roman"/>
          <w:sz w:val="24"/>
          <w:szCs w:val="24"/>
        </w:rPr>
        <w:t>wx14.</w:t>
      </w:r>
    </w:p>
    <w:tbl>
      <w:tblPr>
        <w:tblStyle w:val="5"/>
        <w:tblW w:w="12527" w:type="dxa"/>
        <w:tblInd w:w="0" w:type="dxa"/>
        <w:tblBorders>
          <w:top w:val="single" w:color="auto" w:sz="4" w:space="0"/>
          <w:left w:val="none" w:color="auto" w:sz="4" w:space="0"/>
          <w:bottom w:val="single" w:color="auto" w:sz="4" w:space="0"/>
          <w:right w:val="none" w:color="auto" w:sz="4" w:space="0"/>
          <w:insideH w:val="none" w:color="auto" w:sz="4" w:space="0"/>
          <w:insideV w:val="non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28"/>
        <w:gridCol w:w="1647"/>
        <w:gridCol w:w="2209"/>
        <w:gridCol w:w="2199"/>
        <w:gridCol w:w="1739"/>
        <w:gridCol w:w="1767"/>
        <w:gridCol w:w="1638"/>
      </w:tblGrid>
      <w:tr>
        <w:tblPrEx>
          <w:tblBorders>
            <w:top w:val="single" w:color="auto" w:sz="4" w:space="0"/>
            <w:left w:val="none" w:color="auto" w:sz="4" w:space="0"/>
            <w:bottom w:val="single" w:color="auto" w:sz="4" w:space="0"/>
            <w:right w:val="none" w:color="auto" w:sz="4" w:space="0"/>
            <w:insideH w:val="none" w:color="auto" w:sz="4" w:space="0"/>
            <w:insideV w:val="non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328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647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Amylose (%)</w:t>
            </w:r>
          </w:p>
        </w:tc>
        <w:tc>
          <w:tcPr>
            <w:tcW w:w="2209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sz w:val="24"/>
                <w:szCs w:val="24"/>
              </w:rPr>
            </w:pPr>
            <w:bookmarkStart w:id="3" w:name="_Hlk79051325"/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Amylopection</w:t>
            </w:r>
            <w:bookmarkEnd w:id="3"/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(%)</w:t>
            </w:r>
          </w:p>
        </w:tc>
        <w:tc>
          <w:tcPr>
            <w:tcW w:w="2199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</w:pPr>
            <w:bookmarkStart w:id="4" w:name="_Hlk79051333"/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Soluble sugar</w:t>
            </w:r>
            <w:bookmarkEnd w:id="4"/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(%)</w:t>
            </w:r>
          </w:p>
        </w:tc>
        <w:tc>
          <w:tcPr>
            <w:tcW w:w="1739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</w:pPr>
            <w:bookmarkStart w:id="5" w:name="_Hlk79051341"/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Sucrose</w:t>
            </w:r>
            <w:bookmarkEnd w:id="5"/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(%)</w:t>
            </w:r>
          </w:p>
        </w:tc>
        <w:tc>
          <w:tcPr>
            <w:tcW w:w="1767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sz w:val="24"/>
                <w:szCs w:val="24"/>
              </w:rPr>
            </w:pPr>
            <w:bookmarkStart w:id="6" w:name="_Hlk79051348"/>
            <w:bookmarkStart w:id="7" w:name="OLE_LINK2"/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β-Glucan</w:t>
            </w:r>
            <w:bookmarkEnd w:id="6"/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</w:t>
            </w:r>
            <w:bookmarkEnd w:id="7"/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(%)</w:t>
            </w:r>
          </w:p>
        </w:tc>
        <w:tc>
          <w:tcPr>
            <w:tcW w:w="1638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Protein (%)</w:t>
            </w:r>
          </w:p>
        </w:tc>
      </w:tr>
      <w:tr>
        <w:tblPrEx>
          <w:tblBorders>
            <w:top w:val="single" w:color="auto" w:sz="4" w:space="0"/>
            <w:left w:val="none" w:color="auto" w:sz="4" w:space="0"/>
            <w:bottom w:val="single" w:color="auto" w:sz="4" w:space="0"/>
            <w:right w:val="none" w:color="auto" w:sz="4" w:space="0"/>
            <w:insideH w:val="none" w:color="auto" w:sz="4" w:space="0"/>
            <w:insideV w:val="non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" w:hRule="atLeast"/>
        </w:trPr>
        <w:tc>
          <w:tcPr>
            <w:tcW w:w="1328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Wild type</w:t>
            </w:r>
          </w:p>
        </w:tc>
        <w:tc>
          <w:tcPr>
            <w:tcW w:w="1647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33.50</w:t>
            </w:r>
            <w:r>
              <w:rPr>
                <w:rFonts w:ascii="Times New Roman" w:hAnsi="Times New Roman" w:eastAsia="微软雅黑" w:cs="Times New Roman"/>
                <w:color w:val="000000"/>
                <w:kern w:val="0"/>
                <w:sz w:val="24"/>
                <w:szCs w:val="24"/>
                <w:lang w:bidi="ar"/>
              </w:rPr>
              <w:t>±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2.64</w:t>
            </w:r>
          </w:p>
        </w:tc>
        <w:tc>
          <w:tcPr>
            <w:tcW w:w="2209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39.00±3.12</w:t>
            </w:r>
          </w:p>
        </w:tc>
        <w:tc>
          <w:tcPr>
            <w:tcW w:w="2199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10.2</w:t>
            </w:r>
            <w:bookmarkStart w:id="8" w:name="OLE_LINK1"/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±</w:t>
            </w:r>
            <w:bookmarkEnd w:id="8"/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0.35</w:t>
            </w:r>
          </w:p>
        </w:tc>
        <w:tc>
          <w:tcPr>
            <w:tcW w:w="1739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0.73±0.08</w:t>
            </w:r>
          </w:p>
        </w:tc>
        <w:tc>
          <w:tcPr>
            <w:tcW w:w="1767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3.22</w:t>
            </w:r>
            <w:r>
              <w:rPr>
                <w:rFonts w:ascii="Times New Roman" w:hAnsi="Times New Roman" w:eastAsia="微软雅黑" w:cs="Times New Roman"/>
                <w:color w:val="000000"/>
                <w:kern w:val="0"/>
                <w:sz w:val="24"/>
                <w:szCs w:val="24"/>
                <w:lang w:bidi="ar"/>
              </w:rPr>
              <w:t>±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0.12</w:t>
            </w:r>
          </w:p>
        </w:tc>
        <w:tc>
          <w:tcPr>
            <w:tcW w:w="1638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10.88</w:t>
            </w:r>
            <w:r>
              <w:rPr>
                <w:rFonts w:ascii="Times New Roman" w:hAnsi="Times New Roman" w:eastAsia="微软雅黑" w:cs="Times New Roman"/>
                <w:color w:val="000000"/>
                <w:kern w:val="0"/>
                <w:sz w:val="24"/>
                <w:szCs w:val="24"/>
                <w:lang w:bidi="ar"/>
              </w:rPr>
              <w:t>±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0.08</w:t>
            </w:r>
          </w:p>
        </w:tc>
      </w:tr>
      <w:tr>
        <w:tblPrEx>
          <w:tblBorders>
            <w:top w:val="single" w:color="auto" w:sz="4" w:space="0"/>
            <w:left w:val="none" w:color="auto" w:sz="4" w:space="0"/>
            <w:bottom w:val="single" w:color="auto" w:sz="4" w:space="0"/>
            <w:right w:val="none" w:color="auto" w:sz="4" w:space="0"/>
            <w:insideH w:val="none" w:color="auto" w:sz="4" w:space="0"/>
            <w:insideV w:val="non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" w:hRule="atLeast"/>
        </w:trPr>
        <w:tc>
          <w:tcPr>
            <w:tcW w:w="132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Wx14</w:t>
            </w:r>
          </w:p>
        </w:tc>
        <w:tc>
          <w:tcPr>
            <w:tcW w:w="164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0.00</w:t>
            </w:r>
            <w:r>
              <w:rPr>
                <w:rFonts w:ascii="Times New Roman" w:hAnsi="Times New Roman" w:eastAsia="微软雅黑" w:cs="Times New Roman"/>
                <w:color w:val="000000"/>
                <w:kern w:val="0"/>
                <w:sz w:val="24"/>
                <w:szCs w:val="24"/>
                <w:lang w:bidi="ar"/>
              </w:rPr>
              <w:t>±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0.00**</w:t>
            </w:r>
          </w:p>
        </w:tc>
        <w:tc>
          <w:tcPr>
            <w:tcW w:w="220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bookmarkStart w:id="9" w:name="_Hlk79051963"/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31.73</w:t>
            </w:r>
            <w:bookmarkEnd w:id="9"/>
            <w:r>
              <w:rPr>
                <w:rFonts w:ascii="Times New Roman" w:hAnsi="Times New Roman" w:eastAsia="微软雅黑" w:cs="Times New Roman"/>
                <w:color w:val="000000"/>
                <w:kern w:val="0"/>
                <w:sz w:val="24"/>
                <w:szCs w:val="24"/>
                <w:lang w:bidi="ar"/>
              </w:rPr>
              <w:t>±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0.50*</w:t>
            </w:r>
          </w:p>
        </w:tc>
        <w:tc>
          <w:tcPr>
            <w:tcW w:w="219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37.3±2.54**</w:t>
            </w:r>
          </w:p>
        </w:tc>
        <w:tc>
          <w:tcPr>
            <w:tcW w:w="173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1.2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4"/>
                <w:szCs w:val="24"/>
                <w:lang w:val="en-US" w:eastAsia="zh-CN" w:bidi="ar"/>
              </w:rPr>
              <w:t>0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±0.07**</w:t>
            </w:r>
          </w:p>
        </w:tc>
        <w:tc>
          <w:tcPr>
            <w:tcW w:w="176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4.36</w:t>
            </w:r>
            <w:r>
              <w:rPr>
                <w:rFonts w:ascii="Times New Roman" w:hAnsi="Times New Roman" w:eastAsia="微软雅黑" w:cs="Times New Roman"/>
                <w:color w:val="000000"/>
                <w:kern w:val="0"/>
                <w:sz w:val="24"/>
                <w:szCs w:val="24"/>
                <w:lang w:bidi="ar"/>
              </w:rPr>
              <w:t>±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0.15**</w:t>
            </w:r>
          </w:p>
        </w:tc>
        <w:tc>
          <w:tcPr>
            <w:tcW w:w="163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11.94</w:t>
            </w:r>
            <w:r>
              <w:rPr>
                <w:rFonts w:ascii="Times New Roman" w:hAnsi="Times New Roman" w:eastAsia="微软雅黑" w:cs="Times New Roman"/>
                <w:color w:val="000000"/>
                <w:kern w:val="0"/>
                <w:sz w:val="24"/>
                <w:szCs w:val="24"/>
                <w:lang w:bidi="ar"/>
              </w:rPr>
              <w:t>±</w:t>
            </w: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0.15**</w:t>
            </w:r>
          </w:p>
        </w:tc>
      </w:tr>
    </w:tbl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Style w:val="13"/>
          <w:rFonts w:hint="default" w:ascii="Times New Roman" w:hAnsi="Times New Roman" w:cs="Times New Roman"/>
          <w:sz w:val="24"/>
          <w:szCs w:val="24"/>
          <w:lang w:bidi="ar"/>
        </w:rPr>
        <w:t>* P &lt; 0.05; ** P &lt; 0.01.</w:t>
      </w: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bookmarkStart w:id="10" w:name="_Hlk79504926"/>
      <w:r>
        <w:rPr>
          <w:rFonts w:ascii="Times New Roman" w:hAnsi="Times New Roman" w:cs="Times New Roman"/>
          <w:sz w:val="24"/>
          <w:szCs w:val="24"/>
        </w:rPr>
        <w:t>Agronomic traits</w:t>
      </w:r>
      <w:bookmarkEnd w:id="10"/>
      <w:r>
        <w:rPr>
          <w:rFonts w:ascii="Times New Roman" w:hAnsi="Times New Roman" w:cs="Times New Roman"/>
          <w:sz w:val="24"/>
          <w:szCs w:val="24"/>
        </w:rPr>
        <w:t xml:space="preserve"> between wild type and wx14.</w:t>
      </w:r>
    </w:p>
    <w:tbl>
      <w:tblPr>
        <w:tblStyle w:val="5"/>
        <w:tblW w:w="13691" w:type="dxa"/>
        <w:tblInd w:w="-83" w:type="dxa"/>
        <w:tblBorders>
          <w:top w:val="single" w:color="auto" w:sz="4" w:space="0"/>
          <w:left w:val="none" w:color="auto" w:sz="4" w:space="0"/>
          <w:bottom w:val="single" w:color="auto" w:sz="4" w:space="0"/>
          <w:right w:val="none" w:color="auto" w:sz="4" w:space="0"/>
          <w:insideH w:val="none" w:color="auto" w:sz="4" w:space="0"/>
          <w:insideV w:val="non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3"/>
        <w:gridCol w:w="2254"/>
        <w:gridCol w:w="2254"/>
        <w:gridCol w:w="2509"/>
        <w:gridCol w:w="1999"/>
        <w:gridCol w:w="2962"/>
      </w:tblGrid>
      <w:tr>
        <w:tblPrEx>
          <w:tblBorders>
            <w:top w:val="single" w:color="auto" w:sz="4" w:space="0"/>
            <w:left w:val="none" w:color="auto" w:sz="4" w:space="0"/>
            <w:bottom w:val="single" w:color="auto" w:sz="4" w:space="0"/>
            <w:right w:val="none" w:color="auto" w:sz="4" w:space="0"/>
            <w:insideH w:val="none" w:color="auto" w:sz="4" w:space="0"/>
            <w:insideV w:val="non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713" w:type="dxa"/>
            <w:tcBorders>
              <w:left w:val="nil"/>
              <w:bottom w:val="single" w:color="auto" w:sz="4" w:space="0"/>
              <w:right w:val="nil"/>
            </w:tcBorders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</w:pPr>
            <w:bookmarkStart w:id="11" w:name="_Hlk79505148"/>
          </w:p>
        </w:tc>
        <w:tc>
          <w:tcPr>
            <w:tcW w:w="2254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Plant height (cm)</w:t>
            </w:r>
          </w:p>
        </w:tc>
        <w:tc>
          <w:tcPr>
            <w:tcW w:w="2254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Number of tillers</w:t>
            </w:r>
          </w:p>
        </w:tc>
        <w:tc>
          <w:tcPr>
            <w:tcW w:w="2509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Panicle length  (cm)</w:t>
            </w:r>
          </w:p>
        </w:tc>
        <w:tc>
          <w:tcPr>
            <w:tcW w:w="1999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Grains per spike</w:t>
            </w:r>
          </w:p>
        </w:tc>
        <w:tc>
          <w:tcPr>
            <w:tcW w:w="2962" w:type="dxa"/>
            <w:tcBorders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Thousand grain weight(g)</w:t>
            </w:r>
          </w:p>
        </w:tc>
      </w:tr>
      <w:bookmarkEnd w:id="11"/>
      <w:tr>
        <w:tblPrEx>
          <w:tblBorders>
            <w:top w:val="single" w:color="auto" w:sz="4" w:space="0"/>
            <w:left w:val="none" w:color="auto" w:sz="4" w:space="0"/>
            <w:bottom w:val="single" w:color="auto" w:sz="4" w:space="0"/>
            <w:right w:val="none" w:color="auto" w:sz="4" w:space="0"/>
            <w:insideH w:val="none" w:color="auto" w:sz="4" w:space="0"/>
            <w:insideV w:val="non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" w:hRule="atLeast"/>
        </w:trPr>
        <w:tc>
          <w:tcPr>
            <w:tcW w:w="1713" w:type="dxa"/>
            <w:tcBorders>
              <w:top w:val="single" w:color="auto" w:sz="4" w:space="0"/>
              <w:left w:val="nil"/>
              <w:bottom w:val="nil"/>
              <w:right w:val="nil"/>
            </w:tcBorders>
          </w:tcPr>
          <w:p>
            <w:pPr>
              <w:widowControl/>
              <w:spacing w:line="480" w:lineRule="auto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Wild type</w:t>
            </w:r>
          </w:p>
        </w:tc>
        <w:tc>
          <w:tcPr>
            <w:tcW w:w="2254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79.35</w:t>
            </w:r>
            <w:r>
              <w:rPr>
                <w:rStyle w:val="11"/>
                <w:rFonts w:ascii="Times New Roman" w:hAnsi="Times New Roman" w:cs="Times New Roman"/>
                <w:lang w:bidi="ar"/>
              </w:rPr>
              <w:t>±</w:t>
            </w:r>
            <w:r>
              <w:rPr>
                <w:rStyle w:val="12"/>
                <w:rFonts w:hint="default" w:ascii="Times New Roman" w:hAnsi="Times New Roman" w:cs="Times New Roman"/>
                <w:lang w:bidi="ar"/>
              </w:rPr>
              <w:t>3.28</w:t>
            </w:r>
          </w:p>
        </w:tc>
        <w:tc>
          <w:tcPr>
            <w:tcW w:w="2254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9.05±2.41</w:t>
            </w:r>
          </w:p>
        </w:tc>
        <w:tc>
          <w:tcPr>
            <w:tcW w:w="2509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9.33±1.20</w:t>
            </w:r>
          </w:p>
        </w:tc>
        <w:tc>
          <w:tcPr>
            <w:tcW w:w="1999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30.60±2.56</w:t>
            </w:r>
          </w:p>
        </w:tc>
        <w:tc>
          <w:tcPr>
            <w:tcW w:w="2962" w:type="dxa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44.40</w:t>
            </w:r>
            <w:r>
              <w:rPr>
                <w:rStyle w:val="11"/>
                <w:rFonts w:ascii="Times New Roman" w:hAnsi="Times New Roman" w:cs="Times New Roman"/>
                <w:lang w:bidi="ar"/>
              </w:rPr>
              <w:t>±</w:t>
            </w:r>
            <w:r>
              <w:rPr>
                <w:rStyle w:val="12"/>
                <w:rFonts w:hint="default" w:ascii="Times New Roman" w:hAnsi="Times New Roman" w:cs="Times New Roman"/>
                <w:lang w:bidi="ar"/>
              </w:rPr>
              <w:t>1.42</w:t>
            </w:r>
          </w:p>
        </w:tc>
      </w:tr>
      <w:tr>
        <w:tblPrEx>
          <w:tblBorders>
            <w:top w:val="single" w:color="auto" w:sz="4" w:space="0"/>
            <w:left w:val="none" w:color="auto" w:sz="4" w:space="0"/>
            <w:bottom w:val="single" w:color="auto" w:sz="4" w:space="0"/>
            <w:right w:val="none" w:color="auto" w:sz="4" w:space="0"/>
            <w:insideH w:val="none" w:color="auto" w:sz="4" w:space="0"/>
            <w:insideV w:val="non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" w:hRule="atLeast"/>
        </w:trPr>
        <w:tc>
          <w:tcPr>
            <w:tcW w:w="1713" w:type="dxa"/>
            <w:tcBorders>
              <w:top w:val="nil"/>
              <w:left w:val="nil"/>
              <w:right w:val="nil"/>
            </w:tcBorders>
          </w:tcPr>
          <w:p>
            <w:pPr>
              <w:widowControl/>
              <w:spacing w:line="480" w:lineRule="auto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Wx14</w:t>
            </w:r>
          </w:p>
        </w:tc>
        <w:tc>
          <w:tcPr>
            <w:tcW w:w="225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78.75±3.29</w:t>
            </w:r>
          </w:p>
        </w:tc>
        <w:tc>
          <w:tcPr>
            <w:tcW w:w="225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8.20±1.69</w:t>
            </w:r>
          </w:p>
        </w:tc>
        <w:tc>
          <w:tcPr>
            <w:tcW w:w="250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9.35±0.97</w:t>
            </w:r>
          </w:p>
        </w:tc>
        <w:tc>
          <w:tcPr>
            <w:tcW w:w="199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28.80±2.67</w:t>
            </w:r>
          </w:p>
        </w:tc>
        <w:tc>
          <w:tcPr>
            <w:tcW w:w="296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480" w:lineRule="auto"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4"/>
                <w:szCs w:val="24"/>
                <w:lang w:bidi="ar"/>
              </w:rPr>
              <w:t>39.77</w:t>
            </w:r>
            <w:r>
              <w:rPr>
                <w:rStyle w:val="11"/>
                <w:rFonts w:ascii="Times New Roman" w:hAnsi="Times New Roman" w:cs="Times New Roman"/>
                <w:lang w:bidi="ar"/>
              </w:rPr>
              <w:t>±</w:t>
            </w:r>
            <w:r>
              <w:rPr>
                <w:rStyle w:val="12"/>
                <w:rFonts w:hint="default" w:ascii="Times New Roman" w:hAnsi="Times New Roman" w:cs="Times New Roman"/>
                <w:lang w:bidi="ar"/>
              </w:rPr>
              <w:t>0.54</w:t>
            </w:r>
            <w:r>
              <w:rPr>
                <w:rStyle w:val="13"/>
                <w:rFonts w:hint="default" w:ascii="Times New Roman" w:hAnsi="Times New Roman" w:cs="Times New Roman"/>
                <w:sz w:val="24"/>
                <w:szCs w:val="24"/>
                <w:lang w:bidi="ar"/>
              </w:rPr>
              <w:t>**</w:t>
            </w:r>
          </w:p>
        </w:tc>
      </w:tr>
    </w:tbl>
    <w:p>
      <w:pPr>
        <w:spacing w:line="480" w:lineRule="auto"/>
        <w:rPr>
          <w:rStyle w:val="13"/>
          <w:rFonts w:hint="default" w:ascii="Times New Roman" w:hAnsi="Times New Roman" w:cs="Times New Roman"/>
          <w:sz w:val="24"/>
          <w:szCs w:val="24"/>
          <w:lang w:bidi="ar"/>
        </w:rPr>
      </w:pPr>
      <w:bookmarkStart w:id="12" w:name="_Hlk79505217"/>
      <w:r>
        <w:rPr>
          <w:rStyle w:val="13"/>
          <w:rFonts w:hint="default" w:ascii="Times New Roman" w:hAnsi="Times New Roman" w:cs="Times New Roman"/>
          <w:sz w:val="24"/>
          <w:szCs w:val="24"/>
          <w:lang w:bidi="ar"/>
        </w:rPr>
        <w:t>** P &lt; 0.01.</w:t>
      </w:r>
    </w:p>
    <w:bookmarkEnd w:id="12"/>
    <w:p>
      <w:pPr>
        <w:spacing w:line="480" w:lineRule="auto"/>
        <w:rPr>
          <w:rFonts w:ascii="Times New Roman" w:hAnsi="Times New Roman" w:cs="Times New Roman"/>
          <w:sz w:val="24"/>
          <w:szCs w:val="24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>
      <w:r>
        <w:rPr>
          <w:rFonts w:hint="eastAsia"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EG</w:t>
      </w:r>
      <w:r>
        <w:rPr>
          <w:rFonts w:hint="eastAsia" w:ascii="Times New Roman" w:hAnsi="Times New Roman" w:cs="Times New Roman"/>
          <w:sz w:val="24"/>
          <w:szCs w:val="24"/>
        </w:rPr>
        <w:t>s related to starch and sucrose metabolism between wild type and wx14</w:t>
      </w:r>
      <w:r>
        <w:rPr>
          <w:rFonts w:ascii="Times New Roman" w:hAnsi="Times New Roman" w:cs="Times New Roman"/>
          <w:sz w:val="24"/>
          <w:szCs w:val="24"/>
        </w:rPr>
        <w:t>.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5"/>
        <w:tblpPr w:leftFromText="180" w:rightFromText="180" w:vertAnchor="page" w:horzAnchor="margin" w:tblpY="2427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08"/>
        <w:gridCol w:w="1127"/>
        <w:gridCol w:w="976"/>
        <w:gridCol w:w="2395"/>
        <w:gridCol w:w="10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b/>
                <w:bCs/>
                <w:kern w:val="0"/>
                <w:sz w:val="13"/>
                <w:szCs w:val="13"/>
              </w:rPr>
              <w:t>Unigenes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b/>
                <w:bCs/>
                <w:kern w:val="0"/>
                <w:sz w:val="13"/>
                <w:szCs w:val="13"/>
              </w:rPr>
              <w:t>log2FoldChange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b/>
                <w:bCs/>
                <w:kern w:val="0"/>
                <w:sz w:val="13"/>
                <w:szCs w:val="13"/>
              </w:rPr>
              <w:t>Change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b/>
                <w:bCs/>
                <w:kern w:val="0"/>
                <w:sz w:val="13"/>
                <w:szCs w:val="13"/>
              </w:rPr>
              <w:t>KEGG Annotation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b/>
                <w:bCs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b/>
                <w:bCs/>
                <w:kern w:val="0"/>
                <w:sz w:val="13"/>
                <w:szCs w:val="13"/>
              </w:rPr>
              <w:t>KEGG ID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HORVU.MOREX.r2.5HG0406880.1.mrna1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6.12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HORVU.MOREX.r2.6HG0522120.1.mrna1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4.91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beta-glucosidase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HORVU.MOREX.r2.7HG0535140.1.mrna1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4.08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glucan endo-1,3-beta-glucosidase 1/2/3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[EC:3.2.1.39]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HORVU.MOREX.r2.7HG0598800.1.mrna1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3.60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HORVU.MOREX.r2.6HG0508120.1.mrna1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3.26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endoglucanase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[EC:3.2.1.4]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HORVU.MOREX.r2.5HG0414040.1.mrna1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3.25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glucan endo-1,3-beta-glucosidase 1/2/3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[EC:3.2.1.39]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HORVU.MOREX.r2.6HG0499810.1.mrna1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3.11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HORVU.MOREX.r2.7HG0553070.1.mrna1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3.08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starch synthase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[EC:2.4.1.21]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HORVU.MOREX.r2.2HG0158540.1.mrna1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2.96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glucan endo-1,3-beta-glucosidase 1/2/3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[EC:3.2.1.39]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HORVU.MOREX.r2.5HG0425120.1.mrna1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2.94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glycogen phosphorylase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[EC:2.4.1.1]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HORVU.MOREX.r2.7HG0585010.1.mrna1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2.85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HORVU.MOREX.r2.3HG0266640.1.mrna1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2.78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glucan endo-1,3-beta-glucosidase 1/2/3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[EC:3.2.1.39]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HORVU.MOREX.r2.7HG0540020.1.mrna1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2.73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HORVU.MOREX.r2.2HG0137200.1.mrna1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2.67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beta-fructofuranosidase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[EC:3.2.1.26]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HORVU.MOREX.r2.7HG0543180.1.mrna1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2.52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starch synthase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[EC:2.4.1.21]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HORVU.MOREX.r2.7HG0623530.1.mrna1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2.40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1,4-alpha-glucan branching enzyme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[EC:2.4.1.18]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HORVU.MOREX.r2.7HG0577820.1.mrna1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2.35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glucose-1-phosphate adenylyltransferase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[EC:2.7.7.27]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HORVU.MOREX.r2.6HG0510740.1.mrna1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2.25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beta-glucosidase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HORVU.MOREX.r2.6HG0498580.1.mrna1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2.23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trehalose 6-phosphate phosphatase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[EC:3.1.3.12]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HORVU.MOREX.r2.2HG0136670.1.mrna1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2.23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1,4-alpha-glucan branching enzyme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[EC:2.4.1.18]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HORVU.MOREX.r2.1HG0075760.1.mrna1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2.05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up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glucose-1-phosphate adenylyltransferase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[EC:2.7.7.27]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HORVU.MOREX.r2.1HG0045280.1.mrna1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-2.00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beta-amylase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HORVU.MOREX.r2.7HG0535060.1.mrna1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-2.04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granule-bound starch synthase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[EC:2.4.1.242]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HORVU.MOREX.r2.4HG0344930.1.mrna1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-2.11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beta-fructofuranosidase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[EC:3.2.1.26]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HORVU.MOREX.r2.7HG0591610.1.mrna1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-2.16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beta-glucosidase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HORVU.MOREX.r2.7HG0596110.1.mrna1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-2.31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alpha-glucosidase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[EC:3.2.1.20]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HORVU.MOREX.r2.3HG0261390.1.mrna1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-2.35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HORVU.MOREX.r2.7HG0596190.1.mrna1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-2.49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alpha-glucosidase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[EC:3.2.1.20]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HORVU.MOREX.r2.5HG0406300.1.mrna1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-2.80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alpha-glucosidase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[EC:3.2.1.20]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HORVU.MOREX.r2.2HG0094620.1.mrna1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-2.80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beta-fructofuranosidase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[EC:3.2.1.26]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HORVU.MOREX.r2.1HG0012530.1.mrna1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-2.92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endoglucanase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[EC:3.2.1.4]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HORVU.MOREX.r2.3HG0192330.1.mrna1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-3.08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HORVU.MOREX.r2.3HG0239670.1.mrna1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-3.67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beta-glucosidase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HORVU.MOREX.r2.5HG0402940.1.mrna1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-5.22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alpha-amylase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[EC:3.2.1.1]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HORVU.MOREX.r2.7HG0596180.1.mrna1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-5.27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alpha-glucosidase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[EC:3.2.1.20]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5" w:hRule="atLeast"/>
        </w:trPr>
        <w:tc>
          <w:tcPr>
            <w:tcW w:w="1767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HORVU.MOREX.r2.3HG0266210.1.mrna1</w:t>
            </w:r>
          </w:p>
        </w:tc>
        <w:tc>
          <w:tcPr>
            <w:tcW w:w="653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-5.51</w:t>
            </w:r>
          </w:p>
        </w:tc>
        <w:tc>
          <w:tcPr>
            <w:tcW w:w="575" w:type="pct"/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down</w:t>
            </w:r>
          </w:p>
        </w:tc>
        <w:tc>
          <w:tcPr>
            <w:tcW w:w="1407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 xml:space="preserve">glucan endo-1,3-beta-glucosidase 1/2/3 </w:t>
            </w:r>
          </w:p>
        </w:tc>
        <w:tc>
          <w:tcPr>
            <w:tcW w:w="598" w:type="pct"/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 w:eastAsia="宋体" w:cs="Times New Roman"/>
                <w:kern w:val="0"/>
                <w:sz w:val="13"/>
                <w:szCs w:val="13"/>
              </w:rPr>
              <w:t>[EC:3.2.1.39]</w:t>
            </w:r>
          </w:p>
        </w:tc>
      </w:tr>
    </w:tbl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8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3EEB"/>
    <w:rsid w:val="002906E3"/>
    <w:rsid w:val="00322E78"/>
    <w:rsid w:val="004130FF"/>
    <w:rsid w:val="00474D36"/>
    <w:rsid w:val="004F0C05"/>
    <w:rsid w:val="00553CFC"/>
    <w:rsid w:val="005D5A00"/>
    <w:rsid w:val="00632AEF"/>
    <w:rsid w:val="0063591E"/>
    <w:rsid w:val="006849CD"/>
    <w:rsid w:val="006A23C0"/>
    <w:rsid w:val="007223F1"/>
    <w:rsid w:val="007818E0"/>
    <w:rsid w:val="007F43ED"/>
    <w:rsid w:val="00812C48"/>
    <w:rsid w:val="00872F9E"/>
    <w:rsid w:val="008831CC"/>
    <w:rsid w:val="008B3D5D"/>
    <w:rsid w:val="00984B59"/>
    <w:rsid w:val="00A24764"/>
    <w:rsid w:val="00AF23F9"/>
    <w:rsid w:val="00B524DA"/>
    <w:rsid w:val="00BE0AA6"/>
    <w:rsid w:val="00D63EEB"/>
    <w:rsid w:val="00E31517"/>
    <w:rsid w:val="00E9218E"/>
    <w:rsid w:val="00F2684B"/>
    <w:rsid w:val="17B139F5"/>
    <w:rsid w:val="23D843C4"/>
    <w:rsid w:val="259E40FC"/>
    <w:rsid w:val="39CD24B7"/>
    <w:rsid w:val="59885E12"/>
    <w:rsid w:val="599C05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39"/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4"/>
    <w:qFormat/>
    <w:uiPriority w:val="99"/>
    <w:rPr>
      <w:sz w:val="18"/>
      <w:szCs w:val="18"/>
    </w:rPr>
  </w:style>
  <w:style w:type="character" w:customStyle="1" w:styleId="9">
    <w:name w:val="页脚 字符"/>
    <w:basedOn w:val="7"/>
    <w:link w:val="3"/>
    <w:qFormat/>
    <w:uiPriority w:val="99"/>
    <w:rPr>
      <w:sz w:val="18"/>
      <w:szCs w:val="18"/>
    </w:rPr>
  </w:style>
  <w:style w:type="character" w:customStyle="1" w:styleId="10">
    <w:name w:val="批注框文本 字符"/>
    <w:basedOn w:val="7"/>
    <w:link w:val="2"/>
    <w:semiHidden/>
    <w:qFormat/>
    <w:uiPriority w:val="99"/>
    <w:rPr>
      <w:sz w:val="18"/>
      <w:szCs w:val="18"/>
    </w:rPr>
  </w:style>
  <w:style w:type="character" w:customStyle="1" w:styleId="11">
    <w:name w:val="font01"/>
    <w:basedOn w:val="7"/>
    <w:qFormat/>
    <w:uiPriority w:val="0"/>
    <w:rPr>
      <w:rFonts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2">
    <w:name w:val="font11"/>
    <w:basedOn w:val="7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emf"/><Relationship Id="rId8" Type="http://schemas.openxmlformats.org/officeDocument/2006/relationships/image" Target="media/image5.png"/><Relationship Id="rId7" Type="http://schemas.openxmlformats.org/officeDocument/2006/relationships/image" Target="media/image4.emf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798</Words>
  <Characters>4549</Characters>
  <Lines>37</Lines>
  <Paragraphs>10</Paragraphs>
  <TotalTime>24</TotalTime>
  <ScaleCrop>false</ScaleCrop>
  <LinksUpToDate>false</LinksUpToDate>
  <CharactersWithSpaces>5337</CharactersWithSpaces>
  <Application>WPS Office_11.1.0.10700_F1E327BC-269C-435d-A152-05C5408002CA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2021-08-09T11:18:00Z</dcterms:created>
  <dc:creator>刘宝龙</dc:creator>
  <cp:lastModifiedBy>李云</cp:lastModifiedBy>
  <dcterms:modified xsi:type="dcterms:W3CDTF">2021-08-23T02:18:11Z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88513D1890124C6691AC9A1815ACF14B</vt:lpwstr>
  </property>
</Properties>
</file>