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7D21C" w14:textId="77777777" w:rsidR="00BA7406" w:rsidRPr="00A4345D" w:rsidRDefault="00BA7406" w:rsidP="00D205D2">
      <w:pPr>
        <w:pStyle w:val="Heading1"/>
        <w:spacing w:line="276" w:lineRule="auto"/>
        <w:jc w:val="center"/>
        <w:rPr>
          <w:rFonts w:asciiTheme="minorHAnsi" w:hAnsiTheme="minorHAnsi" w:cstheme="minorHAnsi"/>
        </w:rPr>
      </w:pPr>
      <w:bookmarkStart w:id="0" w:name="_Hlk43889184"/>
      <w:r w:rsidRPr="00A4345D">
        <w:rPr>
          <w:rFonts w:asciiTheme="minorHAnsi" w:hAnsiTheme="minorHAnsi" w:cstheme="minorHAnsi"/>
        </w:rPr>
        <w:t>Supplementary material</w:t>
      </w:r>
    </w:p>
    <w:p w14:paraId="61D4678B" w14:textId="74B77F88" w:rsidR="00BA7406" w:rsidRDefault="00BA7406" w:rsidP="00B66D2C">
      <w:pPr>
        <w:spacing w:line="276" w:lineRule="auto"/>
        <w:rPr>
          <w:rFonts w:asciiTheme="minorHAnsi" w:hAnsiTheme="minorHAnsi" w:cstheme="minorHAnsi"/>
        </w:rPr>
      </w:pPr>
    </w:p>
    <w:p w14:paraId="7E49BC36" w14:textId="01ADA04C" w:rsidR="00ED329E" w:rsidRDefault="00524E4E" w:rsidP="00B66D2C">
      <w:pPr>
        <w:spacing w:line="276" w:lineRule="auto"/>
        <w:rPr>
          <w:rFonts w:asciiTheme="minorHAnsi" w:hAnsiTheme="minorHAnsi" w:cstheme="minorHAnsi"/>
        </w:rPr>
      </w:pPr>
      <w:r>
        <w:rPr>
          <w:rFonts w:asciiTheme="minorHAnsi" w:hAnsiTheme="minorHAnsi" w:cstheme="minorHAnsi"/>
        </w:rPr>
        <w:t>The supplementary material contains additional information concerning:</w:t>
      </w:r>
    </w:p>
    <w:p w14:paraId="7CEB3BA7" w14:textId="77777777" w:rsidR="00EE4628" w:rsidRDefault="00EE4628" w:rsidP="00B66D2C">
      <w:pPr>
        <w:spacing w:line="276" w:lineRule="auto"/>
        <w:rPr>
          <w:rFonts w:asciiTheme="minorHAnsi" w:hAnsiTheme="minorHAnsi" w:cstheme="minorHAnsi"/>
        </w:rPr>
      </w:pPr>
    </w:p>
    <w:p w14:paraId="6B37D5E5" w14:textId="77777777" w:rsidR="007431C8" w:rsidRDefault="007431C8" w:rsidP="007431C8">
      <w:pPr>
        <w:pStyle w:val="ListParagraph"/>
        <w:numPr>
          <w:ilvl w:val="0"/>
          <w:numId w:val="6"/>
        </w:numPr>
        <w:spacing w:line="276" w:lineRule="auto"/>
        <w:rPr>
          <w:rFonts w:asciiTheme="minorHAnsi" w:hAnsiTheme="minorHAnsi" w:cstheme="minorHAnsi"/>
        </w:rPr>
      </w:pPr>
      <w:r>
        <w:rPr>
          <w:rFonts w:asciiTheme="minorHAnsi" w:hAnsiTheme="minorHAnsi" w:cstheme="minorHAnsi"/>
        </w:rPr>
        <w:t>Risk thresholds</w:t>
      </w:r>
    </w:p>
    <w:p w14:paraId="58D5F352" w14:textId="56281096" w:rsidR="00524E4E" w:rsidRDefault="00524E4E" w:rsidP="00524E4E">
      <w:pPr>
        <w:pStyle w:val="ListParagraph"/>
        <w:numPr>
          <w:ilvl w:val="0"/>
          <w:numId w:val="6"/>
        </w:numPr>
        <w:spacing w:line="276" w:lineRule="auto"/>
        <w:rPr>
          <w:rFonts w:asciiTheme="minorHAnsi" w:hAnsiTheme="minorHAnsi" w:cstheme="minorHAnsi"/>
        </w:rPr>
      </w:pPr>
      <w:r>
        <w:rPr>
          <w:rFonts w:asciiTheme="minorHAnsi" w:hAnsiTheme="minorHAnsi" w:cstheme="minorHAnsi"/>
        </w:rPr>
        <w:t>Confounder measures and their derivation</w:t>
      </w:r>
    </w:p>
    <w:p w14:paraId="7DB2C4FA" w14:textId="77777777" w:rsidR="000539C0" w:rsidRDefault="00524E4E" w:rsidP="00524E4E">
      <w:pPr>
        <w:pStyle w:val="ListParagraph"/>
        <w:numPr>
          <w:ilvl w:val="0"/>
          <w:numId w:val="6"/>
        </w:numPr>
        <w:rPr>
          <w:rFonts w:asciiTheme="minorHAnsi" w:hAnsiTheme="minorHAnsi" w:cstheme="minorHAnsi"/>
        </w:rPr>
      </w:pPr>
      <w:r w:rsidRPr="00524E4E">
        <w:rPr>
          <w:rFonts w:asciiTheme="minorHAnsi" w:hAnsiTheme="minorHAnsi" w:cstheme="minorHAnsi"/>
        </w:rPr>
        <w:t>Deriving the adolescent cumulative risk exposure measure</w:t>
      </w:r>
    </w:p>
    <w:p w14:paraId="4E39C606" w14:textId="77777777" w:rsidR="000539C0" w:rsidRPr="000539C0" w:rsidRDefault="000539C0" w:rsidP="000539C0">
      <w:pPr>
        <w:pStyle w:val="ListParagraph"/>
        <w:numPr>
          <w:ilvl w:val="0"/>
          <w:numId w:val="6"/>
        </w:numPr>
        <w:rPr>
          <w:rFonts w:asciiTheme="minorHAnsi" w:hAnsiTheme="minorHAnsi" w:cstheme="minorHAnsi"/>
        </w:rPr>
      </w:pPr>
      <w:r w:rsidRPr="000539C0">
        <w:rPr>
          <w:rFonts w:asciiTheme="minorHAnsi" w:hAnsiTheme="minorHAnsi" w:cstheme="minorHAnsi"/>
        </w:rPr>
        <w:t>Deriving the latent classes</w:t>
      </w:r>
    </w:p>
    <w:p w14:paraId="201DD634" w14:textId="77777777" w:rsidR="000539C0" w:rsidRDefault="000539C0" w:rsidP="000539C0">
      <w:pPr>
        <w:pStyle w:val="ListParagraph"/>
        <w:numPr>
          <w:ilvl w:val="0"/>
          <w:numId w:val="6"/>
        </w:numPr>
        <w:rPr>
          <w:rFonts w:asciiTheme="minorHAnsi" w:hAnsiTheme="minorHAnsi" w:cstheme="minorHAnsi"/>
        </w:rPr>
      </w:pPr>
      <w:r>
        <w:rPr>
          <w:rFonts w:asciiTheme="minorHAnsi" w:hAnsiTheme="minorHAnsi" w:cstheme="minorHAnsi"/>
        </w:rPr>
        <w:t>Deriving the sample</w:t>
      </w:r>
    </w:p>
    <w:p w14:paraId="01A6B661" w14:textId="77777777" w:rsidR="00EE4628" w:rsidRPr="00EE4628" w:rsidRDefault="00EE4628" w:rsidP="00EE4628">
      <w:pPr>
        <w:pStyle w:val="ListParagraph"/>
        <w:numPr>
          <w:ilvl w:val="0"/>
          <w:numId w:val="6"/>
        </w:numPr>
        <w:rPr>
          <w:rFonts w:asciiTheme="minorHAnsi" w:hAnsiTheme="minorHAnsi" w:cstheme="minorHAnsi"/>
        </w:rPr>
      </w:pPr>
      <w:r w:rsidRPr="00EE4628">
        <w:rPr>
          <w:rFonts w:asciiTheme="minorHAnsi" w:hAnsiTheme="minorHAnsi" w:cstheme="minorHAnsi"/>
        </w:rPr>
        <w:t>Risk profiles for adolescence, percentage of sample and cumulative risk score for complete case and imputed samples</w:t>
      </w:r>
    </w:p>
    <w:p w14:paraId="323E88EA" w14:textId="77777777" w:rsidR="00EE4628" w:rsidRPr="00EE4628" w:rsidRDefault="00EE4628" w:rsidP="00EE4628">
      <w:pPr>
        <w:pStyle w:val="ListParagraph"/>
        <w:numPr>
          <w:ilvl w:val="0"/>
          <w:numId w:val="6"/>
        </w:numPr>
        <w:rPr>
          <w:rFonts w:asciiTheme="minorHAnsi" w:hAnsiTheme="minorHAnsi" w:cstheme="minorHAnsi"/>
        </w:rPr>
      </w:pPr>
      <w:r w:rsidRPr="00EE4628">
        <w:rPr>
          <w:rFonts w:asciiTheme="minorHAnsi" w:hAnsiTheme="minorHAnsi" w:cstheme="minorHAnsi"/>
        </w:rPr>
        <w:t xml:space="preserve">Latent class trajectories </w:t>
      </w:r>
    </w:p>
    <w:p w14:paraId="725D9033" w14:textId="77777777" w:rsidR="00EE4628" w:rsidRDefault="00EE4628" w:rsidP="00EE4628">
      <w:pPr>
        <w:pStyle w:val="ListParagraph"/>
        <w:numPr>
          <w:ilvl w:val="0"/>
          <w:numId w:val="6"/>
        </w:numPr>
        <w:rPr>
          <w:rFonts w:asciiTheme="minorHAnsi" w:hAnsiTheme="minorHAnsi" w:cstheme="minorHAnsi"/>
        </w:rPr>
      </w:pPr>
      <w:r w:rsidRPr="00A4345D">
        <w:rPr>
          <w:rFonts w:asciiTheme="minorHAnsi" w:hAnsiTheme="minorHAnsi" w:cstheme="minorHAnsi"/>
        </w:rPr>
        <w:t>Cross tabulation</w:t>
      </w:r>
      <w:r>
        <w:rPr>
          <w:rFonts w:asciiTheme="minorHAnsi" w:hAnsiTheme="minorHAnsi" w:cstheme="minorHAnsi"/>
        </w:rPr>
        <w:t>s</w:t>
      </w:r>
      <w:r w:rsidRPr="00A4345D">
        <w:rPr>
          <w:rFonts w:asciiTheme="minorHAnsi" w:hAnsiTheme="minorHAnsi" w:cstheme="minorHAnsi"/>
        </w:rPr>
        <w:t xml:space="preserve"> of cumulative risk score quartiles and proportion belonging to each of the latent classes</w:t>
      </w:r>
    </w:p>
    <w:p w14:paraId="13D4A5E2" w14:textId="193BA939" w:rsidR="00C84C7D" w:rsidRDefault="00C84C7D" w:rsidP="00C84C7D">
      <w:pPr>
        <w:pStyle w:val="ListParagraph"/>
        <w:numPr>
          <w:ilvl w:val="0"/>
          <w:numId w:val="6"/>
        </w:numPr>
        <w:rPr>
          <w:rFonts w:asciiTheme="minorHAnsi" w:hAnsiTheme="minorHAnsi" w:cstheme="minorHAnsi"/>
        </w:rPr>
      </w:pPr>
      <w:r w:rsidRPr="00524E4E">
        <w:rPr>
          <w:rFonts w:asciiTheme="minorHAnsi" w:hAnsiTheme="minorHAnsi" w:cstheme="minorHAnsi"/>
        </w:rPr>
        <w:t xml:space="preserve">Associations between the adolescent cancer risk measure and socioeconomic status (SES) measures </w:t>
      </w:r>
    </w:p>
    <w:p w14:paraId="7572329C" w14:textId="64FE0FB6" w:rsidR="00524E4E" w:rsidRDefault="00524E4E" w:rsidP="00EE4628">
      <w:pPr>
        <w:pStyle w:val="ListParagraph"/>
        <w:rPr>
          <w:rFonts w:asciiTheme="minorHAnsi" w:hAnsiTheme="minorHAnsi" w:cstheme="minorHAnsi"/>
        </w:rPr>
      </w:pPr>
    </w:p>
    <w:p w14:paraId="5E259EEA" w14:textId="64E4BD97" w:rsidR="000539C0" w:rsidRDefault="000539C0" w:rsidP="000539C0">
      <w:pPr>
        <w:rPr>
          <w:rFonts w:asciiTheme="minorHAnsi" w:hAnsiTheme="minorHAnsi" w:cstheme="minorHAnsi"/>
        </w:rPr>
      </w:pPr>
    </w:p>
    <w:p w14:paraId="364A3A06" w14:textId="77777777" w:rsidR="000539C0" w:rsidRPr="000539C0" w:rsidRDefault="000539C0" w:rsidP="000539C0">
      <w:pPr>
        <w:rPr>
          <w:rFonts w:asciiTheme="minorHAnsi" w:hAnsiTheme="minorHAnsi" w:cstheme="minorHAnsi"/>
        </w:rPr>
      </w:pPr>
    </w:p>
    <w:p w14:paraId="5340B990" w14:textId="2798004F" w:rsidR="00D205D2" w:rsidRDefault="00D205D2" w:rsidP="00B66D2C">
      <w:pPr>
        <w:spacing w:line="276" w:lineRule="auto"/>
        <w:rPr>
          <w:rFonts w:asciiTheme="minorHAnsi" w:hAnsiTheme="minorHAnsi" w:cstheme="minorHAnsi"/>
        </w:rPr>
      </w:pPr>
    </w:p>
    <w:p w14:paraId="00F2F1DC" w14:textId="77777777" w:rsidR="000F2D43" w:rsidRDefault="000F2D43" w:rsidP="00B66D2C">
      <w:pPr>
        <w:spacing w:line="276" w:lineRule="auto"/>
        <w:rPr>
          <w:rFonts w:asciiTheme="minorHAnsi" w:hAnsiTheme="minorHAnsi" w:cstheme="minorHAnsi"/>
        </w:rPr>
        <w:sectPr w:rsidR="000F2D43" w:rsidSect="00AF25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FA046D5" w14:textId="77777777" w:rsidR="007431C8" w:rsidRPr="00A4345D" w:rsidRDefault="007431C8" w:rsidP="007431C8">
      <w:pPr>
        <w:pStyle w:val="Heading2"/>
        <w:numPr>
          <w:ilvl w:val="0"/>
          <w:numId w:val="2"/>
        </w:numPr>
        <w:spacing w:line="276" w:lineRule="auto"/>
        <w:rPr>
          <w:rFonts w:asciiTheme="minorHAnsi" w:hAnsiTheme="minorHAnsi" w:cstheme="minorHAnsi"/>
          <w:lang w:eastAsia="en-US"/>
        </w:rPr>
      </w:pPr>
      <w:r>
        <w:rPr>
          <w:rFonts w:asciiTheme="minorHAnsi" w:hAnsiTheme="minorHAnsi" w:cstheme="minorHAnsi"/>
          <w:lang w:eastAsia="en-US"/>
        </w:rPr>
        <w:lastRenderedPageBreak/>
        <w:t>R</w:t>
      </w:r>
      <w:r w:rsidRPr="00A4345D">
        <w:rPr>
          <w:rFonts w:asciiTheme="minorHAnsi" w:hAnsiTheme="minorHAnsi" w:cstheme="minorHAnsi"/>
          <w:lang w:eastAsia="en-US"/>
        </w:rPr>
        <w:t xml:space="preserve">isk thresholds </w:t>
      </w:r>
    </w:p>
    <w:p w14:paraId="12CA261C" w14:textId="77777777" w:rsidR="007431C8" w:rsidRPr="00A4345D" w:rsidRDefault="007431C8" w:rsidP="007431C8">
      <w:pPr>
        <w:spacing w:line="276" w:lineRule="auto"/>
        <w:rPr>
          <w:rFonts w:asciiTheme="minorHAnsi" w:hAnsiTheme="minorHAnsi" w:cstheme="minorHAnsi"/>
          <w:lang w:eastAsia="en-US"/>
        </w:rPr>
      </w:pPr>
    </w:p>
    <w:p w14:paraId="7024B3A5" w14:textId="61ADCC13" w:rsidR="007431C8" w:rsidRPr="00A4345D" w:rsidRDefault="007431C8" w:rsidP="007431C8">
      <w:pPr>
        <w:spacing w:line="276" w:lineRule="auto"/>
        <w:rPr>
          <w:rFonts w:asciiTheme="minorHAnsi" w:hAnsiTheme="minorHAnsi" w:cstheme="minorHAnsi"/>
          <w:color w:val="000000" w:themeColor="text1"/>
        </w:rPr>
      </w:pPr>
      <w:r w:rsidRPr="00A4345D">
        <w:rPr>
          <w:rFonts w:asciiTheme="minorHAnsi" w:hAnsiTheme="minorHAnsi" w:cstheme="minorHAnsi"/>
        </w:rPr>
        <w:t>D</w:t>
      </w:r>
      <w:r w:rsidRPr="00A4345D">
        <w:rPr>
          <w:rFonts w:asciiTheme="minorHAnsi" w:hAnsiTheme="minorHAnsi" w:cstheme="minorHAnsi"/>
          <w:color w:val="000000" w:themeColor="text1"/>
          <w:lang w:eastAsia="en-US"/>
        </w:rPr>
        <w:t>ecisions regarding</w:t>
      </w:r>
      <w:r>
        <w:rPr>
          <w:rFonts w:asciiTheme="minorHAnsi" w:hAnsiTheme="minorHAnsi" w:cstheme="minorHAnsi"/>
          <w:color w:val="000000" w:themeColor="text1"/>
          <w:lang w:eastAsia="en-US"/>
        </w:rPr>
        <w:t xml:space="preserve"> the adolescent and adult </w:t>
      </w:r>
      <w:r w:rsidRPr="00A4345D">
        <w:rPr>
          <w:rFonts w:asciiTheme="minorHAnsi" w:hAnsiTheme="minorHAnsi" w:cstheme="minorHAnsi"/>
          <w:color w:val="000000" w:themeColor="text1"/>
          <w:lang w:eastAsia="en-US"/>
        </w:rPr>
        <w:t xml:space="preserve"> risk thresholds were informed by </w:t>
      </w:r>
      <w:r w:rsidRPr="00A4345D">
        <w:rPr>
          <w:rFonts w:asciiTheme="minorHAnsi" w:hAnsiTheme="minorHAnsi" w:cstheme="minorHAnsi"/>
          <w:color w:val="000000" w:themeColor="text1"/>
        </w:rPr>
        <w:t>evidence from the World Cancer Research Fund (WCRF) Network’s Continuous Update Project (CUP)</w:t>
      </w:r>
      <w:r w:rsidR="004207B2">
        <w:rPr>
          <w:rFonts w:asciiTheme="minorHAnsi" w:hAnsiTheme="minorHAnsi" w:cstheme="minorHAnsi"/>
          <w:color w:val="000000" w:themeColor="text1"/>
        </w:rPr>
        <w:t xml:space="preserve"> </w:t>
      </w:r>
      <w:r w:rsidR="004207B2">
        <w:rPr>
          <w:rFonts w:asciiTheme="minorHAnsi" w:hAnsiTheme="minorHAnsi" w:cstheme="minorHAnsi"/>
          <w:color w:val="000000" w:themeColor="text1"/>
        </w:rPr>
        <w:fldChar w:fldCharType="begin" w:fldLock="1"/>
      </w:r>
      <w:r w:rsidR="004207B2">
        <w:rPr>
          <w:rFonts w:asciiTheme="minorHAnsi" w:hAnsiTheme="minorHAnsi" w:cstheme="minorHAnsi"/>
          <w:color w:val="000000" w:themeColor="text1"/>
        </w:rPr>
        <w:instrText>ADDIN CSL_CITATION {"citationItems":[{"id":"ITEM-1","itemData":{"DOI":"https://www.wcrf.org/dietandcancer","author":[{"dropping-particle":"","family":"WCRF","given":"","non-dropping-particle":"","parse-names":false,"suffix":""}],"id":"ITEM-1","issued":{"date-parts":[["2018"]]},"publisher":"World Cancer Research Fund (WCRF)","publisher-place":"London","title":"Diet, Nutrition Physical activity and Cancer: a global Perspective Continuous Update Project Expert Report 2018","type":"report"},"uris":["http://www.mendeley.com/documents/?uuid=8cf31b61-6187-4905-9b98-8d00ed1640cb"]}],"mendeley":{"formattedCitation":"(1)","plainTextFormattedCitation":"(1)","previouslyFormattedCitation":"(1)"},"properties":{"noteIndex":0},"schema":"https://github.com/citation-style-language/schema/raw/master/csl-citation.json"}</w:instrText>
      </w:r>
      <w:r w:rsidR="004207B2">
        <w:rPr>
          <w:rFonts w:asciiTheme="minorHAnsi" w:hAnsiTheme="minorHAnsi" w:cstheme="minorHAnsi"/>
          <w:color w:val="000000" w:themeColor="text1"/>
        </w:rPr>
        <w:fldChar w:fldCharType="separate"/>
      </w:r>
      <w:r w:rsidR="004207B2" w:rsidRPr="004207B2">
        <w:rPr>
          <w:rFonts w:asciiTheme="minorHAnsi" w:hAnsiTheme="minorHAnsi" w:cstheme="minorHAnsi"/>
          <w:noProof/>
          <w:color w:val="000000" w:themeColor="text1"/>
        </w:rPr>
        <w:t>(1)</w:t>
      </w:r>
      <w:r w:rsidR="004207B2">
        <w:rPr>
          <w:rFonts w:asciiTheme="minorHAnsi" w:hAnsiTheme="minorHAnsi" w:cstheme="minorHAnsi"/>
          <w:color w:val="000000" w:themeColor="text1"/>
        </w:rPr>
        <w:fldChar w:fldCharType="end"/>
      </w:r>
      <w:r w:rsidR="004207B2">
        <w:rPr>
          <w:rFonts w:asciiTheme="minorHAnsi" w:hAnsiTheme="minorHAnsi" w:cstheme="minorHAnsi"/>
          <w:color w:val="000000" w:themeColor="text1"/>
        </w:rPr>
        <w:t xml:space="preserve"> (WCRF CUP 2018)</w:t>
      </w:r>
      <w:r w:rsidRPr="00A4345D">
        <w:rPr>
          <w:rFonts w:asciiTheme="minorHAnsi" w:hAnsiTheme="minorHAnsi" w:cstheme="minorHAnsi"/>
          <w:color w:val="000000" w:themeColor="text1"/>
        </w:rPr>
        <w:t xml:space="preserve">, evidence from the International Agency for Research on Cancer (IARC) </w:t>
      </w:r>
      <w:r w:rsidR="004207B2">
        <w:rPr>
          <w:rFonts w:asciiTheme="minorHAnsi" w:hAnsiTheme="minorHAnsi" w:cstheme="minorHAnsi"/>
          <w:color w:val="000000" w:themeColor="text1"/>
        </w:rPr>
        <w:fldChar w:fldCharType="begin" w:fldLock="1"/>
      </w:r>
      <w:r w:rsidR="009A34AF">
        <w:rPr>
          <w:rFonts w:asciiTheme="minorHAnsi" w:hAnsiTheme="minorHAnsi" w:cstheme="minorHAnsi"/>
          <w:color w:val="000000" w:themeColor="text1"/>
        </w:rPr>
        <w:instrText>ADDIN CSL_CITATION {"citationItems":[{"id":"ITEM-1","itemData":{"author":[{"dropping-particle":"","family":"IARC","given":"","non-dropping-particle":"","parse-names":false,"suffix":""}],"editor":[{"dropping-particle":"","family":"P.","given":"Kleihues","non-dropping-particle":"","parse-names":false,"suffix":""}],"id":"ITEM-1","issued":{"date-parts":[["2003"]]},"publisher":"IARC Press","publisher-place":"Lyon","title":"World Cancer Report","type":"report"},"uris":["http://www.mendeley.com/documents/?uuid=97a39013-60a1-4c1c-b1b3-357ea44cf5bd"]}],"mendeley":{"formattedCitation":"(2)","plainTextFormattedCitation":"(2)","previouslyFormattedCitation":"(2)"},"properties":{"noteIndex":0},"schema":"https://github.com/citation-style-language/schema/raw/master/csl-citation.json"}</w:instrText>
      </w:r>
      <w:r w:rsidR="004207B2">
        <w:rPr>
          <w:rFonts w:asciiTheme="minorHAnsi" w:hAnsiTheme="minorHAnsi" w:cstheme="minorHAnsi"/>
          <w:color w:val="000000" w:themeColor="text1"/>
        </w:rPr>
        <w:fldChar w:fldCharType="separate"/>
      </w:r>
      <w:r w:rsidR="004207B2" w:rsidRPr="004207B2">
        <w:rPr>
          <w:rFonts w:asciiTheme="minorHAnsi" w:hAnsiTheme="minorHAnsi" w:cstheme="minorHAnsi"/>
          <w:noProof/>
          <w:color w:val="000000" w:themeColor="text1"/>
        </w:rPr>
        <w:t>(2)</w:t>
      </w:r>
      <w:r w:rsidR="004207B2">
        <w:rPr>
          <w:rFonts w:asciiTheme="minorHAnsi" w:hAnsiTheme="minorHAnsi" w:cstheme="minorHAnsi"/>
          <w:color w:val="000000" w:themeColor="text1"/>
        </w:rPr>
        <w:fldChar w:fldCharType="end"/>
      </w:r>
      <w:r w:rsidR="004207B2">
        <w:rPr>
          <w:rFonts w:asciiTheme="minorHAnsi" w:hAnsiTheme="minorHAnsi" w:cstheme="minorHAnsi"/>
          <w:color w:val="000000" w:themeColor="text1"/>
        </w:rPr>
        <w:t xml:space="preserve"> </w:t>
      </w:r>
      <w:r w:rsidRPr="00A4345D">
        <w:rPr>
          <w:rFonts w:asciiTheme="minorHAnsi" w:hAnsiTheme="minorHAnsi" w:cstheme="minorHAnsi"/>
          <w:color w:val="000000" w:themeColor="text1"/>
        </w:rPr>
        <w:t xml:space="preserve">and national guidelines on cancer risk behaviours. We also used our knowledge of adolescent multiple risk behaviours and tried to reflect where possible, behaviours that are age appropriate. </w:t>
      </w:r>
    </w:p>
    <w:p w14:paraId="4B0CB8FA" w14:textId="77777777" w:rsidR="007431C8" w:rsidRPr="00A4345D" w:rsidRDefault="007431C8" w:rsidP="007431C8">
      <w:pPr>
        <w:spacing w:line="276" w:lineRule="auto"/>
        <w:rPr>
          <w:rFonts w:asciiTheme="minorHAnsi" w:hAnsiTheme="minorHAnsi" w:cstheme="minorHAnsi"/>
          <w:color w:val="000000" w:themeColor="text1"/>
        </w:rPr>
      </w:pPr>
    </w:p>
    <w:p w14:paraId="4221285C" w14:textId="77777777" w:rsidR="007431C8" w:rsidRPr="00A4345D" w:rsidRDefault="007431C8" w:rsidP="007431C8">
      <w:pPr>
        <w:spacing w:line="276" w:lineRule="auto"/>
        <w:rPr>
          <w:rFonts w:asciiTheme="minorHAnsi" w:hAnsiTheme="minorHAnsi" w:cstheme="minorHAnsi"/>
          <w:color w:val="000000" w:themeColor="text1"/>
        </w:rPr>
      </w:pPr>
      <w:r w:rsidRPr="00A4345D">
        <w:rPr>
          <w:rFonts w:asciiTheme="minorHAnsi" w:hAnsiTheme="minorHAnsi" w:cstheme="minorHAnsi"/>
          <w:color w:val="000000" w:themeColor="text1"/>
        </w:rPr>
        <w:t xml:space="preserve">The Continuous Update Project (CUP) is an ongoing programme conducted by the WCRF that analyses cancer prevention and survival research related to alcoholic drinks, body fatness and weight gain, diet, nutrition and physical activity and sedentary behaviour. Research is continually added to the CUP’s database and systematically reviewed by a team at Imperial College London. An independent panel of experts carries out ongoing evaluations of this evidence, and their findings form the basis of their recommendations. This document was published in 2018 and is an update from an equivalent report from 2007. We have only included exposures from the report which are deemed to have either convincing or probable evidence (as opposed to limited evidence) of an increased or decreased risk of cancer. </w:t>
      </w:r>
    </w:p>
    <w:p w14:paraId="0D162D96" w14:textId="77777777" w:rsidR="007431C8" w:rsidRPr="00A4345D" w:rsidRDefault="007431C8" w:rsidP="007431C8">
      <w:pPr>
        <w:spacing w:line="276" w:lineRule="auto"/>
        <w:rPr>
          <w:rFonts w:asciiTheme="minorHAnsi" w:hAnsiTheme="minorHAnsi" w:cstheme="minorHAnsi"/>
          <w:color w:val="000000" w:themeColor="text1"/>
        </w:rPr>
      </w:pPr>
    </w:p>
    <w:p w14:paraId="26DF9701" w14:textId="77777777" w:rsidR="007431C8" w:rsidRPr="00A4345D" w:rsidRDefault="007431C8" w:rsidP="007431C8">
      <w:pPr>
        <w:pStyle w:val="Heading3"/>
        <w:spacing w:line="276" w:lineRule="auto"/>
        <w:rPr>
          <w:rFonts w:asciiTheme="minorHAnsi" w:hAnsiTheme="minorHAnsi" w:cstheme="minorHAnsi"/>
          <w:lang w:eastAsia="en-US"/>
        </w:rPr>
      </w:pPr>
      <w:r w:rsidRPr="00A4345D">
        <w:rPr>
          <w:rFonts w:asciiTheme="minorHAnsi" w:hAnsiTheme="minorHAnsi" w:cstheme="minorHAnsi"/>
          <w:lang w:eastAsia="en-US"/>
        </w:rPr>
        <w:t xml:space="preserve">Tobacco smoking </w:t>
      </w:r>
    </w:p>
    <w:p w14:paraId="6AB0CE16" w14:textId="7142C819" w:rsidR="007431C8" w:rsidRDefault="007431C8" w:rsidP="007431C8">
      <w:pPr>
        <w:spacing w:line="276" w:lineRule="auto"/>
        <w:ind w:firstLine="720"/>
        <w:rPr>
          <w:rFonts w:asciiTheme="minorHAnsi" w:hAnsiTheme="minorHAnsi" w:cstheme="minorHAnsi"/>
        </w:rPr>
      </w:pPr>
      <w:r w:rsidRPr="00A4345D">
        <w:rPr>
          <w:rFonts w:asciiTheme="minorHAnsi" w:hAnsiTheme="minorHAnsi" w:cstheme="minorHAnsi"/>
        </w:rPr>
        <w:t>Any exposure to tobacco smoking is a cancer risk and increases with duration of smoking and number of cigarettes smoked, smoking cessation reduces smoking risk, but the risks never drop to that of never smokers</w:t>
      </w:r>
      <w:r w:rsidR="009A34AF">
        <w:rPr>
          <w:rFonts w:asciiTheme="minorHAnsi" w:hAnsiTheme="minorHAnsi" w:cstheme="minorHAnsi"/>
        </w:rPr>
        <w:t xml:space="preserve"> </w:t>
      </w:r>
      <w:r w:rsidR="009A34AF">
        <w:rPr>
          <w:rFonts w:asciiTheme="minorHAnsi" w:hAnsiTheme="minorHAnsi" w:cstheme="minorHAnsi"/>
        </w:rPr>
        <w:fldChar w:fldCharType="begin" w:fldLock="1"/>
      </w:r>
      <w:r w:rsidR="009A34AF">
        <w:rPr>
          <w:rFonts w:asciiTheme="minorHAnsi" w:hAnsiTheme="minorHAnsi" w:cstheme="minorHAnsi"/>
        </w:rPr>
        <w:instrText>ADDIN CSL_CITATION {"citationItems":[{"id":"ITEM-1","itemData":{"author":[{"dropping-particle":"","family":"IARC","given":"","non-dropping-particle":"","parse-names":false,"suffix":""}],"editor":[{"dropping-particle":"","family":"P.","given":"Kleihues","non-dropping-particle":"","parse-names":false,"suffix":""}],"id":"ITEM-1","issued":{"date-parts":[["2003"]]},"publisher":"IARC Press","publisher-place":"Lyon","title":"World Cancer Report","type":"report"},"uris":["http://www.mendeley.com/documents/?uuid=97a39013-60a1-4c1c-b1b3-357ea44cf5bd"]}],"mendeley":{"formattedCitation":"(2)","plainTextFormattedCitation":"(2)","previouslyFormattedCitation":"(2)"},"properties":{"noteIndex":0},"schema":"https://github.com/citation-style-language/schema/raw/master/csl-citation.json"}</w:instrText>
      </w:r>
      <w:r w:rsidR="009A34AF">
        <w:rPr>
          <w:rFonts w:asciiTheme="minorHAnsi" w:hAnsiTheme="minorHAnsi" w:cstheme="minorHAnsi"/>
        </w:rPr>
        <w:fldChar w:fldCharType="separate"/>
      </w:r>
      <w:r w:rsidR="009A34AF" w:rsidRPr="009A34AF">
        <w:rPr>
          <w:rFonts w:asciiTheme="minorHAnsi" w:hAnsiTheme="minorHAnsi" w:cstheme="minorHAnsi"/>
          <w:noProof/>
        </w:rPr>
        <w:t>(2)</w:t>
      </w:r>
      <w:r w:rsidR="009A34AF">
        <w:rPr>
          <w:rFonts w:asciiTheme="minorHAnsi" w:hAnsiTheme="minorHAnsi" w:cstheme="minorHAnsi"/>
        </w:rPr>
        <w:fldChar w:fldCharType="end"/>
      </w:r>
      <w:r w:rsidRPr="00A4345D">
        <w:rPr>
          <w:rFonts w:asciiTheme="minorHAnsi" w:hAnsiTheme="minorHAnsi" w:cstheme="minorHAnsi"/>
        </w:rPr>
        <w:t xml:space="preserve">. However, given the longitudinal nature of the research we cannot use ever smoked as a threshold after the first time point. We were also wary of classifying an adolescent as a smoker if they had only tried cigarettes once. We therefore used: smoked cigarettes in the past 6 months for the second measure; and smokes every week for the third and fourth measures. </w:t>
      </w:r>
    </w:p>
    <w:p w14:paraId="1BDF2232" w14:textId="77777777" w:rsidR="007431C8" w:rsidRPr="00A4345D" w:rsidRDefault="007431C8" w:rsidP="007431C8">
      <w:pPr>
        <w:spacing w:line="276" w:lineRule="auto"/>
        <w:rPr>
          <w:rFonts w:asciiTheme="minorHAnsi" w:hAnsiTheme="minorHAnsi" w:cstheme="minorHAnsi"/>
        </w:rPr>
      </w:pPr>
    </w:p>
    <w:p w14:paraId="5A2FA9D6" w14:textId="77777777" w:rsidR="007431C8" w:rsidRPr="00A4345D" w:rsidRDefault="007431C8" w:rsidP="007431C8">
      <w:pPr>
        <w:pStyle w:val="Heading3"/>
        <w:spacing w:line="276" w:lineRule="auto"/>
        <w:rPr>
          <w:rFonts w:asciiTheme="minorHAnsi" w:hAnsiTheme="minorHAnsi" w:cstheme="minorHAnsi"/>
          <w:lang w:eastAsia="en-US"/>
        </w:rPr>
      </w:pPr>
      <w:r w:rsidRPr="00A4345D">
        <w:rPr>
          <w:rFonts w:asciiTheme="minorHAnsi" w:hAnsiTheme="minorHAnsi" w:cstheme="minorHAnsi"/>
          <w:lang w:eastAsia="en-US"/>
        </w:rPr>
        <w:t>Alcohol consumption</w:t>
      </w:r>
    </w:p>
    <w:p w14:paraId="71935021" w14:textId="77777777" w:rsidR="007431C8" w:rsidRPr="00A4345D" w:rsidRDefault="007431C8" w:rsidP="007431C8">
      <w:pPr>
        <w:spacing w:line="276" w:lineRule="auto"/>
        <w:ind w:firstLine="720"/>
        <w:rPr>
          <w:rFonts w:asciiTheme="minorHAnsi" w:hAnsiTheme="minorHAnsi" w:cstheme="minorHAnsi"/>
        </w:rPr>
      </w:pPr>
      <w:r w:rsidRPr="00A4345D">
        <w:rPr>
          <w:rFonts w:asciiTheme="minorHAnsi" w:hAnsiTheme="minorHAnsi" w:cstheme="minorHAnsi"/>
        </w:rPr>
        <w:t xml:space="preserve">Any exposure to alcohol is a cancer risk, however, we felt it was important to distinguish between young people who were merely trying alcohol (characterised as sipping), from young people who have had whole alcoholic drinks - a whole drink is categorised as a whole can of beer, glass of wine, measure of spirits, bottle of alcopop and is not just sips of alcohol. We therefore categorised those who have had a whole drink by age 12 years as the first measure and those who have had a whole drink in the past 6 months as the second measure. </w:t>
      </w:r>
      <w:bookmarkStart w:id="1" w:name="_Hlk535486459"/>
      <w:r>
        <w:rPr>
          <w:rFonts w:asciiTheme="minorHAnsi" w:hAnsiTheme="minorHAnsi" w:cstheme="minorHAnsi"/>
        </w:rPr>
        <w:t>W</w:t>
      </w:r>
      <w:r w:rsidRPr="00A4345D">
        <w:rPr>
          <w:rFonts w:asciiTheme="minorHAnsi" w:hAnsiTheme="minorHAnsi" w:cstheme="minorHAnsi"/>
        </w:rPr>
        <w:t xml:space="preserve">hile the CUP provides evidence of a dose-response relationship with alcohol, they do not provide definitive thresholds, so we used the UK’s national guidance. In the UK, national guidelines at the time were that children and young people are advised not to drink alcohol before age 18 years. However, if children do drink alcohol underage, it should not be until they are at least 15. If 15 to 17-year olds drink alcohol, it should be rarely, and never more than once a week. We have tried to reflect this and the increasing normativity of alcohol </w:t>
      </w:r>
      <w:r w:rsidRPr="00A4345D">
        <w:rPr>
          <w:rFonts w:asciiTheme="minorHAnsi" w:hAnsiTheme="minorHAnsi" w:cstheme="minorHAnsi"/>
        </w:rPr>
        <w:lastRenderedPageBreak/>
        <w:t>consumption for the latter two measures to those who drank 6 or more whole drinks in past 30 days as the third measure; and consumes alcohol 2-3 times a week or more or hazardous drinking, as the final measure</w:t>
      </w:r>
      <w:bookmarkEnd w:id="1"/>
      <w:r w:rsidRPr="00A4345D">
        <w:rPr>
          <w:rFonts w:asciiTheme="minorHAnsi" w:hAnsiTheme="minorHAnsi" w:cstheme="minorHAnsi"/>
        </w:rPr>
        <w:t>.</w:t>
      </w:r>
    </w:p>
    <w:p w14:paraId="3B75F694" w14:textId="77777777" w:rsidR="007431C8" w:rsidRPr="00A4345D" w:rsidRDefault="007431C8" w:rsidP="007431C8">
      <w:pPr>
        <w:spacing w:line="276" w:lineRule="auto"/>
        <w:ind w:firstLine="720"/>
        <w:rPr>
          <w:rFonts w:asciiTheme="minorHAnsi" w:hAnsiTheme="minorHAnsi" w:cstheme="minorHAnsi"/>
          <w:color w:val="000000" w:themeColor="text1"/>
          <w:lang w:eastAsia="en-US"/>
        </w:rPr>
      </w:pPr>
    </w:p>
    <w:p w14:paraId="37815785" w14:textId="77777777" w:rsidR="007431C8" w:rsidRPr="00A4345D" w:rsidRDefault="007431C8" w:rsidP="007431C8">
      <w:pPr>
        <w:pStyle w:val="Heading3"/>
        <w:spacing w:line="276" w:lineRule="auto"/>
        <w:rPr>
          <w:rFonts w:asciiTheme="minorHAnsi" w:hAnsiTheme="minorHAnsi" w:cstheme="minorHAnsi"/>
          <w:lang w:eastAsia="en-US"/>
        </w:rPr>
      </w:pPr>
      <w:r w:rsidRPr="00A4345D">
        <w:rPr>
          <w:rFonts w:asciiTheme="minorHAnsi" w:hAnsiTheme="minorHAnsi" w:cstheme="minorHAnsi"/>
          <w:lang w:eastAsia="en-US"/>
        </w:rPr>
        <w:t>Obesity</w:t>
      </w:r>
    </w:p>
    <w:p w14:paraId="7807554A" w14:textId="7BB56EC1" w:rsidR="007431C8" w:rsidRPr="00A4345D" w:rsidRDefault="007431C8" w:rsidP="007431C8">
      <w:pPr>
        <w:spacing w:line="276" w:lineRule="auto"/>
        <w:ind w:firstLine="720"/>
        <w:rPr>
          <w:rFonts w:asciiTheme="minorHAnsi" w:hAnsiTheme="minorHAnsi" w:cstheme="minorHAnsi"/>
        </w:rPr>
      </w:pPr>
      <w:r w:rsidRPr="00A4345D">
        <w:rPr>
          <w:rFonts w:asciiTheme="minorHAnsi" w:hAnsiTheme="minorHAnsi" w:cstheme="minorHAnsi"/>
        </w:rPr>
        <w:t>There is strong evidence that being obese throughout adulthood increases the risk of mouth, pharynx and larynx, oesophagus, stomach, pancreas, gallbladder, liver, colorectum, post menopause breast, ovary, endometrium, prostate and kidney cancer. These associations generally follow a dose–response relationship, so there is also a smaller increase in risk for people who are overweight but not obese</w:t>
      </w:r>
      <w:r w:rsidR="009A34AF">
        <w:rPr>
          <w:rFonts w:asciiTheme="minorHAnsi" w:hAnsiTheme="minorHAnsi" w:cstheme="minorHAnsi"/>
        </w:rPr>
        <w:t xml:space="preserve"> </w:t>
      </w:r>
      <w:r w:rsidR="009A34AF">
        <w:rPr>
          <w:rFonts w:asciiTheme="minorHAnsi" w:hAnsiTheme="minorHAnsi" w:cstheme="minorHAnsi"/>
        </w:rPr>
        <w:fldChar w:fldCharType="begin" w:fldLock="1"/>
      </w:r>
      <w:r w:rsidR="009A34AF">
        <w:rPr>
          <w:rFonts w:asciiTheme="minorHAnsi" w:hAnsiTheme="minorHAnsi" w:cstheme="minorHAnsi"/>
        </w:rPr>
        <w:instrText>ADDIN CSL_CITATION {"citationItems":[{"id":"ITEM-1","itemData":{"DOI":"https://www.wcrf.org/dietandcancer","author":[{"dropping-particle":"","family":"WCRF","given":"","non-dropping-particle":"","parse-names":false,"suffix":""}],"id":"ITEM-1","issued":{"date-parts":[["2018"]]},"publisher":"World Cancer Research Fund (WCRF)","publisher-place":"London","title":"Diet, Nutrition Physical activity and Cancer: a global Perspective Continuous Update Project Expert Report 2018","type":"report"},"uris":["http://www.mendeley.com/documents/?uuid=8cf31b61-6187-4905-9b98-8d00ed1640cb"]}],"mendeley":{"formattedCitation":"(1)","plainTextFormattedCitation":"(1)","previouslyFormattedCitation":"(1)"},"properties":{"noteIndex":0},"schema":"https://github.com/citation-style-language/schema/raw/master/csl-citation.json"}</w:instrText>
      </w:r>
      <w:r w:rsidR="009A34AF">
        <w:rPr>
          <w:rFonts w:asciiTheme="minorHAnsi" w:hAnsiTheme="minorHAnsi" w:cstheme="minorHAnsi"/>
        </w:rPr>
        <w:fldChar w:fldCharType="separate"/>
      </w:r>
      <w:r w:rsidR="009A34AF" w:rsidRPr="009A34AF">
        <w:rPr>
          <w:rFonts w:asciiTheme="minorHAnsi" w:hAnsiTheme="minorHAnsi" w:cstheme="minorHAnsi"/>
          <w:noProof/>
        </w:rPr>
        <w:t>(1)</w:t>
      </w:r>
      <w:r w:rsidR="009A34AF">
        <w:rPr>
          <w:rFonts w:asciiTheme="minorHAnsi" w:hAnsiTheme="minorHAnsi" w:cstheme="minorHAnsi"/>
        </w:rPr>
        <w:fldChar w:fldCharType="end"/>
      </w:r>
      <w:r w:rsidRPr="00A4345D">
        <w:rPr>
          <w:rFonts w:asciiTheme="minorHAnsi" w:hAnsiTheme="minorHAnsi" w:cstheme="minorHAnsi"/>
        </w:rPr>
        <w:t>. Body fatness is difficult to measure directly, however, because it is the most changeable determinant of weight, various markers of body fatness have been developed – body mass index (BMI) being the most common. Each of the measures of obesity (UK 1990, WHO 2007 IOTF) have advantages and disadvantages, so any decision will be pragmatic. We have therefore chosen to use all three measures, the UK 1990, as that is what has predominantly been used in previous ALSPAC analysis.</w:t>
      </w:r>
    </w:p>
    <w:p w14:paraId="4C5FFF21" w14:textId="77777777" w:rsidR="007431C8" w:rsidRPr="00A4345D" w:rsidRDefault="007431C8" w:rsidP="007431C8">
      <w:pPr>
        <w:spacing w:line="276" w:lineRule="auto"/>
        <w:ind w:firstLine="720"/>
        <w:rPr>
          <w:rFonts w:asciiTheme="minorHAnsi" w:hAnsiTheme="minorHAnsi" w:cstheme="minorHAnsi"/>
          <w:color w:val="000000" w:themeColor="text1"/>
          <w:lang w:eastAsia="en-US"/>
        </w:rPr>
      </w:pPr>
    </w:p>
    <w:p w14:paraId="19CB6996" w14:textId="77777777" w:rsidR="007431C8" w:rsidRPr="00A4345D" w:rsidRDefault="007431C8" w:rsidP="007431C8">
      <w:pPr>
        <w:pStyle w:val="Heading3"/>
        <w:spacing w:line="276" w:lineRule="auto"/>
        <w:rPr>
          <w:rFonts w:asciiTheme="minorHAnsi" w:hAnsiTheme="minorHAnsi" w:cstheme="minorHAnsi"/>
          <w:lang w:eastAsia="en-US"/>
        </w:rPr>
      </w:pPr>
      <w:r w:rsidRPr="00A4345D">
        <w:rPr>
          <w:rFonts w:asciiTheme="minorHAnsi" w:hAnsiTheme="minorHAnsi" w:cstheme="minorHAnsi"/>
          <w:lang w:eastAsia="en-US"/>
        </w:rPr>
        <w:t xml:space="preserve">Unprotected sexual intercourse </w:t>
      </w:r>
    </w:p>
    <w:p w14:paraId="2B9E55BE" w14:textId="74E21ED9" w:rsidR="007431C8" w:rsidRPr="00A4345D" w:rsidRDefault="007431C8" w:rsidP="007431C8">
      <w:pPr>
        <w:spacing w:line="276" w:lineRule="auto"/>
        <w:ind w:firstLine="720"/>
        <w:rPr>
          <w:rFonts w:asciiTheme="minorHAnsi" w:hAnsiTheme="minorHAnsi" w:cstheme="minorHAnsi"/>
          <w:color w:val="000000" w:themeColor="text1"/>
          <w:lang w:eastAsia="en-US"/>
        </w:rPr>
      </w:pPr>
      <w:r w:rsidRPr="00A4345D">
        <w:rPr>
          <w:rFonts w:asciiTheme="minorHAnsi" w:hAnsiTheme="minorHAnsi" w:cstheme="minorHAnsi"/>
          <w:color w:val="000000" w:themeColor="text1"/>
          <w:lang w:eastAsia="en-US"/>
        </w:rPr>
        <w:t>Human papilloma viruses (HPV) are transmitted during unprotected sexual intercourse. HPV ‘is a necessary cause of cervical cancer [and] its genome can be found in nearly all cervical cancers’</w:t>
      </w:r>
      <w:r w:rsidR="009A34AF">
        <w:rPr>
          <w:rFonts w:asciiTheme="minorHAnsi" w:hAnsiTheme="minorHAnsi" w:cstheme="minorHAnsi"/>
          <w:color w:val="000000" w:themeColor="text1"/>
          <w:lang w:eastAsia="en-US"/>
        </w:rPr>
        <w:t xml:space="preserve"> </w:t>
      </w:r>
      <w:r w:rsidR="009A34AF">
        <w:rPr>
          <w:rFonts w:asciiTheme="minorHAnsi" w:hAnsiTheme="minorHAnsi" w:cstheme="minorHAnsi"/>
          <w:color w:val="000000" w:themeColor="text1"/>
          <w:lang w:eastAsia="en-US"/>
        </w:rPr>
        <w:fldChar w:fldCharType="begin" w:fldLock="1"/>
      </w:r>
      <w:r w:rsidR="009A34AF">
        <w:rPr>
          <w:rFonts w:asciiTheme="minorHAnsi" w:hAnsiTheme="minorHAnsi" w:cstheme="minorHAnsi"/>
          <w:color w:val="000000" w:themeColor="text1"/>
          <w:lang w:eastAsia="en-US"/>
        </w:rPr>
        <w:instrText>ADDIN CSL_CITATION {"citationItems":[{"id":"ITEM-1","itemData":{"author":[{"dropping-particle":"","family":"IARC","given":"","non-dropping-particle":"","parse-names":false,"suffix":""}],"editor":[{"dropping-particle":"","family":"P.","given":"Kleihues","non-dropping-particle":"","parse-names":false,"suffix":""}],"id":"ITEM-1","issued":{"date-parts":[["2003"]]},"publisher":"IARC Press","publisher-place":"Lyon","title":"World Cancer Report","type":"report"},"uris":["http://www.mendeley.com/documents/?uuid=97a39013-60a1-4c1c-b1b3-357ea44cf5bd"]}],"mendeley":{"formattedCitation":"(2)","plainTextFormattedCitation":"(2)","previouslyFormattedCitation":"(2)"},"properties":{"noteIndex":0},"schema":"https://github.com/citation-style-language/schema/raw/master/csl-citation.json"}</w:instrText>
      </w:r>
      <w:r w:rsidR="009A34AF">
        <w:rPr>
          <w:rFonts w:asciiTheme="minorHAnsi" w:hAnsiTheme="minorHAnsi" w:cstheme="minorHAnsi"/>
          <w:color w:val="000000" w:themeColor="text1"/>
          <w:lang w:eastAsia="en-US"/>
        </w:rPr>
        <w:fldChar w:fldCharType="separate"/>
      </w:r>
      <w:r w:rsidR="009A34AF" w:rsidRPr="009A34AF">
        <w:rPr>
          <w:rFonts w:asciiTheme="minorHAnsi" w:hAnsiTheme="minorHAnsi" w:cstheme="minorHAnsi"/>
          <w:noProof/>
          <w:color w:val="000000" w:themeColor="text1"/>
          <w:lang w:eastAsia="en-US"/>
        </w:rPr>
        <w:t>(2)</w:t>
      </w:r>
      <w:r w:rsidR="009A34AF">
        <w:rPr>
          <w:rFonts w:asciiTheme="minorHAnsi" w:hAnsiTheme="minorHAnsi" w:cstheme="minorHAnsi"/>
          <w:color w:val="000000" w:themeColor="text1"/>
          <w:lang w:eastAsia="en-US"/>
        </w:rPr>
        <w:fldChar w:fldCharType="end"/>
      </w:r>
      <w:r w:rsidRPr="00A4345D">
        <w:rPr>
          <w:rFonts w:asciiTheme="minorHAnsi" w:hAnsiTheme="minorHAnsi" w:cstheme="minorHAnsi"/>
          <w:color w:val="000000" w:themeColor="text1"/>
          <w:lang w:eastAsia="en-US"/>
        </w:rPr>
        <w:t xml:space="preserve">. It is generally accepted that 100% of cervical cancers are attributable to 13 high risk HPV types classified as carcinogenic or probably carcinogenic. HPV16 and 18 are the most prevalent types and account for 70% of cervical cancer in </w:t>
      </w:r>
      <w:proofErr w:type="gramStart"/>
      <w:r w:rsidRPr="00A4345D">
        <w:rPr>
          <w:rFonts w:asciiTheme="minorHAnsi" w:hAnsiTheme="minorHAnsi" w:cstheme="minorHAnsi"/>
          <w:color w:val="000000" w:themeColor="text1"/>
          <w:lang w:eastAsia="en-US"/>
        </w:rPr>
        <w:t>the all</w:t>
      </w:r>
      <w:proofErr w:type="gramEnd"/>
      <w:r w:rsidRPr="00A4345D">
        <w:rPr>
          <w:rFonts w:asciiTheme="minorHAnsi" w:hAnsiTheme="minorHAnsi" w:cstheme="minorHAnsi"/>
          <w:color w:val="000000" w:themeColor="text1"/>
          <w:lang w:eastAsia="en-US"/>
        </w:rPr>
        <w:t xml:space="preserve"> world regions. Head and neck cancers are a large and heterogeneous group of malignancies, and tobacco smoking and alcohol consumption are the major causes. However, HPV DNA has been reported to be present in a variable fraction of head and neck cancers (0–60%). Among HPV-positive cancers, HPV16 predominates (90% of HPV-positive carcinomas). HPV prevalence is notably high in oropharyngeal cancer, in which HPV16 is present at, localized to cell nuclei, frequently integrated into the cell genome, and actively transcribing viral oncoproteins E6 and E7 </w:t>
      </w:r>
      <w:r w:rsidR="009A34AF">
        <w:rPr>
          <w:rFonts w:asciiTheme="minorHAnsi" w:hAnsiTheme="minorHAnsi" w:cstheme="minorHAnsi"/>
          <w:color w:val="000000" w:themeColor="text1"/>
          <w:lang w:eastAsia="en-US"/>
        </w:rPr>
        <w:fldChar w:fldCharType="begin" w:fldLock="1"/>
      </w:r>
      <w:r w:rsidR="00340AD6">
        <w:rPr>
          <w:rFonts w:asciiTheme="minorHAnsi" w:hAnsiTheme="minorHAnsi" w:cstheme="minorHAnsi"/>
          <w:color w:val="000000" w:themeColor="text1"/>
          <w:lang w:eastAsia="en-US"/>
        </w:rPr>
        <w:instrText>ADDIN CSL_CITATION {"citationItems":[{"id":"ITEM-1","itemData":{"author":[{"dropping-particle":"","family":"IARC","given":"","non-dropping-particle":"","parse-names":false,"suffix":""}],"editor":[{"dropping-particle":"","family":"P.","given":"Kleihues","non-dropping-particle":"","parse-names":false,"suffix":""}],"id":"ITEM-1","issued":{"date-parts":[["2003"]]},"publisher":"IARC Press","publisher-place":"Lyon","title":"World Cancer Report","type":"report"},"uris":["http://www.mendeley.com/documents/?uuid=97a39013-60a1-4c1c-b1b3-357ea44cf5bd"]}],"mendeley":{"formattedCitation":"(2)","plainTextFormattedCitation":"(2)","previouslyFormattedCitation":"(2)"},"properties":{"noteIndex":0},"schema":"https://github.com/citation-style-language/schema/raw/master/csl-citation.json"}</w:instrText>
      </w:r>
      <w:r w:rsidR="009A34AF">
        <w:rPr>
          <w:rFonts w:asciiTheme="minorHAnsi" w:hAnsiTheme="minorHAnsi" w:cstheme="minorHAnsi"/>
          <w:color w:val="000000" w:themeColor="text1"/>
          <w:lang w:eastAsia="en-US"/>
        </w:rPr>
        <w:fldChar w:fldCharType="separate"/>
      </w:r>
      <w:r w:rsidR="009A34AF" w:rsidRPr="009A34AF">
        <w:rPr>
          <w:rFonts w:asciiTheme="minorHAnsi" w:hAnsiTheme="minorHAnsi" w:cstheme="minorHAnsi"/>
          <w:noProof/>
          <w:color w:val="000000" w:themeColor="text1"/>
          <w:lang w:eastAsia="en-US"/>
        </w:rPr>
        <w:t>(2)</w:t>
      </w:r>
      <w:r w:rsidR="009A34AF">
        <w:rPr>
          <w:rFonts w:asciiTheme="minorHAnsi" w:hAnsiTheme="minorHAnsi" w:cstheme="minorHAnsi"/>
          <w:color w:val="000000" w:themeColor="text1"/>
          <w:lang w:eastAsia="en-US"/>
        </w:rPr>
        <w:fldChar w:fldCharType="end"/>
      </w:r>
      <w:r w:rsidRPr="00A4345D">
        <w:rPr>
          <w:rFonts w:asciiTheme="minorHAnsi" w:hAnsiTheme="minorHAnsi" w:cstheme="minorHAnsi"/>
          <w:color w:val="000000" w:themeColor="text1"/>
          <w:lang w:eastAsia="en-US"/>
        </w:rPr>
        <w:t>.</w:t>
      </w:r>
    </w:p>
    <w:p w14:paraId="744C20FA" w14:textId="77777777" w:rsidR="007431C8" w:rsidRPr="00A4345D" w:rsidRDefault="007431C8" w:rsidP="007431C8">
      <w:pPr>
        <w:spacing w:line="276" w:lineRule="auto"/>
        <w:ind w:firstLine="720"/>
        <w:rPr>
          <w:rFonts w:asciiTheme="minorHAnsi" w:hAnsiTheme="minorHAnsi" w:cstheme="minorHAnsi"/>
          <w:color w:val="000000" w:themeColor="text1"/>
          <w:lang w:eastAsia="en-US"/>
        </w:rPr>
      </w:pPr>
    </w:p>
    <w:p w14:paraId="279A178D" w14:textId="77777777" w:rsidR="007431C8" w:rsidRPr="00A4345D" w:rsidRDefault="007431C8" w:rsidP="007431C8">
      <w:pPr>
        <w:pStyle w:val="Heading3"/>
        <w:spacing w:line="276" w:lineRule="auto"/>
        <w:rPr>
          <w:rFonts w:asciiTheme="minorHAnsi" w:hAnsiTheme="minorHAnsi" w:cstheme="minorHAnsi"/>
          <w:lang w:eastAsia="en-US"/>
        </w:rPr>
      </w:pPr>
      <w:r w:rsidRPr="00A4345D">
        <w:rPr>
          <w:rFonts w:asciiTheme="minorHAnsi" w:hAnsiTheme="minorHAnsi" w:cstheme="minorHAnsi"/>
          <w:lang w:eastAsia="en-US"/>
        </w:rPr>
        <w:t xml:space="preserve">Physical inactivity </w:t>
      </w:r>
    </w:p>
    <w:p w14:paraId="5D863218" w14:textId="77777777" w:rsidR="007431C8" w:rsidRDefault="007431C8" w:rsidP="007431C8">
      <w:pPr>
        <w:spacing w:line="276" w:lineRule="auto"/>
        <w:ind w:firstLine="720"/>
        <w:rPr>
          <w:rFonts w:asciiTheme="minorHAnsi" w:hAnsiTheme="minorHAnsi" w:cstheme="minorHAnsi"/>
          <w:color w:val="000000" w:themeColor="text1"/>
          <w:lang w:eastAsia="en-US"/>
        </w:rPr>
      </w:pPr>
      <w:bookmarkStart w:id="2" w:name="_Hlk535488541"/>
      <w:r w:rsidRPr="00A4345D">
        <w:rPr>
          <w:rFonts w:asciiTheme="minorHAnsi" w:hAnsiTheme="minorHAnsi" w:cstheme="minorHAnsi"/>
          <w:color w:val="000000" w:themeColor="text1"/>
          <w:lang w:eastAsia="en-US"/>
        </w:rPr>
        <w:t xml:space="preserve">Evidence relating to physical activity in the WCRF’s CUP reflects the lack of a generally agreed upon classification for what constitutes physical activity. In highest verses lowest analyses, physical activity relates to metabolic equivalents or MET hours per week or a MET score. The highest verses lowest physical activity in the individual studies were generally defined as ‘active’ and ‘inactive’, respectively and there were wide between-study variations in how activity was defined. Other measures used included: the quantity of physical activity per day/week, as well as more qualitative measures. </w:t>
      </w:r>
      <w:bookmarkEnd w:id="2"/>
      <w:r w:rsidRPr="00A4345D">
        <w:rPr>
          <w:rFonts w:asciiTheme="minorHAnsi" w:hAnsiTheme="minorHAnsi" w:cstheme="minorHAnsi"/>
          <w:color w:val="000000" w:themeColor="text1"/>
          <w:lang w:eastAsia="en-US"/>
        </w:rPr>
        <w:t xml:space="preserve">There was only ‘limited’ evidence that sedentary behaviour is associated with increased risk of cancer, so this has not been included in our analyses. Owing to a lack of definitive thresholds in the CUP, our threshold was informed by UK national guidelines and by what was available in the ALSPAC data, i.e. the </w:t>
      </w:r>
      <w:r w:rsidRPr="00A4345D">
        <w:rPr>
          <w:rFonts w:asciiTheme="minorHAnsi" w:hAnsiTheme="minorHAnsi" w:cstheme="minorHAnsi"/>
          <w:color w:val="000000" w:themeColor="text1"/>
          <w:lang w:eastAsia="en-US"/>
        </w:rPr>
        <w:lastRenderedPageBreak/>
        <w:t>young person typically exercises &lt;5 times a week or has participated in vigorous physical activity 1-3 times a week or less.</w:t>
      </w:r>
    </w:p>
    <w:p w14:paraId="003CB391" w14:textId="77777777" w:rsidR="007431C8" w:rsidRDefault="007431C8" w:rsidP="007431C8">
      <w:pPr>
        <w:spacing w:line="276" w:lineRule="auto"/>
        <w:rPr>
          <w:rFonts w:asciiTheme="minorHAnsi" w:hAnsiTheme="minorHAnsi" w:cstheme="minorHAnsi"/>
          <w:color w:val="000000" w:themeColor="text1"/>
          <w:lang w:eastAsia="en-US"/>
        </w:rPr>
      </w:pPr>
    </w:p>
    <w:p w14:paraId="33C163EB" w14:textId="77777777" w:rsidR="007431C8" w:rsidRDefault="007431C8" w:rsidP="007431C8">
      <w:pPr>
        <w:pStyle w:val="Heading3"/>
        <w:rPr>
          <w:lang w:eastAsia="en-US"/>
        </w:rPr>
      </w:pPr>
      <w:r>
        <w:rPr>
          <w:lang w:eastAsia="en-US"/>
        </w:rPr>
        <w:t>Adult measures</w:t>
      </w:r>
    </w:p>
    <w:p w14:paraId="1D230897" w14:textId="77777777" w:rsidR="007431C8" w:rsidRPr="00A4345D" w:rsidRDefault="007431C8" w:rsidP="007431C8">
      <w:pPr>
        <w:spacing w:line="276" w:lineRule="auto"/>
        <w:ind w:firstLine="720"/>
        <w:rPr>
          <w:rFonts w:asciiTheme="minorHAnsi" w:hAnsiTheme="minorHAnsi" w:cstheme="minorHAnsi"/>
        </w:rPr>
      </w:pPr>
      <w:r>
        <w:rPr>
          <w:rFonts w:asciiTheme="minorHAnsi" w:hAnsiTheme="minorHAnsi" w:cstheme="minorHAnsi"/>
        </w:rPr>
        <w:t xml:space="preserve">We wanted the adult measures </w:t>
      </w:r>
      <w:r w:rsidRPr="00AD5B8D">
        <w:rPr>
          <w:rFonts w:asciiTheme="minorHAnsi" w:hAnsiTheme="minorHAnsi" w:cstheme="minorHAnsi"/>
        </w:rPr>
        <w:t xml:space="preserve">where possible, </w:t>
      </w:r>
      <w:r>
        <w:rPr>
          <w:rFonts w:asciiTheme="minorHAnsi" w:hAnsiTheme="minorHAnsi" w:cstheme="minorHAnsi"/>
        </w:rPr>
        <w:t xml:space="preserve">to reflect </w:t>
      </w:r>
      <w:r w:rsidRPr="00AD5B8D">
        <w:rPr>
          <w:rFonts w:asciiTheme="minorHAnsi" w:hAnsiTheme="minorHAnsi" w:cstheme="minorHAnsi"/>
        </w:rPr>
        <w:t>more acute presentations of the adolescent cancer risk behaviours.</w:t>
      </w:r>
      <w:r>
        <w:rPr>
          <w:rFonts w:asciiTheme="minorHAnsi" w:hAnsiTheme="minorHAnsi" w:cstheme="minorHAnsi"/>
        </w:rPr>
        <w:t xml:space="preserve"> We therefore chose daily smoking, nicotine dependence, harmful drinking, obesity, high waist circumference and high waist-hip ratio.</w:t>
      </w:r>
    </w:p>
    <w:p w14:paraId="3310E09B" w14:textId="77777777" w:rsidR="00C84C7D" w:rsidRDefault="00C84C7D" w:rsidP="00B66D2C">
      <w:pPr>
        <w:spacing w:line="276" w:lineRule="auto"/>
        <w:rPr>
          <w:rFonts w:asciiTheme="minorHAnsi" w:hAnsiTheme="minorHAnsi" w:cstheme="minorHAnsi"/>
        </w:rPr>
        <w:sectPr w:rsidR="00C84C7D" w:rsidSect="00AF25B1">
          <w:pgSz w:w="11906" w:h="16838"/>
          <w:pgMar w:top="1440" w:right="1440" w:bottom="1440" w:left="1440" w:header="708" w:footer="708" w:gutter="0"/>
          <w:cols w:space="708"/>
          <w:docGrid w:linePitch="360"/>
        </w:sectPr>
      </w:pPr>
    </w:p>
    <w:p w14:paraId="46C83B72" w14:textId="77777777" w:rsidR="00D205D2" w:rsidRPr="00A4345D" w:rsidRDefault="00D205D2" w:rsidP="00D205D2">
      <w:pPr>
        <w:pStyle w:val="Heading2"/>
        <w:numPr>
          <w:ilvl w:val="0"/>
          <w:numId w:val="2"/>
        </w:numPr>
        <w:spacing w:line="276" w:lineRule="auto"/>
        <w:rPr>
          <w:rFonts w:asciiTheme="minorHAnsi" w:hAnsiTheme="minorHAnsi" w:cstheme="minorHAnsi"/>
          <w:lang w:eastAsia="en-US"/>
        </w:rPr>
      </w:pPr>
      <w:r w:rsidRPr="00A4345D">
        <w:rPr>
          <w:rFonts w:asciiTheme="minorHAnsi" w:hAnsiTheme="minorHAnsi" w:cstheme="minorHAnsi"/>
          <w:lang w:eastAsia="en-US"/>
        </w:rPr>
        <w:lastRenderedPageBreak/>
        <w:t>Confounder measures and their derivation</w:t>
      </w:r>
    </w:p>
    <w:p w14:paraId="0A9D6EE4" w14:textId="77777777" w:rsidR="00D205D2" w:rsidRPr="00A4345D" w:rsidRDefault="00D205D2" w:rsidP="00D205D2">
      <w:pPr>
        <w:spacing w:line="276" w:lineRule="auto"/>
        <w:rPr>
          <w:rFonts w:asciiTheme="minorHAnsi" w:hAnsiTheme="minorHAnsi" w:cstheme="minorHAnsi"/>
          <w:bCs/>
        </w:rPr>
      </w:pPr>
    </w:p>
    <w:p w14:paraId="54B3D893" w14:textId="1144A16E"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Sex</w:t>
      </w:r>
      <w:r w:rsidRPr="00A4345D">
        <w:rPr>
          <w:rFonts w:asciiTheme="minorHAnsi" w:hAnsiTheme="minorHAnsi" w:cstheme="minorHAnsi"/>
          <w:bCs/>
        </w:rPr>
        <w:t xml:space="preserve">: biological sex recorded at birth. </w:t>
      </w:r>
    </w:p>
    <w:p w14:paraId="10F1A4F2" w14:textId="77777777" w:rsidR="00D205D2" w:rsidRPr="00A4345D" w:rsidRDefault="00D205D2" w:rsidP="00D205D2">
      <w:pPr>
        <w:spacing w:line="276" w:lineRule="auto"/>
        <w:rPr>
          <w:rFonts w:asciiTheme="minorHAnsi" w:hAnsiTheme="minorHAnsi" w:cstheme="minorHAnsi"/>
          <w:bCs/>
        </w:rPr>
      </w:pPr>
    </w:p>
    <w:p w14:paraId="12885EA4" w14:textId="2151A34B"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Parental socioeconomic status</w:t>
      </w:r>
      <w:r w:rsidRPr="00A4345D">
        <w:rPr>
          <w:rFonts w:asciiTheme="minorHAnsi" w:hAnsiTheme="minorHAnsi" w:cstheme="minorHAnsi"/>
          <w:bCs/>
        </w:rPr>
        <w:t>: measured using parent’s highest social class (professional; managerial and technical; skilled non-manual; and skilled manual, part or unskilled manual), mother’s highest educational level (degree, A-level, O-level/GCSE and less than O-level/GCSE), household income (divided into quintiles of high to low income), housing tenure during pregnancy (mortgaged or own property, privately rented property or subsidised rental property).</w:t>
      </w:r>
    </w:p>
    <w:p w14:paraId="53F243BE" w14:textId="77777777" w:rsidR="00D205D2" w:rsidRPr="00A4345D" w:rsidRDefault="00D205D2" w:rsidP="00D205D2">
      <w:pPr>
        <w:spacing w:line="276" w:lineRule="auto"/>
        <w:rPr>
          <w:rFonts w:asciiTheme="minorHAnsi" w:hAnsiTheme="minorHAnsi" w:cstheme="minorHAnsi"/>
          <w:bCs/>
        </w:rPr>
      </w:pPr>
    </w:p>
    <w:p w14:paraId="14A367E3" w14:textId="641B29A2"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Adverse childhood experiences (ACEs):</w:t>
      </w:r>
      <w:r w:rsidRPr="00A4345D">
        <w:rPr>
          <w:rFonts w:asciiTheme="minorHAnsi" w:hAnsiTheme="minorHAnsi" w:cstheme="minorHAnsi"/>
          <w:bCs/>
        </w:rPr>
        <w:t xml:space="preserve"> mothers, partners and the study child were asked 288 questions over 27 data collection points about the child’s exposure to nine ACEs up to age 9 years. ACEs include child sexual, physical, or emotional abuse; parent substance use; parent mental health problems or suicide attempt; violence between parents; parental separation; parental criminal conviction; and child bullying. ACEs were derived as in previous papers</w:t>
      </w:r>
      <w:r w:rsidR="00340AD6">
        <w:rPr>
          <w:rFonts w:asciiTheme="minorHAnsi" w:hAnsiTheme="minorHAnsi" w:cstheme="minorHAnsi"/>
          <w:bCs/>
        </w:rPr>
        <w:t xml:space="preserve"> </w:t>
      </w:r>
      <w:r w:rsidR="00340AD6">
        <w:rPr>
          <w:rFonts w:asciiTheme="minorHAnsi" w:hAnsiTheme="minorHAnsi" w:cstheme="minorHAnsi"/>
          <w:bCs/>
        </w:rPr>
        <w:fldChar w:fldCharType="begin" w:fldLock="1"/>
      </w:r>
      <w:r w:rsidR="00340AD6">
        <w:rPr>
          <w:rFonts w:asciiTheme="minorHAnsi" w:hAnsiTheme="minorHAnsi" w:cstheme="minorHAnsi"/>
          <w:bCs/>
        </w:rPr>
        <w:instrText>ADDIN CSL_CITATION {"citationItems":[{"id":"ITEM-1","itemData":{"DOI":"10.12688/wellcomeopenres.14716.1","ISBN":"2398-502X","PMID":"30569020","abstract":"Background: Exposure to adverse childhood experiences (ACEs) is a risk factor for poor later life health. Here, we describe the ACE variables measured in the children of the Avon Longitudinal Study of Parents and Children (ALSPAC) study, and a method used to derive summary measures and deal with missing data in them.    Methods: The ALSPAC data catalogue (59 608 variables) was searched in September 2017 for measures on adversity exposure between birth and 18 years. 6140 adversity questions were then screened for conforming to our ACE definitions and suitability for dichotomisation. This screening identified 541 questions on ten 'classic' ACEs (sexual, physical or emotional abuse, emotional neglect, substance abuse by the parents, parental mental illness or suicide attempt, violence between parents, parental separation, bullying and parental criminal conviction) and nine additional ACEs (bond between parent and child, satisfaction with neighbourhood, social support for the parent, social support for the child, physical illness of a parent, physical illness of the child, financial difficulties, low social class and violence between child and partner). These were used to derive a binary construct for exposure to each ACE. Finally, as cumulative measures of childhood adversity, different combinations of the 19 ACE constructs were summed to give total adversity scores. An appropriate strategy for multiple imputation was developed to deal with the complex patterns of missing data. Results: The ACE constructs and ACE-scores for exposure between birth and 16 years had prevalence estimates that were comparable to previous reports (for instance 4% sexual abuse, 18% physical abuse, 25% bullied, 32% parental separation). Conclusions: ACE constructs, derived using a pragmatic approach to handle the high dimensional ALSPAC data, can be used in future analyses on childhood adversity in ALSPAC children.","author":[{"dropping-particle":"","family":"Houtepen","given":"Lotte C","non-dropping-particle":"","parse-names":false,"suffix":""},{"dropping-particle":"","family":"Heron","given":"Jon","non-dropping-particle":"","parse-names":false,"suffix":""},{"dropping-particle":"","family":"Suderman","given":"Matthew J","non-dropping-particle":"","parse-names":false,"suffix":""},{"dropping-particle":"","family":"Tilling","given":"Kate","non-dropping-particle":"","parse-names":false,"suffix":""},{"dropping-particle":"","family":"Howe","given":"Laura D","non-dropping-particle":"","parse-names":false,"suffix":""}],"container-title":"Wellcome open research","id":"ITEM-1","issued":{"date-parts":[["2018"]]},"language":"eng","note":"30569020[pmid]\nPMC6281007[pmcid]","page":"106","publisher":"F1000 Research Limited","title":"Adverse childhood experiences in the children of the Avon Longitudinal Study of Parents and Children (ALSPAC)","type":"article-journal","volume":"3"},"uris":["http://www.mendeley.com/documents/?uuid=fcc36b39-c0c9-451e-8e67-bae6c3398daa"]},{"id":"ITEM-2","itemData":{"DOI":"10.1111/jcpp.13100","ISBN":"1469-7610\r0021-9630","PMID":"31486089","abstract":"BACKGROUND: Adverse childhood experiences (ACEs) such as physical and emotional abuse are strongly associated with self-harm, but mechanisms underlying this relationship are unclear. Inflammation has been linked to both the experience of ACEs and self-harm or suicide in prior research. This is the first study to examine whether inflammatory markers mediate the association between exposure to ACEs and self-harm. METHODS: Participants were 4,308 young people from the Avon Longitudinal Study of Parents and Children (ALSPAC), a population-based birth cohort in the United Kingdom. A structural equation modelling approach was used to fit a mediation model with the number of ACEs experienced between ages 0 and 9 years old (yo), levels of the inflammatory markers interleukin-6 and C-reactive protein measured at 9.5 yo, and self-harm reported at 16 yo. RESULTS: The mean number of ACEs young people experienced was 1.41 (SE 0.03). Higher ACE scores were associated with an increased risk of self-harm at 16 yo (direct effect relative risk (RR) per additional ACE 1.11, 95% CI 1.05, 1.18, p &lt; 0.001). We did not find evidence of an indirect effect of ACEs on self-harm via inflammation (RR 1.00, 95% CI 1.00, 1.01, p = 0.38). CONCLUSIONS: Young people who have been exposed to ACEs are a group at high risk of self-harm. The association between ACEs and self-harm does not appear to be mediated by an inflammatory process in childhood, as indexed by peripheral levels of circulating inflammatory markers measured in childhood. Further research is needed to identify alternative psychological and biological mechanisms underlying this relationship.","author":[{"dropping-particle":"","family":"Russell","given":"Abigail Emma","non-dropping-particle":"","parse-names":false,"suffix":""},{"dropping-particle":"","family":"Heron","given":"Jon","non-dropping-particle":"","parse-names":false,"suffix":""},{"dropping-particle":"","family":"Gunnell","given":"David","non-dropping-particle":"","parse-names":false,"suffix":""},{"dropping-particle":"","family":"Ford","given":"Tamsin","non-dropping-particle":"","parse-names":false,"suffix":""},{"dropping-particle":"","family":"Hemani","given":"Gibran","non-dropping-particle":"","parse-names":false,"suffix":""},{"dropping-particle":"","family":"Joinson","given":"Carol","non-dropping-particle":"","parse-names":false,"suffix":""},{"dropping-particle":"","family":"Moran","given":"Paul","non-dropping-particle":"","parse-names":false,"suffix":""},{"dropping-particle":"","family":"Relton","given":"Caroline","non-dropping-particle":"","parse-names":false,"suffix":""},{"dropping-particle":"","family":"Suderman","given":"Matthew","non-dropping-particle":"","parse-names":false,"suffix":""},{"dropping-particle":"","family":"Mars","given":"Becky","non-dropping-particle":"","parse-names":false,"suffix":""}],"container-title":"Journal of child psychology and psychiatry, and allied disciplines","edition":"2019/09/04","id":"ITEM-2","issue":"10","issued":{"date-parts":[["2019"]]},"language":"eng","note":"31486089[pmid]\nPMC6771906[pmcid]","page":"1094-1103","publisher":"John Wiley and Sons Inc.","title":"Pathways between early-life adversity and adolescent self-harm: the mediating role of inflammation in the Avon Longitudinal Study of Parents and Children","type":"article-journal","volume":"60"},"uris":["http://www.mendeley.com/documents/?uuid=f177b5c0-8028-4bba-845e-09d1bb93adfe"]}],"mendeley":{"formattedCitation":"(3,4)","plainTextFormattedCitation":"(3,4)","previouslyFormattedCitation":"(3,4)"},"properties":{"noteIndex":0},"schema":"https://github.com/citation-style-language/schema/raw/master/csl-citation.json"}</w:instrText>
      </w:r>
      <w:r w:rsidR="00340AD6">
        <w:rPr>
          <w:rFonts w:asciiTheme="minorHAnsi" w:hAnsiTheme="minorHAnsi" w:cstheme="minorHAnsi"/>
          <w:bCs/>
        </w:rPr>
        <w:fldChar w:fldCharType="separate"/>
      </w:r>
      <w:r w:rsidR="00340AD6" w:rsidRPr="00340AD6">
        <w:rPr>
          <w:rFonts w:asciiTheme="minorHAnsi" w:hAnsiTheme="minorHAnsi" w:cstheme="minorHAnsi"/>
          <w:bCs/>
          <w:noProof/>
        </w:rPr>
        <w:t>(3,4)</w:t>
      </w:r>
      <w:r w:rsidR="00340AD6">
        <w:rPr>
          <w:rFonts w:asciiTheme="minorHAnsi" w:hAnsiTheme="minorHAnsi" w:cstheme="minorHAnsi"/>
          <w:bCs/>
        </w:rPr>
        <w:fldChar w:fldCharType="end"/>
      </w:r>
      <w:r w:rsidRPr="00A4345D">
        <w:rPr>
          <w:rFonts w:asciiTheme="minorHAnsi" w:hAnsiTheme="minorHAnsi" w:cstheme="minorHAnsi"/>
          <w:bCs/>
        </w:rPr>
        <w:t xml:space="preserve">. </w:t>
      </w:r>
    </w:p>
    <w:p w14:paraId="612F053C" w14:textId="77777777" w:rsidR="00D205D2" w:rsidRPr="00A4345D" w:rsidRDefault="00D205D2" w:rsidP="00D205D2">
      <w:pPr>
        <w:spacing w:line="276" w:lineRule="auto"/>
        <w:rPr>
          <w:rFonts w:asciiTheme="minorHAnsi" w:hAnsiTheme="minorHAnsi" w:cstheme="minorHAnsi"/>
          <w:bCs/>
        </w:rPr>
      </w:pPr>
    </w:p>
    <w:p w14:paraId="5BD52CAE" w14:textId="32091229"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IQ:</w:t>
      </w:r>
      <w:r w:rsidRPr="00A4345D">
        <w:rPr>
          <w:rFonts w:asciiTheme="minorHAnsi" w:hAnsiTheme="minorHAnsi" w:cstheme="minorHAnsi"/>
          <w:bCs/>
        </w:rPr>
        <w:t xml:space="preserve"> The Wechsler Intelligence Scale for Children (WISC) intelligence quotient (IQ) test was used to assess cognitive function at age 8 years</w:t>
      </w:r>
      <w:r w:rsidR="00340AD6">
        <w:rPr>
          <w:rFonts w:asciiTheme="minorHAnsi" w:hAnsiTheme="minorHAnsi" w:cstheme="minorHAnsi"/>
          <w:bCs/>
        </w:rPr>
        <w:t xml:space="preserve"> </w:t>
      </w:r>
      <w:r w:rsidR="00340AD6">
        <w:rPr>
          <w:rFonts w:asciiTheme="minorHAnsi" w:hAnsiTheme="minorHAnsi" w:cstheme="minorHAnsi"/>
          <w:bCs/>
        </w:rPr>
        <w:fldChar w:fldCharType="begin" w:fldLock="1"/>
      </w:r>
      <w:r w:rsidR="00340AD6">
        <w:rPr>
          <w:rFonts w:asciiTheme="minorHAnsi" w:hAnsiTheme="minorHAnsi" w:cstheme="minorHAnsi"/>
          <w:bCs/>
        </w:rPr>
        <w:instrText>ADDIN CSL_CITATION {"citationItems":[{"id":"ITEM-1","itemData":{"author":[{"dropping-particle":"","family":"Wechsler D","given":"","non-dropping-particle":"","parse-names":false,"suffix":""},{"dropping-particle":"","family":"Golombok","given":"S","non-dropping-particle":"","parse-names":false,"suffix":""},{"dropping-particle":"","family":"Rust","given":"J","non-dropping-particle":"","parse-names":false,"suffix":""}],"id":"ITEM-1","issued":{"date-parts":[["1992"]]},"publisher":"The Psychological Corporation","publisher-place":"Sidcup, UK","title":"WISC-IIIUK Wechsler Intelligence Scale for Children – Third Edition UK Manual","type":"book"},"uris":["http://www.mendeley.com/documents/?uuid=820f95f6-5222-4693-b7e7-3763733b9a77"]}],"mendeley":{"formattedCitation":"(5)","plainTextFormattedCitation":"(5)","previouslyFormattedCitation":"(5)"},"properties":{"noteIndex":0},"schema":"https://github.com/citation-style-language/schema/raw/master/csl-citation.json"}</w:instrText>
      </w:r>
      <w:r w:rsidR="00340AD6">
        <w:rPr>
          <w:rFonts w:asciiTheme="minorHAnsi" w:hAnsiTheme="minorHAnsi" w:cstheme="minorHAnsi"/>
          <w:bCs/>
        </w:rPr>
        <w:fldChar w:fldCharType="separate"/>
      </w:r>
      <w:r w:rsidR="00340AD6" w:rsidRPr="00340AD6">
        <w:rPr>
          <w:rFonts w:asciiTheme="minorHAnsi" w:hAnsiTheme="minorHAnsi" w:cstheme="minorHAnsi"/>
          <w:bCs/>
          <w:noProof/>
        </w:rPr>
        <w:t>(5)</w:t>
      </w:r>
      <w:r w:rsidR="00340AD6">
        <w:rPr>
          <w:rFonts w:asciiTheme="minorHAnsi" w:hAnsiTheme="minorHAnsi" w:cstheme="minorHAnsi"/>
          <w:bCs/>
        </w:rPr>
        <w:fldChar w:fldCharType="end"/>
      </w:r>
      <w:r w:rsidRPr="00A4345D">
        <w:rPr>
          <w:rFonts w:asciiTheme="minorHAnsi" w:hAnsiTheme="minorHAnsi" w:cstheme="minorHAnsi"/>
          <w:bCs/>
        </w:rPr>
        <w:t>.</w:t>
      </w:r>
      <w:r w:rsidR="004207B2">
        <w:rPr>
          <w:rFonts w:asciiTheme="minorHAnsi" w:hAnsiTheme="minorHAnsi" w:cstheme="minorHAnsi"/>
          <w:bCs/>
        </w:rPr>
        <w:t xml:space="preserve"> </w:t>
      </w:r>
    </w:p>
    <w:p w14:paraId="719CCFBC" w14:textId="77777777" w:rsidR="00D205D2" w:rsidRPr="00A4345D" w:rsidRDefault="00D205D2" w:rsidP="00D205D2">
      <w:pPr>
        <w:spacing w:line="276" w:lineRule="auto"/>
        <w:rPr>
          <w:rFonts w:asciiTheme="minorHAnsi" w:hAnsiTheme="minorHAnsi" w:cstheme="minorHAnsi"/>
          <w:bCs/>
        </w:rPr>
      </w:pPr>
    </w:p>
    <w:p w14:paraId="1C1FF86A" w14:textId="3E06EFF0"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Antisocial behaviour:</w:t>
      </w:r>
      <w:r w:rsidRPr="00A4345D">
        <w:rPr>
          <w:rFonts w:asciiTheme="minorHAnsi" w:hAnsiTheme="minorHAnsi" w:cstheme="minorHAnsi"/>
          <w:bCs/>
        </w:rPr>
        <w:t xml:space="preserve"> measured using the self-reported antisocial behaviour for young children questionnaire was used to produce an antisocial behaviour score at age 8 years</w:t>
      </w:r>
      <w:r w:rsidR="00340AD6">
        <w:rPr>
          <w:rFonts w:asciiTheme="minorHAnsi" w:hAnsiTheme="minorHAnsi" w:cstheme="minorHAnsi"/>
          <w:bCs/>
        </w:rPr>
        <w:t xml:space="preserve"> </w:t>
      </w:r>
      <w:r w:rsidR="00340AD6">
        <w:rPr>
          <w:rFonts w:asciiTheme="minorHAnsi" w:hAnsiTheme="minorHAnsi" w:cstheme="minorHAnsi"/>
          <w:bCs/>
        </w:rPr>
        <w:fldChar w:fldCharType="begin" w:fldLock="1"/>
      </w:r>
      <w:r w:rsidR="00340AD6">
        <w:rPr>
          <w:rFonts w:asciiTheme="minorHAnsi" w:hAnsiTheme="minorHAnsi" w:cstheme="minorHAnsi"/>
          <w:bCs/>
        </w:rPr>
        <w:instrText>ADDIN CSL_CITATION {"citationItems":[{"id":"ITEM-1","itemData":{"DOI":"10.1007/978-94-009-1001-0_10","ISBN":"978-94-009-1001-0","abstract":"Delinquent careers, typically, have been thought to begin in adolescence (ages 12 to 16) rather than during late childhood (7 to 11). The commission of offenses by elementary school aged youngsters, however, has attracted more attention from criminologists in recent years, which has resulted in some new insights. First, offenders now are said to engage in delinquent acts at an earlier age than was previously thought. Second, an early onset of offending, according to some studies, is predictive not only of longer offending careers but also of higher rates of offending during the career. Third, surveys show that a surprising proportion of elementary school age children commit offenses that do not lead to criminal prosecution, and thus do not show up in crime statistics (Loeber, 1987).","author":[{"dropping-particle":"","family":"Loeber","given":"Rolf","non-dropping-particle":"","parse-names":false,"suffix":""},{"dropping-particle":"","family":"Stouthamer-Loeber","given":"Magda","non-dropping-particle":"","parse-names":false,"suffix":""},{"dropping-particle":"","family":"Kammen","given":"Welmoet B","non-dropping-particle":"Van","parse-names":false,"suffix":""},{"dropping-particle":"","family":"Farrington","given":"David P","non-dropping-particle":"","parse-names":false,"suffix":""}],"container-title":"Cross-National Research in Self-Reported Crime and Delinquency","editor":[{"dropping-particle":"","family":"Klein","given":"Malcolm W","non-dropping-particle":"","parse-names":false,"suffix":""}],"id":"ITEM-1","issued":{"date-parts":[["1989"]]},"page":"203-225","publisher":"Springer Netherlands","publisher-place":"Dordrecht","title":"Development of a New Measure of Self-Reported Antisocial Behavior for Young Children: Prevalence and Reliability","type":"chapter"},"uris":["http://www.mendeley.com/documents/?uuid=1fec2339-9f57-4b56-90e2-68ead6cbfd85"]}],"mendeley":{"formattedCitation":"(6)","plainTextFormattedCitation":"(6)","previouslyFormattedCitation":"(6)"},"properties":{"noteIndex":0},"schema":"https://github.com/citation-style-language/schema/raw/master/csl-citation.json"}</w:instrText>
      </w:r>
      <w:r w:rsidR="00340AD6">
        <w:rPr>
          <w:rFonts w:asciiTheme="minorHAnsi" w:hAnsiTheme="minorHAnsi" w:cstheme="minorHAnsi"/>
          <w:bCs/>
        </w:rPr>
        <w:fldChar w:fldCharType="separate"/>
      </w:r>
      <w:r w:rsidR="00340AD6" w:rsidRPr="00340AD6">
        <w:rPr>
          <w:rFonts w:asciiTheme="minorHAnsi" w:hAnsiTheme="minorHAnsi" w:cstheme="minorHAnsi"/>
          <w:bCs/>
          <w:noProof/>
        </w:rPr>
        <w:t>(6)</w:t>
      </w:r>
      <w:r w:rsidR="00340AD6">
        <w:rPr>
          <w:rFonts w:asciiTheme="minorHAnsi" w:hAnsiTheme="minorHAnsi" w:cstheme="minorHAnsi"/>
          <w:bCs/>
        </w:rPr>
        <w:fldChar w:fldCharType="end"/>
      </w:r>
      <w:r w:rsidRPr="00A4345D">
        <w:rPr>
          <w:rFonts w:asciiTheme="minorHAnsi" w:hAnsiTheme="minorHAnsi" w:cstheme="minorHAnsi"/>
          <w:bCs/>
        </w:rPr>
        <w:t>.</w:t>
      </w:r>
      <w:r w:rsidR="004207B2">
        <w:rPr>
          <w:rFonts w:asciiTheme="minorHAnsi" w:hAnsiTheme="minorHAnsi" w:cstheme="minorHAnsi"/>
          <w:bCs/>
        </w:rPr>
        <w:t xml:space="preserve"> </w:t>
      </w:r>
    </w:p>
    <w:p w14:paraId="7E2CF313" w14:textId="77777777" w:rsidR="00D205D2" w:rsidRPr="00A4345D" w:rsidRDefault="00D205D2" w:rsidP="00D205D2">
      <w:pPr>
        <w:spacing w:line="276" w:lineRule="auto"/>
        <w:rPr>
          <w:rFonts w:asciiTheme="minorHAnsi" w:hAnsiTheme="minorHAnsi" w:cstheme="minorHAnsi"/>
          <w:bCs/>
        </w:rPr>
      </w:pPr>
    </w:p>
    <w:p w14:paraId="1189AEE3" w14:textId="407E7527"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Depressive symptoms</w:t>
      </w:r>
      <w:r w:rsidRPr="00A4345D">
        <w:rPr>
          <w:rFonts w:asciiTheme="minorHAnsi" w:hAnsiTheme="minorHAnsi" w:cstheme="minorHAnsi"/>
          <w:bCs/>
        </w:rPr>
        <w:t xml:space="preserve">: measured using the short moods and feeling questionnaire (SMFQ) at age 9 years </w:t>
      </w:r>
      <w:r w:rsidRPr="00A4345D">
        <w:rPr>
          <w:rFonts w:asciiTheme="minorHAnsi" w:hAnsiTheme="minorHAnsi" w:cstheme="minorHAnsi"/>
          <w:color w:val="000000"/>
          <w:shd w:val="clear" w:color="auto" w:fill="FFFFFF"/>
        </w:rPr>
        <w:t>is a 13-item questionnaire designed for examining the presence of depressive symptoms in epidemiological studies and has been shown to be a strong predictor of depression. The SMFQ summarises these 13 items to give a score ranging between 0–26, where greater scores represent higher depressive symptoms</w:t>
      </w:r>
      <w:r w:rsidR="00340AD6">
        <w:rPr>
          <w:rFonts w:asciiTheme="minorHAnsi" w:hAnsiTheme="minorHAnsi" w:cstheme="minorHAnsi"/>
          <w:color w:val="000000"/>
          <w:shd w:val="clear" w:color="auto" w:fill="FFFFFF"/>
        </w:rPr>
        <w:t xml:space="preserve"> </w:t>
      </w:r>
      <w:r w:rsidR="00340AD6">
        <w:rPr>
          <w:rFonts w:asciiTheme="minorHAnsi" w:hAnsiTheme="minorHAnsi" w:cstheme="minorHAnsi"/>
          <w:color w:val="000000"/>
          <w:shd w:val="clear" w:color="auto" w:fill="FFFFFF"/>
        </w:rPr>
        <w:fldChar w:fldCharType="begin" w:fldLock="1"/>
      </w:r>
      <w:r w:rsidR="00340AD6">
        <w:rPr>
          <w:rFonts w:asciiTheme="minorHAnsi" w:hAnsiTheme="minorHAnsi" w:cstheme="minorHAnsi"/>
          <w:color w:val="000000"/>
          <w:shd w:val="clear" w:color="auto" w:fill="FFFFFF"/>
        </w:rPr>
        <w:instrText>ADDIN CSL_CITATION {"citationItems":[{"id":"ITEM-1","itemData":{"ISBN":"1557-0657(Electronic),1049-8931(Print)","abstract":"Examined the psychometric properties of the Short Mood and Feelings Questionnaire (SMFQ) with 173 Ss, aged 8–16 yrs old. Results reveal substantial correlations between the SMFQ, the Children's Depression Inventory and the Diagnostic Interview Schedule for Children (DISC). The SMFQ successfully discriminated the psychiatric Ss from pediatric controls. Within the pediatric group, the SMFQ discriminated DISC-diagnosed Ss with depressive disorder from non-depressed Ss. Exploratory factor analyses, along with a high internal consistency, suggest that the SMFQ was a unifactorial scale. The SMFQ appears to be a promising tool for both the swift assessment of core depressive symptomatology and as a screening measure for depression in child psychiatric epidemiological studies. (PsycINFO Database Record (c) 2016 APA, all rights reserved)","author":[{"dropping-particle":"","family":"Angold","given":"Adrian","non-dropping-particle":"","parse-names":false,"suffix":""},{"dropping-particle":"","family":"Costello","given":"Elizabeth J","non-dropping-particle":"","parse-names":false,"suffix":""},{"dropping-particle":"","family":"Messer","given":"Stephen C","non-dropping-particle":"","parse-names":false,"suffix":""},{"dropping-particle":"","family":"Pickles","given":"Andrew","non-dropping-particle":"","parse-names":false,"suffix":""}],"container-title":"International Journal of Methods in Psychiatric Research","id":"ITEM-1","issue":"4","issued":{"date-parts":[["1995"]]},"page":"237-249","publisher":"John Wiley &amp; Sons","publisher-place":"US","title":"Development of a short questionnaire for use in epidemiological studies of depression in children and adolescents","type":"article-journal","volume":"5"},"uris":["http://www.mendeley.com/documents/?uuid=82680fb2-7e8e-43e2-9e6a-109db762a3a4"]}],"mendeley":{"formattedCitation":"(7)","plainTextFormattedCitation":"(7)","previouslyFormattedCitation":"(7)"},"properties":{"noteIndex":0},"schema":"https://github.com/citation-style-language/schema/raw/master/csl-citation.json"}</w:instrText>
      </w:r>
      <w:r w:rsidR="00340AD6">
        <w:rPr>
          <w:rFonts w:asciiTheme="minorHAnsi" w:hAnsiTheme="minorHAnsi" w:cstheme="minorHAnsi"/>
          <w:color w:val="000000"/>
          <w:shd w:val="clear" w:color="auto" w:fill="FFFFFF"/>
        </w:rPr>
        <w:fldChar w:fldCharType="separate"/>
      </w:r>
      <w:r w:rsidR="00340AD6" w:rsidRPr="00340AD6">
        <w:rPr>
          <w:rFonts w:asciiTheme="minorHAnsi" w:hAnsiTheme="minorHAnsi" w:cstheme="minorHAnsi"/>
          <w:noProof/>
          <w:color w:val="000000"/>
          <w:shd w:val="clear" w:color="auto" w:fill="FFFFFF"/>
        </w:rPr>
        <w:t>(7)</w:t>
      </w:r>
      <w:r w:rsidR="00340AD6">
        <w:rPr>
          <w:rFonts w:asciiTheme="minorHAnsi" w:hAnsiTheme="minorHAnsi" w:cstheme="minorHAnsi"/>
          <w:color w:val="000000"/>
          <w:shd w:val="clear" w:color="auto" w:fill="FFFFFF"/>
        </w:rPr>
        <w:fldChar w:fldCharType="end"/>
      </w:r>
      <w:r w:rsidR="004207B2">
        <w:rPr>
          <w:rFonts w:asciiTheme="minorHAnsi" w:hAnsiTheme="minorHAnsi" w:cstheme="minorHAnsi"/>
          <w:color w:val="000000"/>
          <w:shd w:val="clear" w:color="auto" w:fill="FFFFFF"/>
        </w:rPr>
        <w:t>.</w:t>
      </w:r>
      <w:r w:rsidRPr="00A4345D">
        <w:rPr>
          <w:rFonts w:asciiTheme="minorHAnsi" w:hAnsiTheme="minorHAnsi" w:cstheme="minorHAnsi"/>
          <w:bCs/>
        </w:rPr>
        <w:t xml:space="preserve"> </w:t>
      </w:r>
    </w:p>
    <w:p w14:paraId="58E2904F" w14:textId="77777777" w:rsidR="00D205D2" w:rsidRPr="00A4345D" w:rsidRDefault="00D205D2" w:rsidP="00D205D2">
      <w:pPr>
        <w:spacing w:line="276" w:lineRule="auto"/>
        <w:rPr>
          <w:rFonts w:asciiTheme="minorHAnsi" w:hAnsiTheme="minorHAnsi" w:cstheme="minorHAnsi"/>
          <w:bCs/>
        </w:rPr>
      </w:pPr>
    </w:p>
    <w:p w14:paraId="6A06ECAA" w14:textId="7D324BAE"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Conduct problems</w:t>
      </w:r>
      <w:r w:rsidRPr="00A4345D">
        <w:rPr>
          <w:rFonts w:asciiTheme="minorHAnsi" w:hAnsiTheme="minorHAnsi" w:cstheme="minorHAnsi"/>
          <w:bCs/>
        </w:rPr>
        <w:t>: were measured using the Strengths and Difficulties Questionnaire (SDQ) at age 9 years. It is a validated and reliable assessment of dimensional child psychopathology</w:t>
      </w:r>
      <w:r w:rsidR="00340AD6">
        <w:rPr>
          <w:rFonts w:asciiTheme="minorHAnsi" w:hAnsiTheme="minorHAnsi" w:cstheme="minorHAnsi"/>
          <w:bCs/>
        </w:rPr>
        <w:t xml:space="preserve"> </w:t>
      </w:r>
      <w:r w:rsidR="00340AD6">
        <w:rPr>
          <w:rFonts w:asciiTheme="minorHAnsi" w:hAnsiTheme="minorHAnsi" w:cstheme="minorHAnsi"/>
          <w:bCs/>
        </w:rPr>
        <w:fldChar w:fldCharType="begin" w:fldLock="1"/>
      </w:r>
      <w:r w:rsidR="00340AD6">
        <w:rPr>
          <w:rFonts w:asciiTheme="minorHAnsi" w:hAnsiTheme="minorHAnsi" w:cstheme="minorHAnsi"/>
          <w:bCs/>
        </w:rPr>
        <w:instrText>ADDIN CSL_CITATION {"citationItems":[{"id":"ITEM-1","itemData":{"DOI":"https://doi.org/10.1097/00004583-200111000-00015","ISBN":"0890-8567","abstract":"ABSTRACT Objective To describe the psychometric properties of the Strengths and Difficulties Questionnaire (SDQ), a brief measure of the prosocial behavior and psychopathology of 3–16-year-olds that can be completed by parents, teachers, or youths. Method A nationwide epidemiological sample of 10,438 British 5–15-year-olds obtained SDQs from 96% of parents, 70% of teachers, and 91% of 11–15-year-olds. Blind to the SDQ findings, all subjects were also assigned DSM-IV diagnoses based on a clinical review of detailed interview measures. Results The predicted five-factor structure (emotional, conduct, hyperactivity-inattention, peer, prosocial) was confirmed. Internalizing and externalizing scales were relatively “uncontaminated” by one another. Reliability was generally satisfactory, whether judged by internal consistency (mean Cronbach α: .73), cross-informant correlation (mean: 0.34), or retest stability after 4 to 6 months (mean: 0.62). SDQ scores above the 90th percentile predicted a substantially raised probability of independently diagnosed psychiatric disorders (mean odds ratio: 15.7 for parent scales, 15.2 for teacher scales, 6.2 for youth scales). Conclusion The reliability and validity of the SDQ make it a useful brief measure of the adjustment and psychopathology of children and adolescents.","author":[{"dropping-particle":"","family":"Goodman","given":"Robert","non-dropping-particle":"","parse-names":false,"suffix":""}],"container-title":"Journal of the American Academy of Child &amp; Adolescent Psychiatry","id":"ITEM-1","issue":"11","issued":{"date-parts":[["2001"]]},"page":"1337-1345","title":"Psychometric Properties of the Strengths and Difficulties Questionnaire","type":"article-journal","volume":"40"},"uris":["http://www.mendeley.com/documents/?uuid=819485ff-27bb-4585-ac33-1e5cdfd2a108"]}],"mendeley":{"formattedCitation":"(8)","plainTextFormattedCitation":"(8)","previouslyFormattedCitation":"(8)"},"properties":{"noteIndex":0},"schema":"https://github.com/citation-style-language/schema/raw/master/csl-citation.json"}</w:instrText>
      </w:r>
      <w:r w:rsidR="00340AD6">
        <w:rPr>
          <w:rFonts w:asciiTheme="minorHAnsi" w:hAnsiTheme="minorHAnsi" w:cstheme="minorHAnsi"/>
          <w:bCs/>
        </w:rPr>
        <w:fldChar w:fldCharType="separate"/>
      </w:r>
      <w:r w:rsidR="00340AD6" w:rsidRPr="00340AD6">
        <w:rPr>
          <w:rFonts w:asciiTheme="minorHAnsi" w:hAnsiTheme="minorHAnsi" w:cstheme="minorHAnsi"/>
          <w:bCs/>
          <w:noProof/>
        </w:rPr>
        <w:t>(8)</w:t>
      </w:r>
      <w:r w:rsidR="00340AD6">
        <w:rPr>
          <w:rFonts w:asciiTheme="minorHAnsi" w:hAnsiTheme="minorHAnsi" w:cstheme="minorHAnsi"/>
          <w:bCs/>
        </w:rPr>
        <w:fldChar w:fldCharType="end"/>
      </w:r>
      <w:r w:rsidR="00340AD6">
        <w:rPr>
          <w:rFonts w:asciiTheme="minorHAnsi" w:hAnsiTheme="minorHAnsi" w:cstheme="minorHAnsi"/>
          <w:bCs/>
        </w:rPr>
        <w:t>.</w:t>
      </w:r>
      <w:r w:rsidR="004207B2">
        <w:rPr>
          <w:rFonts w:asciiTheme="minorHAnsi" w:hAnsiTheme="minorHAnsi" w:cstheme="minorHAnsi"/>
          <w:bCs/>
        </w:rPr>
        <w:t xml:space="preserve"> </w:t>
      </w:r>
    </w:p>
    <w:p w14:paraId="1D130CCC" w14:textId="77777777" w:rsidR="00D205D2" w:rsidRPr="00A4345D" w:rsidRDefault="00D205D2" w:rsidP="00D205D2">
      <w:pPr>
        <w:spacing w:line="276" w:lineRule="auto"/>
        <w:rPr>
          <w:rFonts w:asciiTheme="minorHAnsi" w:hAnsiTheme="minorHAnsi" w:cstheme="minorHAnsi"/>
          <w:bCs/>
        </w:rPr>
      </w:pPr>
    </w:p>
    <w:p w14:paraId="26B22A6C" w14:textId="4D7FF67C" w:rsidR="00D205D2" w:rsidRDefault="00D205D2" w:rsidP="00D205D2">
      <w:pPr>
        <w:spacing w:line="276" w:lineRule="auto"/>
        <w:rPr>
          <w:rFonts w:asciiTheme="minorHAnsi" w:hAnsiTheme="minorHAnsi" w:cstheme="minorHAnsi"/>
        </w:rPr>
      </w:pPr>
      <w:r w:rsidRPr="00A4345D">
        <w:rPr>
          <w:rFonts w:asciiTheme="minorHAnsi" w:hAnsiTheme="minorHAnsi" w:cstheme="minorHAnsi"/>
          <w:b/>
        </w:rPr>
        <w:t>Maternal smoking:</w:t>
      </w:r>
      <w:r w:rsidRPr="00A4345D">
        <w:rPr>
          <w:rFonts w:asciiTheme="minorHAnsi" w:hAnsiTheme="minorHAnsi" w:cstheme="minorHAnsi"/>
          <w:bCs/>
        </w:rPr>
        <w:t xml:space="preserve"> was measured using a binary measure at age 8 years</w:t>
      </w:r>
      <w:r w:rsidRPr="00A4345D">
        <w:rPr>
          <w:rFonts w:asciiTheme="minorHAnsi" w:hAnsiTheme="minorHAnsi" w:cstheme="minorHAnsi"/>
        </w:rPr>
        <w:t>.</w:t>
      </w:r>
    </w:p>
    <w:p w14:paraId="3F0C1C1A" w14:textId="77777777" w:rsidR="00D205D2" w:rsidRPr="00A4345D" w:rsidRDefault="00D205D2" w:rsidP="00D205D2">
      <w:pPr>
        <w:spacing w:line="276" w:lineRule="auto"/>
        <w:rPr>
          <w:rFonts w:asciiTheme="minorHAnsi" w:hAnsiTheme="minorHAnsi" w:cstheme="minorHAnsi"/>
          <w:bCs/>
        </w:rPr>
      </w:pPr>
    </w:p>
    <w:p w14:paraId="1C1243F5" w14:textId="61AFCEC3" w:rsidR="00D205D2" w:rsidRDefault="00D205D2" w:rsidP="00D205D2">
      <w:pPr>
        <w:spacing w:line="276" w:lineRule="auto"/>
        <w:rPr>
          <w:rFonts w:asciiTheme="minorHAnsi" w:hAnsiTheme="minorHAnsi" w:cstheme="minorHAnsi"/>
        </w:rPr>
      </w:pPr>
      <w:r w:rsidRPr="00A4345D">
        <w:rPr>
          <w:rFonts w:asciiTheme="minorHAnsi" w:hAnsiTheme="minorHAnsi" w:cstheme="minorHAnsi"/>
          <w:b/>
        </w:rPr>
        <w:t>Harmful maternal alcohol use:</w:t>
      </w:r>
      <w:r w:rsidRPr="00A4345D">
        <w:rPr>
          <w:rFonts w:asciiTheme="minorHAnsi" w:hAnsiTheme="minorHAnsi" w:cstheme="minorHAnsi"/>
          <w:bCs/>
        </w:rPr>
        <w:t xml:space="preserve"> at age 8 years (binary) </w:t>
      </w:r>
      <w:r w:rsidRPr="00A4345D">
        <w:rPr>
          <w:rFonts w:asciiTheme="minorHAnsi" w:hAnsiTheme="minorHAnsi" w:cstheme="minorHAnsi"/>
        </w:rPr>
        <w:t xml:space="preserve">maternal drinking includes </w:t>
      </w:r>
      <w:proofErr w:type="gramStart"/>
      <w:r w:rsidRPr="00A4345D">
        <w:rPr>
          <w:rFonts w:asciiTheme="minorHAnsi" w:hAnsiTheme="minorHAnsi" w:cstheme="minorHAnsi"/>
        </w:rPr>
        <w:t>mother’s</w:t>
      </w:r>
      <w:proofErr w:type="gramEnd"/>
      <w:r w:rsidRPr="00A4345D">
        <w:rPr>
          <w:rFonts w:asciiTheme="minorHAnsi" w:hAnsiTheme="minorHAnsi" w:cstheme="minorHAnsi"/>
        </w:rPr>
        <w:t xml:space="preserve"> whose weekly alcohol consumption ≥ 14 units of alcohol consumed when child is age 8 years.</w:t>
      </w:r>
    </w:p>
    <w:p w14:paraId="63DC14F4" w14:textId="77777777" w:rsidR="00D205D2" w:rsidRPr="00A4345D" w:rsidRDefault="00D205D2" w:rsidP="00D205D2">
      <w:pPr>
        <w:spacing w:line="276" w:lineRule="auto"/>
        <w:rPr>
          <w:rFonts w:asciiTheme="minorHAnsi" w:hAnsiTheme="minorHAnsi" w:cstheme="minorHAnsi"/>
        </w:rPr>
      </w:pPr>
    </w:p>
    <w:p w14:paraId="03C5D5DD" w14:textId="3EE4EBA2"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Maternal cannabis</w:t>
      </w:r>
      <w:r w:rsidRPr="00A4345D">
        <w:rPr>
          <w:rFonts w:asciiTheme="minorHAnsi" w:hAnsiTheme="minorHAnsi" w:cstheme="minorHAnsi"/>
          <w:bCs/>
        </w:rPr>
        <w:t xml:space="preserve"> </w:t>
      </w:r>
      <w:proofErr w:type="gramStart"/>
      <w:r w:rsidRPr="00A4345D">
        <w:rPr>
          <w:rFonts w:asciiTheme="minorHAnsi" w:hAnsiTheme="minorHAnsi" w:cstheme="minorHAnsi"/>
          <w:b/>
        </w:rPr>
        <w:t>use</w:t>
      </w:r>
      <w:r w:rsidRPr="00A4345D">
        <w:rPr>
          <w:rFonts w:asciiTheme="minorHAnsi" w:hAnsiTheme="minorHAnsi" w:cstheme="minorHAnsi"/>
          <w:bCs/>
        </w:rPr>
        <w:t>:</w:t>
      </w:r>
      <w:proofErr w:type="gramEnd"/>
      <w:r w:rsidRPr="00A4345D">
        <w:rPr>
          <w:rFonts w:asciiTheme="minorHAnsi" w:hAnsiTheme="minorHAnsi" w:cstheme="minorHAnsi"/>
          <w:bCs/>
        </w:rPr>
        <w:t xml:space="preserve"> was measured using a binary measure at age 9 years (binary).</w:t>
      </w:r>
    </w:p>
    <w:p w14:paraId="428417E1" w14:textId="77777777" w:rsidR="00D205D2" w:rsidRPr="00A4345D" w:rsidRDefault="00D205D2" w:rsidP="00D205D2">
      <w:pPr>
        <w:spacing w:line="276" w:lineRule="auto"/>
        <w:rPr>
          <w:rFonts w:asciiTheme="minorHAnsi" w:hAnsiTheme="minorHAnsi" w:cstheme="minorHAnsi"/>
          <w:bCs/>
        </w:rPr>
      </w:pPr>
    </w:p>
    <w:p w14:paraId="57AA3A2D" w14:textId="2410F110"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 xml:space="preserve">Maternal body mass index (BMI): </w:t>
      </w:r>
      <w:r w:rsidRPr="00A4345D">
        <w:rPr>
          <w:rFonts w:asciiTheme="minorHAnsi" w:hAnsiTheme="minorHAnsi" w:cstheme="minorHAnsi"/>
          <w:bCs/>
        </w:rPr>
        <w:t>was measured at 12 weeks’ gestation.</w:t>
      </w:r>
    </w:p>
    <w:p w14:paraId="3886C7B6" w14:textId="041EEE8F"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lastRenderedPageBreak/>
        <w:t xml:space="preserve">Birthweight: </w:t>
      </w:r>
      <w:r w:rsidRPr="00A4345D">
        <w:rPr>
          <w:rFonts w:asciiTheme="minorHAnsi" w:hAnsiTheme="minorHAnsi" w:cstheme="minorHAnsi"/>
          <w:bCs/>
        </w:rPr>
        <w:t>Information was collected on birthweight and gestational age, which was used with height, weight, ethnicity of the mother and parity of the child to determine the birthweight centile of the child using the Gestation Network calculator children in the lowest 10% were considered to be small for gestational age</w:t>
      </w:r>
      <w:r w:rsidR="00340AD6">
        <w:rPr>
          <w:rFonts w:asciiTheme="minorHAnsi" w:hAnsiTheme="minorHAnsi" w:cstheme="minorHAnsi"/>
          <w:bCs/>
        </w:rPr>
        <w:t xml:space="preserve"> </w:t>
      </w:r>
      <w:r w:rsidR="00340AD6">
        <w:rPr>
          <w:rFonts w:asciiTheme="minorHAnsi" w:hAnsiTheme="minorHAnsi" w:cstheme="minorHAnsi"/>
          <w:bCs/>
        </w:rPr>
        <w:fldChar w:fldCharType="begin" w:fldLock="1"/>
      </w:r>
      <w:r w:rsidR="00340AD6">
        <w:rPr>
          <w:rFonts w:asciiTheme="minorHAnsi" w:hAnsiTheme="minorHAnsi" w:cstheme="minorHAnsi"/>
          <w:bCs/>
        </w:rPr>
        <w:instrText>ADDIN CSL_CITATION {"citationItems":[{"id":"ITEM-1","itemData":{"DOI":"10.1111/j.1471-0528.2011.03040.x","ISBN":"1470-0328","abstract":"Please cite this paper as: Flach C, Leese M, Heron J, Evans J, Feder G, Sharp D, Howard L. Antenatal domestic violence, maternal mental health and subsequent child behaviour: a cohort study. BJOG 2011;118:1383?1391. Objective? To investigate the long-term impact of antenatal domestic violence on maternal psychiatric morbidity and child behaviour. Design? Cohort study. Setting? Avon, UK. Population or sample? A birth cohort of 13?617 children and mother dyads were followed to 42?months of age. Methods? Experiences of domestic violence and depressive symptoms were gathered at 18?weeks of gestation and up to 33?months after birth, together with maternal, paternal and child characteristics. Main outcome measures? Child behavioural problems were assessed at 42?months using the Revised Rutter Questionnaire. Analysis? Logistic regression with the use of multiple imputation employing chained equations for missing data. Results? Antenatal domestic violence was associated with high levels of maternal antenatal (odds ratio [OR], 4.02; 95% confidence interval [CI], 3.4?4.8) and postnatal (OR, 1.29; 95% CI, 1.02?1.63) depressive symptoms after adjustment for potential confounders. Antenatal domestic violence predicted future behavioural problems at 42?months in the child before adjustment for possible confounding and mediating factors (OR, 1.87; 95% CI, 1.45?2.40); this association was not significant after adjustment for high levels of maternal antenatal depressive symptoms, postnatal depressive symptoms or domestic violence since birth. Conclusions? Antenatal domestic violence is associated with high levels of both maternal antenatal and postnatal depressive symptoms. It is also associated with postnatal violence, and both are associated with future behavioural problems in the child at 42?months. This is partly mediated by maternal depressive symptoms in the ante- or postnatal period.","author":[{"dropping-particle":"","family":"Flach","given":"C","non-dropping-particle":"","parse-names":false,"suffix":""},{"dropping-particle":"","family":"Leese","given":"M","non-dropping-particle":"","parse-names":false,"suffix":""},{"dropping-particle":"","family":"Heron","given":"J","non-dropping-particle":"","parse-names":false,"suffix":""},{"dropping-particle":"","family":"Evans","given":"J","non-dropping-particle":"","parse-names":false,"suffix":""},{"dropping-particle":"","family":"Feder","given":"G","non-dropping-particle":"","parse-names":false,"suffix":""},{"dropping-particle":"","family":"Sharp","given":"D","non-dropping-particle":"","parse-names":false,"suffix":""},{"dropping-particle":"","family":"Howard","given":"L M","non-dropping-particle":"","parse-names":false,"suffix":""}],"container-title":"BJOG: An International Journal of Obstetrics &amp; Gynaecology","id":"ITEM-1","issue":"11","issued":{"date-parts":[["2011"]]},"page":"1383-1391","publisher":"John Wiley &amp; Sons, Ltd","title":"Antenatal domestic violence, maternal mental health and subsequent child behaviour: a cohort study","type":"article-journal","volume":"118"},"uris":["http://www.mendeley.com/documents/?uuid=dbe7eda0-6a01-43ac-9962-5fac96deeaad"]}],"mendeley":{"formattedCitation":"(9)","plainTextFormattedCitation":"(9)","previouslyFormattedCitation":"(9)"},"properties":{"noteIndex":0},"schema":"https://github.com/citation-style-language/schema/raw/master/csl-citation.json"}</w:instrText>
      </w:r>
      <w:r w:rsidR="00340AD6">
        <w:rPr>
          <w:rFonts w:asciiTheme="minorHAnsi" w:hAnsiTheme="minorHAnsi" w:cstheme="minorHAnsi"/>
          <w:bCs/>
        </w:rPr>
        <w:fldChar w:fldCharType="separate"/>
      </w:r>
      <w:r w:rsidR="00340AD6" w:rsidRPr="00340AD6">
        <w:rPr>
          <w:rFonts w:asciiTheme="minorHAnsi" w:hAnsiTheme="minorHAnsi" w:cstheme="minorHAnsi"/>
          <w:bCs/>
          <w:noProof/>
        </w:rPr>
        <w:t>(9)</w:t>
      </w:r>
      <w:r w:rsidR="00340AD6">
        <w:rPr>
          <w:rFonts w:asciiTheme="minorHAnsi" w:hAnsiTheme="minorHAnsi" w:cstheme="minorHAnsi"/>
          <w:bCs/>
        </w:rPr>
        <w:fldChar w:fldCharType="end"/>
      </w:r>
      <w:r w:rsidRPr="00A4345D">
        <w:rPr>
          <w:rFonts w:asciiTheme="minorHAnsi" w:hAnsiTheme="minorHAnsi" w:cstheme="minorHAnsi"/>
          <w:bCs/>
        </w:rPr>
        <w:t>.</w:t>
      </w:r>
      <w:r w:rsidR="004207B2">
        <w:rPr>
          <w:rFonts w:asciiTheme="minorHAnsi" w:hAnsiTheme="minorHAnsi" w:cstheme="minorHAnsi"/>
          <w:bCs/>
        </w:rPr>
        <w:t xml:space="preserve"> </w:t>
      </w:r>
    </w:p>
    <w:p w14:paraId="2CA634DA" w14:textId="77777777" w:rsidR="00D205D2" w:rsidRPr="00A4345D" w:rsidRDefault="00D205D2" w:rsidP="00D205D2">
      <w:pPr>
        <w:spacing w:line="276" w:lineRule="auto"/>
        <w:rPr>
          <w:rFonts w:asciiTheme="minorHAnsi" w:hAnsiTheme="minorHAnsi" w:cstheme="minorHAnsi"/>
          <w:b/>
        </w:rPr>
      </w:pPr>
    </w:p>
    <w:p w14:paraId="25A85228" w14:textId="7F465D7E"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 xml:space="preserve">Gestational age: </w:t>
      </w:r>
      <w:r w:rsidRPr="00A4345D">
        <w:rPr>
          <w:rFonts w:asciiTheme="minorHAnsi" w:hAnsiTheme="minorHAnsi" w:cstheme="minorHAnsi"/>
          <w:bCs/>
        </w:rPr>
        <w:t>See above.</w:t>
      </w:r>
    </w:p>
    <w:p w14:paraId="497DA3DB" w14:textId="77777777" w:rsidR="00D205D2" w:rsidRPr="00A4345D" w:rsidRDefault="00D205D2" w:rsidP="00D205D2">
      <w:pPr>
        <w:spacing w:line="276" w:lineRule="auto"/>
        <w:rPr>
          <w:rFonts w:asciiTheme="minorHAnsi" w:hAnsiTheme="minorHAnsi" w:cstheme="minorHAnsi"/>
          <w:bCs/>
        </w:rPr>
      </w:pPr>
    </w:p>
    <w:p w14:paraId="4564957C" w14:textId="731A7C76"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Maternal physical inactivity:</w:t>
      </w:r>
      <w:r w:rsidRPr="00A4345D">
        <w:rPr>
          <w:rFonts w:asciiTheme="minorHAnsi" w:hAnsiTheme="minorHAnsi" w:cstheme="minorHAnsi"/>
          <w:bCs/>
        </w:rPr>
        <w:t xml:space="preserve"> continuous measure of number of hours of activity per week.</w:t>
      </w:r>
    </w:p>
    <w:p w14:paraId="571F118C" w14:textId="77777777" w:rsidR="00D205D2" w:rsidRPr="00A4345D" w:rsidRDefault="00D205D2" w:rsidP="00D205D2">
      <w:pPr>
        <w:spacing w:line="276" w:lineRule="auto"/>
        <w:rPr>
          <w:rFonts w:asciiTheme="minorHAnsi" w:hAnsiTheme="minorHAnsi" w:cstheme="minorHAnsi"/>
          <w:bCs/>
        </w:rPr>
      </w:pPr>
    </w:p>
    <w:p w14:paraId="3EC77E6E" w14:textId="1D51C309" w:rsidR="00D205D2" w:rsidRDefault="00D205D2" w:rsidP="00D205D2">
      <w:pPr>
        <w:spacing w:line="276" w:lineRule="auto"/>
        <w:rPr>
          <w:rFonts w:asciiTheme="minorHAnsi" w:hAnsiTheme="minorHAnsi" w:cstheme="minorHAnsi"/>
          <w:bCs/>
        </w:rPr>
      </w:pPr>
      <w:r w:rsidRPr="00A4345D">
        <w:rPr>
          <w:rFonts w:asciiTheme="minorHAnsi" w:hAnsiTheme="minorHAnsi" w:cstheme="minorHAnsi"/>
          <w:b/>
        </w:rPr>
        <w:t xml:space="preserve">Maternal unhealthy diet: </w:t>
      </w:r>
      <w:r w:rsidRPr="00A4345D">
        <w:rPr>
          <w:rFonts w:asciiTheme="minorHAnsi" w:hAnsiTheme="minorHAnsi" w:cstheme="minorHAnsi"/>
          <w:bCs/>
        </w:rPr>
        <w:t>a measure of maternal processed food intake was derived using principal components analysis (PCA) which generated a factor score at 32 weeks gestation</w:t>
      </w:r>
      <w:r w:rsidR="00340AD6">
        <w:rPr>
          <w:rFonts w:asciiTheme="minorHAnsi" w:hAnsiTheme="minorHAnsi" w:cstheme="minorHAnsi"/>
          <w:bCs/>
        </w:rPr>
        <w:t xml:space="preserve"> </w:t>
      </w:r>
      <w:r w:rsidR="00340AD6">
        <w:rPr>
          <w:rFonts w:asciiTheme="minorHAnsi" w:hAnsiTheme="minorHAnsi" w:cstheme="minorHAnsi"/>
          <w:bCs/>
        </w:rPr>
        <w:fldChar w:fldCharType="begin" w:fldLock="1"/>
      </w:r>
      <w:r w:rsidR="00340AD6">
        <w:rPr>
          <w:rFonts w:asciiTheme="minorHAnsi" w:hAnsiTheme="minorHAnsi" w:cstheme="minorHAnsi"/>
          <w:bCs/>
        </w:rPr>
        <w:instrText>ADDIN CSL_CITATION {"citationItems":[{"id":"ITEM-1","itemData":{"DOI":"10.1038/sj.ejcn.1602741","ISBN":"0954-3007\r1476-5640","PMID":"17375108","abstract":"OBJECTIVE: To obtain distinct dietary patterns in the third trimester of pregnancy using principal components analysis (PCA); to determine associations with socio-demographic and lifestyle factors. DESIGN AND METHODS: A total of 12 053 pregnant women partaking in a population-based cohort study recorded current frequency of food consumption via questionnaire in 1991-1992. Dietary patterns identified using PCA were related to social and demographic characteristics and lifestyle factors. RESULTS: Five dietary patterns were established and labelled to best describe the types of diet being consumed in pregnancy. The 'health conscious' component described a diet based on salad, fruit, rice, pasta, breakfast cereals, fish, eggs, pulses, fruit juices, white meat and non-white bread. The 'traditional' component loaded highly on all types of vegetables, red meat and poultry. The 'processed' component was associated with high-fat processed foods. The 'confectionery' component was characterized by snack foods with high sugar content and the final 'vegetarian' component loaded highly on meat substitutes, pulses, nuts and herbal tea and high negative loadings were seen with red meat and poultry. There were strong associations between various socio-demographic variables and all dietary components; in particular, a 'health conscious' diet was positively associated with increasing education and age and non-white women. There was a negative association with increased parity, single, non-working women, those who smoked and who were overweight pre-pregnancy. Opposite associations were seen with the 'processed' component. CONCLUSIONS: Distinct dietary patterns in pregnancy have been identified. There is clear evidence of social patterning associated with the dietary patterns, these social factors need to be accounted for in future studies using dietary patterns. This study will form the basis for further work investigating pregnancy outcome.","author":[{"dropping-particle":"","family":"Northstone","given":"K","non-dropping-particle":"","parse-names":false,"suffix":""},{"dropping-particle":"","family":"Emmett","given":"P","non-dropping-particle":"","parse-names":false,"suffix":""},{"dropping-particle":"","family":"Rogers","given":"I","non-dropping-particle":"","parse-names":false,"suffix":""}],"container-title":"European journal of clinical nutrition","edition":"2007/03/21","id":"ITEM-1","issue":"4","issued":{"date-parts":[["2008"]]},"language":"eng","note":"17375108[pmid]\nPMC2492391[pmcid]\n1602741[PII]","page":"471-479","title":"Dietary patterns in pregnancy and associations with socio-demographic and lifestyle factors","type":"article-journal","volume":"62"},"uris":["http://www.mendeley.com/documents/?uuid=8f9df980-1205-498c-b704-112740f09cca"]}],"mendeley":{"formattedCitation":"(10)","plainTextFormattedCitation":"(10)","previouslyFormattedCitation":"(10)"},"properties":{"noteIndex":0},"schema":"https://github.com/citation-style-language/schema/raw/master/csl-citation.json"}</w:instrText>
      </w:r>
      <w:r w:rsidR="00340AD6">
        <w:rPr>
          <w:rFonts w:asciiTheme="minorHAnsi" w:hAnsiTheme="minorHAnsi" w:cstheme="minorHAnsi"/>
          <w:bCs/>
        </w:rPr>
        <w:fldChar w:fldCharType="separate"/>
      </w:r>
      <w:r w:rsidR="00340AD6" w:rsidRPr="00340AD6">
        <w:rPr>
          <w:rFonts w:asciiTheme="minorHAnsi" w:hAnsiTheme="minorHAnsi" w:cstheme="minorHAnsi"/>
          <w:bCs/>
          <w:noProof/>
        </w:rPr>
        <w:t>(10)</w:t>
      </w:r>
      <w:r w:rsidR="00340AD6">
        <w:rPr>
          <w:rFonts w:asciiTheme="minorHAnsi" w:hAnsiTheme="minorHAnsi" w:cstheme="minorHAnsi"/>
          <w:bCs/>
        </w:rPr>
        <w:fldChar w:fldCharType="end"/>
      </w:r>
      <w:r w:rsidR="004207B2">
        <w:rPr>
          <w:rFonts w:asciiTheme="minorHAnsi" w:hAnsiTheme="minorHAnsi" w:cstheme="minorHAnsi"/>
          <w:bCs/>
        </w:rPr>
        <w:t>.</w:t>
      </w:r>
      <w:r w:rsidRPr="00A4345D">
        <w:rPr>
          <w:rFonts w:asciiTheme="minorHAnsi" w:hAnsiTheme="minorHAnsi" w:cstheme="minorHAnsi"/>
          <w:bCs/>
        </w:rPr>
        <w:t xml:space="preserve"> </w:t>
      </w:r>
    </w:p>
    <w:p w14:paraId="064D4E7D" w14:textId="77777777" w:rsidR="00D205D2" w:rsidRPr="00A4345D" w:rsidRDefault="00D205D2" w:rsidP="00D205D2">
      <w:pPr>
        <w:spacing w:line="276" w:lineRule="auto"/>
        <w:rPr>
          <w:rFonts w:asciiTheme="minorHAnsi" w:hAnsiTheme="minorHAnsi" w:cstheme="minorHAnsi"/>
          <w:bCs/>
        </w:rPr>
      </w:pPr>
    </w:p>
    <w:p w14:paraId="1C87C772" w14:textId="00C9E3FD" w:rsidR="00BA7406" w:rsidRDefault="00BA7406" w:rsidP="00B66D2C">
      <w:pPr>
        <w:spacing w:line="276" w:lineRule="auto"/>
        <w:rPr>
          <w:rFonts w:asciiTheme="minorHAnsi" w:hAnsiTheme="minorHAnsi" w:cstheme="minorHAnsi"/>
        </w:rPr>
      </w:pPr>
    </w:p>
    <w:p w14:paraId="3006E78B" w14:textId="77777777" w:rsidR="00AD5B8D" w:rsidRPr="00A4345D" w:rsidRDefault="00AD5B8D" w:rsidP="004E5CEE">
      <w:pPr>
        <w:spacing w:line="276" w:lineRule="auto"/>
        <w:ind w:firstLine="720"/>
        <w:rPr>
          <w:rFonts w:asciiTheme="minorHAnsi" w:hAnsiTheme="minorHAnsi" w:cstheme="minorHAnsi"/>
          <w:color w:val="000000" w:themeColor="text1"/>
          <w:lang w:eastAsia="en-US"/>
        </w:rPr>
      </w:pPr>
    </w:p>
    <w:p w14:paraId="152120C6" w14:textId="41C76FE6" w:rsidR="00D205D2" w:rsidRDefault="00D205D2">
      <w:pPr>
        <w:spacing w:after="160" w:line="259" w:lineRule="auto"/>
        <w:jc w:val="left"/>
        <w:rPr>
          <w:rFonts w:asciiTheme="minorHAnsi" w:hAnsiTheme="minorHAnsi" w:cstheme="minorHAnsi"/>
        </w:rPr>
      </w:pPr>
      <w:r>
        <w:rPr>
          <w:rFonts w:asciiTheme="minorHAnsi" w:hAnsiTheme="minorHAnsi" w:cstheme="minorHAnsi"/>
        </w:rPr>
        <w:br w:type="page"/>
      </w:r>
    </w:p>
    <w:p w14:paraId="32F2FEE2" w14:textId="6A2728EC" w:rsidR="00D205D2" w:rsidRPr="00A4345D" w:rsidRDefault="00D205D2" w:rsidP="00D205D2">
      <w:pPr>
        <w:pStyle w:val="Heading2"/>
        <w:numPr>
          <w:ilvl w:val="0"/>
          <w:numId w:val="2"/>
        </w:numPr>
        <w:spacing w:line="276" w:lineRule="auto"/>
        <w:rPr>
          <w:rFonts w:asciiTheme="minorHAnsi" w:hAnsiTheme="minorHAnsi" w:cstheme="minorHAnsi"/>
          <w:lang w:eastAsia="en-US"/>
        </w:rPr>
      </w:pPr>
      <w:r w:rsidRPr="00A4345D">
        <w:rPr>
          <w:rFonts w:asciiTheme="minorHAnsi" w:hAnsiTheme="minorHAnsi" w:cstheme="minorHAnsi"/>
          <w:lang w:eastAsia="en-US"/>
        </w:rPr>
        <w:lastRenderedPageBreak/>
        <w:t xml:space="preserve">Deriving the </w:t>
      </w:r>
      <w:r w:rsidR="00D02A26">
        <w:rPr>
          <w:rFonts w:asciiTheme="minorHAnsi" w:hAnsiTheme="minorHAnsi" w:cstheme="minorHAnsi"/>
          <w:lang w:eastAsia="en-US"/>
        </w:rPr>
        <w:t xml:space="preserve">adolescent </w:t>
      </w:r>
      <w:r w:rsidRPr="00A4345D">
        <w:rPr>
          <w:rFonts w:asciiTheme="minorHAnsi" w:hAnsiTheme="minorHAnsi" w:cstheme="minorHAnsi"/>
          <w:lang w:eastAsia="en-US"/>
        </w:rPr>
        <w:t xml:space="preserve">cumulative risk exposure measure </w:t>
      </w:r>
    </w:p>
    <w:p w14:paraId="2F28EB5C" w14:textId="78E89C50" w:rsidR="00D205D2" w:rsidRDefault="00D205D2" w:rsidP="00D205D2">
      <w:pPr>
        <w:spacing w:line="276" w:lineRule="auto"/>
        <w:rPr>
          <w:rFonts w:asciiTheme="minorHAnsi" w:hAnsiTheme="minorHAnsi" w:cstheme="minorHAnsi"/>
          <w:lang w:eastAsia="en-US"/>
        </w:rPr>
      </w:pPr>
    </w:p>
    <w:p w14:paraId="0EC1A479" w14:textId="35CF6FBA" w:rsidR="009433CD" w:rsidRDefault="009433CD" w:rsidP="00D205D2">
      <w:pPr>
        <w:spacing w:line="276" w:lineRule="auto"/>
        <w:rPr>
          <w:rFonts w:asciiTheme="minorHAnsi" w:hAnsiTheme="minorHAnsi" w:cstheme="minorHAnsi"/>
          <w:lang w:eastAsia="en-US"/>
        </w:rPr>
      </w:pPr>
    </w:p>
    <w:p w14:paraId="71FE0E21" w14:textId="536C0229" w:rsidR="009433CD" w:rsidRDefault="009433CD" w:rsidP="00D205D2">
      <w:pPr>
        <w:spacing w:line="276" w:lineRule="auto"/>
        <w:rPr>
          <w:rFonts w:asciiTheme="minorHAnsi" w:hAnsiTheme="minorHAnsi" w:cstheme="minorHAnsi"/>
          <w:lang w:eastAsia="en-US"/>
        </w:rPr>
      </w:pPr>
      <w:r>
        <w:rPr>
          <w:rFonts w:asciiTheme="minorHAnsi" w:hAnsiTheme="minorHAnsi" w:cstheme="minorHAnsi"/>
          <w:lang w:eastAsia="en-US"/>
        </w:rPr>
        <w:t>We employed an area under the curve approach to summarise the amount of risk exposure reported during adolescence.</w:t>
      </w:r>
      <w:r w:rsidR="00D02A26">
        <w:rPr>
          <w:rFonts w:asciiTheme="minorHAnsi" w:hAnsiTheme="minorHAnsi" w:cstheme="minorHAnsi"/>
          <w:lang w:eastAsia="en-US"/>
        </w:rPr>
        <w:t xml:space="preserve">  This is illustrated in the figure below for a </w:t>
      </w:r>
      <w:r w:rsidR="0035565C">
        <w:rPr>
          <w:rFonts w:asciiTheme="minorHAnsi" w:hAnsiTheme="minorHAnsi" w:cstheme="minorHAnsi"/>
          <w:lang w:eastAsia="en-US"/>
        </w:rPr>
        <w:t xml:space="preserve">chosen </w:t>
      </w:r>
      <w:r w:rsidR="00D02A26">
        <w:rPr>
          <w:rFonts w:asciiTheme="minorHAnsi" w:hAnsiTheme="minorHAnsi" w:cstheme="minorHAnsi"/>
          <w:lang w:eastAsia="en-US"/>
        </w:rPr>
        <w:t>participant who reported 1 cancer risk exposure at t</w:t>
      </w:r>
      <w:r w:rsidR="00D02A26" w:rsidRPr="00D02A26">
        <w:rPr>
          <w:rFonts w:asciiTheme="minorHAnsi" w:hAnsiTheme="minorHAnsi" w:cstheme="minorHAnsi"/>
          <w:vertAlign w:val="subscript"/>
          <w:lang w:eastAsia="en-US"/>
        </w:rPr>
        <w:t>1</w:t>
      </w:r>
      <w:r w:rsidR="00D02A26">
        <w:rPr>
          <w:rFonts w:asciiTheme="minorHAnsi" w:hAnsiTheme="minorHAnsi" w:cstheme="minorHAnsi"/>
          <w:lang w:eastAsia="en-US"/>
        </w:rPr>
        <w:t xml:space="preserve"> (11.75yr), 2 exposure at t</w:t>
      </w:r>
      <w:r w:rsidR="00D02A26" w:rsidRPr="00D02A26">
        <w:rPr>
          <w:rFonts w:asciiTheme="minorHAnsi" w:hAnsiTheme="minorHAnsi" w:cstheme="minorHAnsi"/>
          <w:vertAlign w:val="subscript"/>
          <w:lang w:eastAsia="en-US"/>
        </w:rPr>
        <w:t>2</w:t>
      </w:r>
      <w:r w:rsidR="00D02A26">
        <w:rPr>
          <w:rFonts w:asciiTheme="minorHAnsi" w:hAnsiTheme="minorHAnsi" w:cstheme="minorHAnsi"/>
          <w:lang w:eastAsia="en-US"/>
        </w:rPr>
        <w:t xml:space="preserve"> (14yr), 3 at t</w:t>
      </w:r>
      <w:r w:rsidR="00D02A26" w:rsidRPr="00D02A26">
        <w:rPr>
          <w:rFonts w:asciiTheme="minorHAnsi" w:hAnsiTheme="minorHAnsi" w:cstheme="minorHAnsi"/>
          <w:vertAlign w:val="subscript"/>
          <w:lang w:eastAsia="en-US"/>
        </w:rPr>
        <w:t>3</w:t>
      </w:r>
      <w:r w:rsidR="00D02A26">
        <w:rPr>
          <w:rFonts w:asciiTheme="minorHAnsi" w:hAnsiTheme="minorHAnsi" w:cstheme="minorHAnsi"/>
          <w:lang w:eastAsia="en-US"/>
        </w:rPr>
        <w:t xml:space="preserve"> (16yr) and 5 at t</w:t>
      </w:r>
      <w:r w:rsidR="00D02A26" w:rsidRPr="00D02A26">
        <w:rPr>
          <w:rFonts w:asciiTheme="minorHAnsi" w:hAnsiTheme="minorHAnsi" w:cstheme="minorHAnsi"/>
          <w:vertAlign w:val="subscript"/>
          <w:lang w:eastAsia="en-US"/>
        </w:rPr>
        <w:t>4</w:t>
      </w:r>
      <w:r w:rsidR="00D02A26">
        <w:rPr>
          <w:rFonts w:asciiTheme="minorHAnsi" w:hAnsiTheme="minorHAnsi" w:cstheme="minorHAnsi"/>
          <w:lang w:eastAsia="en-US"/>
        </w:rPr>
        <w:t xml:space="preserve"> (18.25yr).</w:t>
      </w:r>
      <w:r w:rsidR="00D10E87">
        <w:rPr>
          <w:rFonts w:asciiTheme="minorHAnsi" w:hAnsiTheme="minorHAnsi" w:cstheme="minorHAnsi"/>
          <w:lang w:eastAsia="en-US"/>
        </w:rPr>
        <w:t xml:space="preserve">  This area under the curve will enable us to rank individuals by their cumulative level of risk exposure, however will not account for the timing of the exposures themselves – for instance earlier exposure may be more detrimental for later health that later exposures.  </w:t>
      </w:r>
    </w:p>
    <w:p w14:paraId="1D20DB88" w14:textId="121B09AF" w:rsidR="00EC3832" w:rsidRDefault="00EC3832" w:rsidP="00D205D2">
      <w:pPr>
        <w:spacing w:line="276" w:lineRule="auto"/>
        <w:rPr>
          <w:rFonts w:asciiTheme="minorHAnsi" w:hAnsiTheme="minorHAnsi" w:cstheme="minorHAnsi"/>
          <w:lang w:eastAsia="en-US"/>
        </w:rPr>
      </w:pPr>
    </w:p>
    <w:p w14:paraId="324F32F3" w14:textId="77777777" w:rsidR="00AD6C7F" w:rsidRPr="00AD6C7F" w:rsidRDefault="00AD6C7F" w:rsidP="00AD6C7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lang w:eastAsia="en-US"/>
        </w:rPr>
      </w:pPr>
    </w:p>
    <w:p w14:paraId="3823C490" w14:textId="164780F1" w:rsidR="00EC3832" w:rsidRPr="00A4345D" w:rsidRDefault="00EC3832" w:rsidP="00AD6C7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lang w:eastAsia="en-US"/>
        </w:rPr>
      </w:pPr>
      <w:r w:rsidRPr="00A4345D">
        <w:rPr>
          <w:rFonts w:asciiTheme="minorHAnsi" w:hAnsiTheme="minorHAnsi" w:cstheme="minorHAnsi"/>
          <w:lang w:eastAsia="en-US"/>
        </w:rPr>
        <w:t xml:space="preserve">Area under the curve = </w:t>
      </w:r>
    </w:p>
    <w:p w14:paraId="1163EBE4" w14:textId="7E77C685" w:rsidR="00B5183B" w:rsidRPr="00AD6C7F" w:rsidRDefault="00B5183B" w:rsidP="00AD6C7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lang w:eastAsia="en-US"/>
        </w:rPr>
      </w:pPr>
    </w:p>
    <w:p w14:paraId="4DC8DEDF" w14:textId="23A89ACD" w:rsidR="00B5183B" w:rsidRDefault="00771CF8" w:rsidP="00AD6C7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lang w:eastAsia="en-US"/>
        </w:rPr>
      </w:pPr>
      <m:oMathPara>
        <m:oMath>
          <m:f>
            <m:fPr>
              <m:ctrlPr>
                <w:rPr>
                  <w:rFonts w:ascii="Cambria Math" w:hAnsi="Cambria Math" w:cstheme="minorHAnsi"/>
                  <w:i/>
                  <w:lang w:eastAsia="en-US"/>
                </w:rPr>
              </m:ctrlPr>
            </m:fPr>
            <m:num>
              <m:sSub>
                <m:sSubPr>
                  <m:ctrlPr>
                    <w:rPr>
                      <w:rFonts w:ascii="Cambria Math" w:hAnsi="Cambria Math" w:cstheme="minorHAnsi"/>
                      <w:i/>
                      <w:lang w:eastAsia="en-US"/>
                    </w:rPr>
                  </m:ctrlPr>
                </m:sSubPr>
                <m:e>
                  <m:r>
                    <w:rPr>
                      <w:rFonts w:ascii="Cambria Math" w:hAnsi="Cambria Math" w:cstheme="minorHAnsi"/>
                      <w:lang w:eastAsia="en-US"/>
                    </w:rPr>
                    <m:t>Y</m:t>
                  </m:r>
                </m:e>
                <m:sub>
                  <m:r>
                    <w:rPr>
                      <w:rFonts w:ascii="Cambria Math" w:hAnsi="Cambria Math" w:cstheme="minorHAnsi"/>
                      <w:lang w:eastAsia="en-US"/>
                    </w:rPr>
                    <m:t>1</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Y</m:t>
                  </m:r>
                </m:e>
                <m:sub>
                  <m:r>
                    <w:rPr>
                      <w:rFonts w:ascii="Cambria Math" w:hAnsi="Cambria Math" w:cstheme="minorHAnsi"/>
                      <w:lang w:eastAsia="en-US"/>
                    </w:rPr>
                    <m:t>2</m:t>
                  </m:r>
                </m:sub>
              </m:sSub>
            </m:num>
            <m:den>
              <m:r>
                <w:rPr>
                  <w:rFonts w:ascii="Cambria Math" w:hAnsi="Cambria Math" w:cstheme="minorHAnsi"/>
                  <w:lang w:eastAsia="en-US"/>
                </w:rPr>
                <m:t>2</m:t>
              </m:r>
            </m:den>
          </m:f>
          <m:d>
            <m:dPr>
              <m:ctrlPr>
                <w:rPr>
                  <w:rFonts w:ascii="Cambria Math" w:hAnsi="Cambria Math" w:cstheme="minorHAnsi"/>
                  <w:i/>
                  <w:lang w:eastAsia="en-US"/>
                </w:rPr>
              </m:ctrlPr>
            </m:dPr>
            <m:e>
              <m:sSub>
                <m:sSubPr>
                  <m:ctrlPr>
                    <w:rPr>
                      <w:rFonts w:ascii="Cambria Math" w:hAnsi="Cambria Math" w:cstheme="minorHAnsi"/>
                      <w:i/>
                      <w:lang w:eastAsia="en-US"/>
                    </w:rPr>
                  </m:ctrlPr>
                </m:sSubPr>
                <m:e>
                  <m:r>
                    <w:rPr>
                      <w:rFonts w:ascii="Cambria Math" w:hAnsi="Cambria Math" w:cstheme="minorHAnsi"/>
                      <w:lang w:eastAsia="en-US"/>
                    </w:rPr>
                    <m:t>t</m:t>
                  </m:r>
                </m:e>
                <m:sub>
                  <m:r>
                    <w:rPr>
                      <w:rFonts w:ascii="Cambria Math" w:hAnsi="Cambria Math" w:cstheme="minorHAnsi"/>
                      <w:lang w:eastAsia="en-US"/>
                    </w:rPr>
                    <m:t>2</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t</m:t>
                  </m:r>
                </m:e>
                <m:sub>
                  <m:r>
                    <w:rPr>
                      <w:rFonts w:ascii="Cambria Math" w:hAnsi="Cambria Math" w:cstheme="minorHAnsi"/>
                      <w:lang w:eastAsia="en-US"/>
                    </w:rPr>
                    <m:t>1</m:t>
                  </m:r>
                </m:sub>
              </m:sSub>
            </m:e>
          </m:d>
          <m:r>
            <w:rPr>
              <w:rFonts w:ascii="Cambria Math" w:hAnsi="Cambria Math" w:cstheme="minorHAnsi"/>
              <w:lang w:eastAsia="en-US"/>
            </w:rPr>
            <m:t xml:space="preserve">+ </m:t>
          </m:r>
          <m:f>
            <m:fPr>
              <m:ctrlPr>
                <w:rPr>
                  <w:rFonts w:ascii="Cambria Math" w:hAnsi="Cambria Math" w:cstheme="minorHAnsi"/>
                  <w:i/>
                  <w:lang w:eastAsia="en-US"/>
                </w:rPr>
              </m:ctrlPr>
            </m:fPr>
            <m:num>
              <m:sSub>
                <m:sSubPr>
                  <m:ctrlPr>
                    <w:rPr>
                      <w:rFonts w:ascii="Cambria Math" w:hAnsi="Cambria Math" w:cstheme="minorHAnsi"/>
                      <w:i/>
                      <w:lang w:eastAsia="en-US"/>
                    </w:rPr>
                  </m:ctrlPr>
                </m:sSubPr>
                <m:e>
                  <m:r>
                    <w:rPr>
                      <w:rFonts w:ascii="Cambria Math" w:hAnsi="Cambria Math" w:cstheme="minorHAnsi"/>
                      <w:lang w:eastAsia="en-US"/>
                    </w:rPr>
                    <m:t>Y</m:t>
                  </m:r>
                </m:e>
                <m:sub>
                  <m:r>
                    <w:rPr>
                      <w:rFonts w:ascii="Cambria Math" w:hAnsi="Cambria Math" w:cstheme="minorHAnsi"/>
                      <w:lang w:eastAsia="en-US"/>
                    </w:rPr>
                    <m:t>2</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Y</m:t>
                  </m:r>
                </m:e>
                <m:sub>
                  <m:r>
                    <w:rPr>
                      <w:rFonts w:ascii="Cambria Math" w:hAnsi="Cambria Math" w:cstheme="minorHAnsi"/>
                      <w:lang w:eastAsia="en-US"/>
                    </w:rPr>
                    <m:t>3</m:t>
                  </m:r>
                </m:sub>
              </m:sSub>
            </m:num>
            <m:den>
              <m:r>
                <w:rPr>
                  <w:rFonts w:ascii="Cambria Math" w:hAnsi="Cambria Math" w:cstheme="minorHAnsi"/>
                  <w:lang w:eastAsia="en-US"/>
                </w:rPr>
                <m:t>2</m:t>
              </m:r>
            </m:den>
          </m:f>
          <m:d>
            <m:dPr>
              <m:ctrlPr>
                <w:rPr>
                  <w:rFonts w:ascii="Cambria Math" w:hAnsi="Cambria Math" w:cstheme="minorHAnsi"/>
                  <w:i/>
                  <w:lang w:eastAsia="en-US"/>
                </w:rPr>
              </m:ctrlPr>
            </m:dPr>
            <m:e>
              <m:sSub>
                <m:sSubPr>
                  <m:ctrlPr>
                    <w:rPr>
                      <w:rFonts w:ascii="Cambria Math" w:hAnsi="Cambria Math" w:cstheme="minorHAnsi"/>
                      <w:i/>
                      <w:lang w:eastAsia="en-US"/>
                    </w:rPr>
                  </m:ctrlPr>
                </m:sSubPr>
                <m:e>
                  <m:r>
                    <w:rPr>
                      <w:rFonts w:ascii="Cambria Math" w:hAnsi="Cambria Math" w:cstheme="minorHAnsi"/>
                      <w:lang w:eastAsia="en-US"/>
                    </w:rPr>
                    <m:t>t</m:t>
                  </m:r>
                </m:e>
                <m:sub>
                  <m:r>
                    <w:rPr>
                      <w:rFonts w:ascii="Cambria Math" w:hAnsi="Cambria Math" w:cstheme="minorHAnsi"/>
                      <w:lang w:eastAsia="en-US"/>
                    </w:rPr>
                    <m:t>3</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t</m:t>
                  </m:r>
                </m:e>
                <m:sub>
                  <m:r>
                    <w:rPr>
                      <w:rFonts w:ascii="Cambria Math" w:hAnsi="Cambria Math" w:cstheme="minorHAnsi"/>
                      <w:lang w:eastAsia="en-US"/>
                    </w:rPr>
                    <m:t>2</m:t>
                  </m:r>
                </m:sub>
              </m:sSub>
            </m:e>
          </m:d>
          <m:r>
            <w:rPr>
              <w:rFonts w:ascii="Cambria Math" w:hAnsi="Cambria Math" w:cstheme="minorHAnsi"/>
              <w:lang w:eastAsia="en-US"/>
            </w:rPr>
            <m:t>+</m:t>
          </m:r>
          <m:f>
            <m:fPr>
              <m:ctrlPr>
                <w:rPr>
                  <w:rFonts w:ascii="Cambria Math" w:hAnsi="Cambria Math" w:cstheme="minorHAnsi"/>
                  <w:i/>
                  <w:lang w:eastAsia="en-US"/>
                </w:rPr>
              </m:ctrlPr>
            </m:fPr>
            <m:num>
              <m:sSub>
                <m:sSubPr>
                  <m:ctrlPr>
                    <w:rPr>
                      <w:rFonts w:ascii="Cambria Math" w:hAnsi="Cambria Math" w:cstheme="minorHAnsi"/>
                      <w:i/>
                      <w:lang w:eastAsia="en-US"/>
                    </w:rPr>
                  </m:ctrlPr>
                </m:sSubPr>
                <m:e>
                  <m:r>
                    <w:rPr>
                      <w:rFonts w:ascii="Cambria Math" w:hAnsi="Cambria Math" w:cstheme="minorHAnsi"/>
                      <w:lang w:eastAsia="en-US"/>
                    </w:rPr>
                    <m:t>Y</m:t>
                  </m:r>
                </m:e>
                <m:sub>
                  <m:r>
                    <w:rPr>
                      <w:rFonts w:ascii="Cambria Math" w:hAnsi="Cambria Math" w:cstheme="minorHAnsi"/>
                      <w:lang w:eastAsia="en-US"/>
                    </w:rPr>
                    <m:t>3</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Y</m:t>
                  </m:r>
                </m:e>
                <m:sub>
                  <m:r>
                    <w:rPr>
                      <w:rFonts w:ascii="Cambria Math" w:hAnsi="Cambria Math" w:cstheme="minorHAnsi"/>
                      <w:lang w:eastAsia="en-US"/>
                    </w:rPr>
                    <m:t>4</m:t>
                  </m:r>
                </m:sub>
              </m:sSub>
            </m:num>
            <m:den>
              <m:r>
                <w:rPr>
                  <w:rFonts w:ascii="Cambria Math" w:hAnsi="Cambria Math" w:cstheme="minorHAnsi"/>
                  <w:lang w:eastAsia="en-US"/>
                </w:rPr>
                <m:t>2</m:t>
              </m:r>
            </m:den>
          </m:f>
          <m:d>
            <m:dPr>
              <m:ctrlPr>
                <w:rPr>
                  <w:rFonts w:ascii="Cambria Math" w:hAnsi="Cambria Math" w:cstheme="minorHAnsi"/>
                  <w:i/>
                  <w:lang w:eastAsia="en-US"/>
                </w:rPr>
              </m:ctrlPr>
            </m:dPr>
            <m:e>
              <m:sSub>
                <m:sSubPr>
                  <m:ctrlPr>
                    <w:rPr>
                      <w:rFonts w:ascii="Cambria Math" w:hAnsi="Cambria Math" w:cstheme="minorHAnsi"/>
                      <w:i/>
                      <w:lang w:eastAsia="en-US"/>
                    </w:rPr>
                  </m:ctrlPr>
                </m:sSubPr>
                <m:e>
                  <m:r>
                    <w:rPr>
                      <w:rFonts w:ascii="Cambria Math" w:hAnsi="Cambria Math" w:cstheme="minorHAnsi"/>
                      <w:lang w:eastAsia="en-US"/>
                    </w:rPr>
                    <m:t>t</m:t>
                  </m:r>
                </m:e>
                <m:sub>
                  <m:r>
                    <w:rPr>
                      <w:rFonts w:ascii="Cambria Math" w:hAnsi="Cambria Math" w:cstheme="minorHAnsi"/>
                      <w:lang w:eastAsia="en-US"/>
                    </w:rPr>
                    <m:t>4</m:t>
                  </m:r>
                </m:sub>
              </m:sSub>
              <m:r>
                <w:rPr>
                  <w:rFonts w:ascii="Cambria Math" w:hAnsi="Cambria Math" w:cstheme="minorHAnsi"/>
                  <w:lang w:eastAsia="en-US"/>
                </w:rPr>
                <m:t>-</m:t>
              </m:r>
              <m:sSub>
                <m:sSubPr>
                  <m:ctrlPr>
                    <w:rPr>
                      <w:rFonts w:ascii="Cambria Math" w:hAnsi="Cambria Math" w:cstheme="minorHAnsi"/>
                      <w:i/>
                      <w:lang w:eastAsia="en-US"/>
                    </w:rPr>
                  </m:ctrlPr>
                </m:sSubPr>
                <m:e>
                  <m:r>
                    <w:rPr>
                      <w:rFonts w:ascii="Cambria Math" w:hAnsi="Cambria Math" w:cstheme="minorHAnsi"/>
                      <w:lang w:eastAsia="en-US"/>
                    </w:rPr>
                    <m:t>t</m:t>
                  </m:r>
                </m:e>
                <m:sub>
                  <m:r>
                    <w:rPr>
                      <w:rFonts w:ascii="Cambria Math" w:hAnsi="Cambria Math" w:cstheme="minorHAnsi"/>
                      <w:lang w:eastAsia="en-US"/>
                    </w:rPr>
                    <m:t>3</m:t>
                  </m:r>
                </m:sub>
              </m:sSub>
            </m:e>
          </m:d>
        </m:oMath>
      </m:oMathPara>
    </w:p>
    <w:p w14:paraId="5407E429" w14:textId="77777777" w:rsidR="00B5183B" w:rsidRPr="00AD6C7F" w:rsidRDefault="00B5183B" w:rsidP="00AD6C7F">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lang w:eastAsia="en-US"/>
        </w:rPr>
      </w:pPr>
    </w:p>
    <w:p w14:paraId="61838FB2" w14:textId="0F2C83D9" w:rsidR="00B5183B" w:rsidRDefault="00B5183B" w:rsidP="00D205D2">
      <w:pPr>
        <w:spacing w:line="276" w:lineRule="auto"/>
        <w:rPr>
          <w:rFonts w:asciiTheme="minorHAnsi" w:hAnsiTheme="minorHAnsi" w:cstheme="minorHAnsi"/>
          <w:lang w:eastAsia="en-US"/>
        </w:rPr>
      </w:pPr>
    </w:p>
    <w:p w14:paraId="6A722B4E" w14:textId="4D971377" w:rsidR="009433CD" w:rsidRDefault="009433CD" w:rsidP="00D205D2">
      <w:pPr>
        <w:spacing w:line="276" w:lineRule="auto"/>
        <w:rPr>
          <w:rFonts w:asciiTheme="minorHAnsi" w:hAnsiTheme="minorHAnsi" w:cstheme="minorHAnsi"/>
          <w:lang w:eastAsia="en-US"/>
        </w:rPr>
      </w:pPr>
      <w:r w:rsidRPr="00AC114A">
        <w:rPr>
          <w:rFonts w:asciiTheme="minorHAnsi" w:hAnsiTheme="minorHAnsi" w:cstheme="minorHAnsi"/>
          <w:noProof/>
          <w:lang w:eastAsia="en-US"/>
        </w:rPr>
        <mc:AlternateContent>
          <mc:Choice Requires="wpg">
            <w:drawing>
              <wp:inline distT="0" distB="0" distL="0" distR="0" wp14:anchorId="37D28C2E" wp14:editId="23589349">
                <wp:extent cx="5707486" cy="3909692"/>
                <wp:effectExtent l="0" t="38100" r="0" b="0"/>
                <wp:docPr id="1" name="Group 79"/>
                <wp:cNvGraphicFramePr/>
                <a:graphic xmlns:a="http://schemas.openxmlformats.org/drawingml/2006/main">
                  <a:graphicData uri="http://schemas.microsoft.com/office/word/2010/wordprocessingGroup">
                    <wpg:wgp>
                      <wpg:cNvGrpSpPr/>
                      <wpg:grpSpPr>
                        <a:xfrm>
                          <a:off x="0" y="0"/>
                          <a:ext cx="5707486" cy="3909692"/>
                          <a:chOff x="0" y="0"/>
                          <a:chExt cx="5707486" cy="3909692"/>
                        </a:xfrm>
                      </wpg:grpSpPr>
                      <wps:wsp>
                        <wps:cNvPr id="2" name="Rectangle 2"/>
                        <wps:cNvSpPr/>
                        <wps:spPr>
                          <a:xfrm>
                            <a:off x="2273118" y="1963150"/>
                            <a:ext cx="1188000" cy="1490989"/>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wps:cNvSpPr/>
                        <wps:spPr>
                          <a:xfrm>
                            <a:off x="3507860" y="921587"/>
                            <a:ext cx="1188000" cy="2529312"/>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wps:cNvSpPr/>
                        <wps:spPr>
                          <a:xfrm>
                            <a:off x="1036984" y="2548638"/>
                            <a:ext cx="1188000" cy="900000"/>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 name="Group 5"/>
                        <wpg:cNvGrpSpPr/>
                        <wpg:grpSpPr>
                          <a:xfrm>
                            <a:off x="0" y="0"/>
                            <a:ext cx="5707486" cy="3909692"/>
                            <a:chOff x="0" y="0"/>
                            <a:chExt cx="5707486" cy="3909692"/>
                          </a:xfrm>
                        </wpg:grpSpPr>
                        <wpg:grpSp>
                          <wpg:cNvPr id="6" name="Group 6"/>
                          <wpg:cNvGrpSpPr/>
                          <wpg:grpSpPr>
                            <a:xfrm>
                              <a:off x="0" y="0"/>
                              <a:ext cx="5707486" cy="3909692"/>
                              <a:chOff x="0" y="0"/>
                              <a:chExt cx="5707486" cy="3909692"/>
                            </a:xfrm>
                          </wpg:grpSpPr>
                          <wpg:grpSp>
                            <wpg:cNvPr id="7" name="Group 7"/>
                            <wpg:cNvGrpSpPr/>
                            <wpg:grpSpPr>
                              <a:xfrm>
                                <a:off x="580868" y="0"/>
                                <a:ext cx="5126618" cy="3840815"/>
                                <a:chOff x="580868" y="0"/>
                                <a:chExt cx="5126618" cy="3840815"/>
                              </a:xfrm>
                            </wpg:grpSpPr>
                            <wpg:grpSp>
                              <wpg:cNvPr id="8" name="Group 8"/>
                              <wpg:cNvGrpSpPr/>
                              <wpg:grpSpPr>
                                <a:xfrm>
                                  <a:off x="580868" y="0"/>
                                  <a:ext cx="4974493" cy="3477846"/>
                                  <a:chOff x="580868" y="0"/>
                                  <a:chExt cx="4974493" cy="3477846"/>
                                </a:xfrm>
                              </wpg:grpSpPr>
                              <wps:wsp>
                                <wps:cNvPr id="9" name="Straight Arrow Connector 9"/>
                                <wps:cNvCnPr/>
                                <wps:spPr>
                                  <a:xfrm flipV="1">
                                    <a:off x="588683" y="0"/>
                                    <a:ext cx="0" cy="3477846"/>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a:cxnSpLocks/>
                                </wps:cNvCnPr>
                                <wps:spPr>
                                  <a:xfrm>
                                    <a:off x="580868" y="3477846"/>
                                    <a:ext cx="497449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s:wsp>
                              <wps:cNvPr id="11" name="TextBox 8"/>
                              <wps:cNvSpPr txBox="1"/>
                              <wps:spPr>
                                <a:xfrm>
                                  <a:off x="5285255" y="3563816"/>
                                  <a:ext cx="422231" cy="276999"/>
                                </a:xfrm>
                                <a:prstGeom prst="rect">
                                  <a:avLst/>
                                </a:prstGeom>
                                <a:noFill/>
                              </wps:spPr>
                              <wps:txbx>
                                <w:txbxContent>
                                  <w:p w14:paraId="7F4EDDCF" w14:textId="77777777" w:rsidR="004207B2" w:rsidRDefault="004207B2" w:rsidP="009433CD">
                                    <w:r>
                                      <w:rPr>
                                        <w:rFonts w:asciiTheme="minorHAnsi" w:hAnsi="Calibri" w:cstheme="minorBidi"/>
                                        <w:color w:val="000000" w:themeColor="text1"/>
                                        <w:kern w:val="24"/>
                                      </w:rPr>
                                      <w:t>Age</w:t>
                                    </w:r>
                                  </w:p>
                                </w:txbxContent>
                              </wps:txbx>
                              <wps:bodyPr wrap="none" rtlCol="0">
                                <a:spAutoFit/>
                              </wps:bodyPr>
                            </wps:wsp>
                          </wpg:grpSp>
                          <wps:wsp>
                            <wps:cNvPr id="12" name="TextBox 10"/>
                            <wps:cNvSpPr txBox="1"/>
                            <wps:spPr>
                              <a:xfrm rot="10800000">
                                <a:off x="0" y="156948"/>
                                <a:ext cx="373380" cy="3178810"/>
                              </a:xfrm>
                              <a:prstGeom prst="rect">
                                <a:avLst/>
                              </a:prstGeom>
                              <a:noFill/>
                            </wps:spPr>
                            <wps:txbx>
                              <w:txbxContent>
                                <w:p w14:paraId="0FA0457D" w14:textId="77777777" w:rsidR="004207B2" w:rsidRDefault="004207B2" w:rsidP="009433CD">
                                  <w:r>
                                    <w:rPr>
                                      <w:rFonts w:asciiTheme="minorHAnsi" w:hAnsi="Calibri" w:cstheme="minorBidi"/>
                                      <w:color w:val="000000" w:themeColor="text1"/>
                                      <w:kern w:val="24"/>
                                    </w:rPr>
                                    <w:t>No. of Adolescent Cancer Risk Exposures reported</w:t>
                                  </w:r>
                                </w:p>
                              </w:txbxContent>
                            </wps:txbx>
                            <wps:bodyPr vert="eaVert" wrap="none" rtlCol="0">
                              <a:spAutoFit/>
                            </wps:bodyPr>
                          </wps:wsp>
                          <wps:wsp>
                            <wps:cNvPr id="13" name="Straight Connector 13"/>
                            <wps:cNvCnPr>
                              <a:cxnSpLocks/>
                            </wps:cNvCnPr>
                            <wps:spPr>
                              <a:xfrm>
                                <a:off x="1012918" y="3477846"/>
                                <a:ext cx="0" cy="859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Straight Connector 14"/>
                            <wps:cNvCnPr>
                              <a:cxnSpLocks/>
                            </wps:cNvCnPr>
                            <wps:spPr>
                              <a:xfrm>
                                <a:off x="2249051" y="3477846"/>
                                <a:ext cx="0" cy="859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 name="Straight Connector 15"/>
                            <wps:cNvCnPr>
                              <a:cxnSpLocks/>
                            </wps:cNvCnPr>
                            <wps:spPr>
                              <a:xfrm>
                                <a:off x="3485184" y="3477846"/>
                                <a:ext cx="0" cy="859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 name="Straight Connector 16"/>
                            <wps:cNvCnPr>
                              <a:cxnSpLocks/>
                            </wps:cNvCnPr>
                            <wps:spPr>
                              <a:xfrm>
                                <a:off x="4721318" y="3477846"/>
                                <a:ext cx="0" cy="859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 name="TextBox 16"/>
                            <wps:cNvSpPr txBox="1"/>
                            <wps:spPr>
                              <a:xfrm>
                                <a:off x="880122" y="3594006"/>
                                <a:ext cx="285750" cy="315595"/>
                              </a:xfrm>
                              <a:prstGeom prst="rect">
                                <a:avLst/>
                              </a:prstGeom>
                              <a:noFill/>
                            </wps:spPr>
                            <wps:txbx>
                              <w:txbxContent>
                                <w:p w14:paraId="1296867C"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1</w:t>
                                  </w:r>
                                </w:p>
                              </w:txbxContent>
                            </wps:txbx>
                            <wps:bodyPr wrap="none" rtlCol="0">
                              <a:spAutoFit/>
                            </wps:bodyPr>
                          </wps:wsp>
                          <wps:wsp>
                            <wps:cNvPr id="21" name="TextBox 17"/>
                            <wps:cNvSpPr txBox="1"/>
                            <wps:spPr>
                              <a:xfrm>
                                <a:off x="2116232" y="3594097"/>
                                <a:ext cx="285750" cy="315595"/>
                              </a:xfrm>
                              <a:prstGeom prst="rect">
                                <a:avLst/>
                              </a:prstGeom>
                              <a:noFill/>
                            </wps:spPr>
                            <wps:txbx>
                              <w:txbxContent>
                                <w:p w14:paraId="33B1EDC2"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2</w:t>
                                  </w:r>
                                </w:p>
                              </w:txbxContent>
                            </wps:txbx>
                            <wps:bodyPr wrap="none" rtlCol="0">
                              <a:spAutoFit/>
                            </wps:bodyPr>
                          </wps:wsp>
                          <wps:wsp>
                            <wps:cNvPr id="22" name="TextBox 18"/>
                            <wps:cNvSpPr txBox="1"/>
                            <wps:spPr>
                              <a:xfrm>
                                <a:off x="3352342" y="3594013"/>
                                <a:ext cx="285750" cy="315595"/>
                              </a:xfrm>
                              <a:prstGeom prst="rect">
                                <a:avLst/>
                              </a:prstGeom>
                              <a:noFill/>
                            </wps:spPr>
                            <wps:txbx>
                              <w:txbxContent>
                                <w:p w14:paraId="4BFAF37B"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3</w:t>
                                  </w:r>
                                </w:p>
                              </w:txbxContent>
                            </wps:txbx>
                            <wps:bodyPr wrap="none" rtlCol="0">
                              <a:spAutoFit/>
                            </wps:bodyPr>
                          </wps:wsp>
                          <wps:wsp>
                            <wps:cNvPr id="23" name="TextBox 19"/>
                            <wps:cNvSpPr txBox="1"/>
                            <wps:spPr>
                              <a:xfrm>
                                <a:off x="4588453" y="3594013"/>
                                <a:ext cx="285750" cy="315595"/>
                              </a:xfrm>
                              <a:prstGeom prst="rect">
                                <a:avLst/>
                              </a:prstGeom>
                              <a:noFill/>
                            </wps:spPr>
                            <wps:txbx>
                              <w:txbxContent>
                                <w:p w14:paraId="755BA4E0"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4</w:t>
                                  </w:r>
                                </w:p>
                              </w:txbxContent>
                            </wps:txbx>
                            <wps:bodyPr wrap="none" rtlCol="0">
                              <a:spAutoFit/>
                            </wps:bodyPr>
                          </wps:wsp>
                          <wps:wsp>
                            <wps:cNvPr id="24" name="Straight Connector 24"/>
                            <wps:cNvCnPr>
                              <a:cxnSpLocks/>
                            </wps:cNvCnPr>
                            <wps:spPr>
                              <a:xfrm>
                                <a:off x="497103" y="3477846"/>
                                <a:ext cx="8376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Straight Connector 25"/>
                            <wps:cNvCnPr>
                              <a:cxnSpLocks/>
                            </wps:cNvCnPr>
                            <wps:spPr>
                              <a:xfrm>
                                <a:off x="497103" y="897206"/>
                                <a:ext cx="8376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Straight Connector 27"/>
                            <wps:cNvCnPr>
                              <a:cxnSpLocks/>
                            </wps:cNvCnPr>
                            <wps:spPr>
                              <a:xfrm>
                                <a:off x="497103" y="1542366"/>
                                <a:ext cx="8376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 name="Straight Connector 28"/>
                            <wps:cNvCnPr>
                              <a:cxnSpLocks/>
                            </wps:cNvCnPr>
                            <wps:spPr>
                              <a:xfrm>
                                <a:off x="497103" y="2187526"/>
                                <a:ext cx="8376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80265184" name="Straight Connector 980265184"/>
                            <wps:cNvCnPr>
                              <a:cxnSpLocks/>
                            </wps:cNvCnPr>
                            <wps:spPr>
                              <a:xfrm>
                                <a:off x="497103" y="2832686"/>
                                <a:ext cx="8376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80265185" name="Straight Connector 980265185"/>
                            <wps:cNvCnPr>
                              <a:cxnSpLocks/>
                            </wps:cNvCnPr>
                            <wps:spPr>
                              <a:xfrm>
                                <a:off x="497103" y="252046"/>
                                <a:ext cx="8376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80265186" name="TextBox 28"/>
                            <wps:cNvSpPr txBox="1"/>
                            <wps:spPr>
                              <a:xfrm>
                                <a:off x="276711" y="3339346"/>
                                <a:ext cx="263214" cy="276999"/>
                              </a:xfrm>
                              <a:prstGeom prst="rect">
                                <a:avLst/>
                              </a:prstGeom>
                              <a:noFill/>
                            </wps:spPr>
                            <wps:txbx>
                              <w:txbxContent>
                                <w:p w14:paraId="57D1147E" w14:textId="77777777" w:rsidR="004207B2" w:rsidRDefault="004207B2" w:rsidP="009433CD">
                                  <w:r>
                                    <w:rPr>
                                      <w:rFonts w:asciiTheme="minorHAnsi" w:hAnsi="Calibri" w:cstheme="minorBidi"/>
                                      <w:color w:val="000000" w:themeColor="text1"/>
                                      <w:kern w:val="24"/>
                                    </w:rPr>
                                    <w:t>0</w:t>
                                  </w:r>
                                </w:p>
                              </w:txbxContent>
                            </wps:txbx>
                            <wps:bodyPr wrap="none" rtlCol="0">
                              <a:spAutoFit/>
                            </wps:bodyPr>
                          </wps:wsp>
                          <wps:wsp>
                            <wps:cNvPr id="980265187" name="TextBox 29"/>
                            <wps:cNvSpPr txBox="1"/>
                            <wps:spPr>
                              <a:xfrm>
                                <a:off x="276711" y="93971"/>
                                <a:ext cx="263214" cy="276999"/>
                              </a:xfrm>
                              <a:prstGeom prst="rect">
                                <a:avLst/>
                              </a:prstGeom>
                              <a:noFill/>
                            </wps:spPr>
                            <wps:txbx>
                              <w:txbxContent>
                                <w:p w14:paraId="0B0C0E01" w14:textId="77777777" w:rsidR="004207B2" w:rsidRDefault="004207B2" w:rsidP="009433CD">
                                  <w:r>
                                    <w:rPr>
                                      <w:rFonts w:asciiTheme="minorHAnsi" w:hAnsi="Calibri" w:cstheme="minorBidi"/>
                                      <w:color w:val="000000" w:themeColor="text1"/>
                                      <w:kern w:val="24"/>
                                    </w:rPr>
                                    <w:t>5</w:t>
                                  </w:r>
                                </w:p>
                              </w:txbxContent>
                            </wps:txbx>
                            <wps:bodyPr wrap="none" rtlCol="0">
                              <a:spAutoFit/>
                            </wps:bodyPr>
                          </wps:wsp>
                          <wps:wsp>
                            <wps:cNvPr id="980265188" name="TextBox 30"/>
                            <wps:cNvSpPr txBox="1"/>
                            <wps:spPr>
                              <a:xfrm>
                                <a:off x="276711" y="743046"/>
                                <a:ext cx="263214" cy="276999"/>
                              </a:xfrm>
                              <a:prstGeom prst="rect">
                                <a:avLst/>
                              </a:prstGeom>
                              <a:noFill/>
                            </wps:spPr>
                            <wps:txbx>
                              <w:txbxContent>
                                <w:p w14:paraId="6881E2E0" w14:textId="77777777" w:rsidR="004207B2" w:rsidRDefault="004207B2" w:rsidP="009433CD">
                                  <w:r>
                                    <w:rPr>
                                      <w:rFonts w:asciiTheme="minorHAnsi" w:hAnsi="Calibri" w:cstheme="minorBidi"/>
                                      <w:color w:val="000000" w:themeColor="text1"/>
                                      <w:kern w:val="24"/>
                                    </w:rPr>
                                    <w:t>4</w:t>
                                  </w:r>
                                </w:p>
                              </w:txbxContent>
                            </wps:txbx>
                            <wps:bodyPr wrap="none" rtlCol="0">
                              <a:spAutoFit/>
                            </wps:bodyPr>
                          </wps:wsp>
                          <wps:wsp>
                            <wps:cNvPr id="980265189" name="TextBox 31"/>
                            <wps:cNvSpPr txBox="1"/>
                            <wps:spPr>
                              <a:xfrm>
                                <a:off x="276711" y="1392121"/>
                                <a:ext cx="263214" cy="276999"/>
                              </a:xfrm>
                              <a:prstGeom prst="rect">
                                <a:avLst/>
                              </a:prstGeom>
                              <a:noFill/>
                            </wps:spPr>
                            <wps:txbx>
                              <w:txbxContent>
                                <w:p w14:paraId="59E99326" w14:textId="77777777" w:rsidR="004207B2" w:rsidRDefault="004207B2" w:rsidP="009433CD">
                                  <w:r>
                                    <w:rPr>
                                      <w:rFonts w:asciiTheme="minorHAnsi" w:hAnsi="Calibri" w:cstheme="minorBidi"/>
                                      <w:color w:val="000000" w:themeColor="text1"/>
                                      <w:kern w:val="24"/>
                                    </w:rPr>
                                    <w:t>3</w:t>
                                  </w:r>
                                </w:p>
                              </w:txbxContent>
                            </wps:txbx>
                            <wps:bodyPr wrap="none" rtlCol="0">
                              <a:spAutoFit/>
                            </wps:bodyPr>
                          </wps:wsp>
                          <wps:wsp>
                            <wps:cNvPr id="980265190" name="TextBox 32"/>
                            <wps:cNvSpPr txBox="1"/>
                            <wps:spPr>
                              <a:xfrm>
                                <a:off x="276711" y="2041196"/>
                                <a:ext cx="263214" cy="276999"/>
                              </a:xfrm>
                              <a:prstGeom prst="rect">
                                <a:avLst/>
                              </a:prstGeom>
                              <a:noFill/>
                            </wps:spPr>
                            <wps:txbx>
                              <w:txbxContent>
                                <w:p w14:paraId="70BF0898" w14:textId="77777777" w:rsidR="004207B2" w:rsidRDefault="004207B2" w:rsidP="009433CD">
                                  <w:r>
                                    <w:rPr>
                                      <w:rFonts w:asciiTheme="minorHAnsi" w:hAnsi="Calibri" w:cstheme="minorBidi"/>
                                      <w:color w:val="000000" w:themeColor="text1"/>
                                      <w:kern w:val="24"/>
                                    </w:rPr>
                                    <w:t>2</w:t>
                                  </w:r>
                                </w:p>
                              </w:txbxContent>
                            </wps:txbx>
                            <wps:bodyPr wrap="none" rtlCol="0">
                              <a:spAutoFit/>
                            </wps:bodyPr>
                          </wps:wsp>
                          <wps:wsp>
                            <wps:cNvPr id="980265192" name="TextBox 33"/>
                            <wps:cNvSpPr txBox="1"/>
                            <wps:spPr>
                              <a:xfrm>
                                <a:off x="276711" y="2690271"/>
                                <a:ext cx="263214" cy="276999"/>
                              </a:xfrm>
                              <a:prstGeom prst="rect">
                                <a:avLst/>
                              </a:prstGeom>
                              <a:noFill/>
                            </wps:spPr>
                            <wps:txbx>
                              <w:txbxContent>
                                <w:p w14:paraId="6BB9AFB8" w14:textId="77777777" w:rsidR="004207B2" w:rsidRDefault="004207B2" w:rsidP="009433CD">
                                  <w:r>
                                    <w:rPr>
                                      <w:rFonts w:asciiTheme="minorHAnsi" w:hAnsi="Calibri" w:cstheme="minorBidi"/>
                                      <w:color w:val="000000" w:themeColor="text1"/>
                                      <w:kern w:val="24"/>
                                    </w:rPr>
                                    <w:t>1</w:t>
                                  </w:r>
                                </w:p>
                              </w:txbxContent>
                            </wps:txbx>
                            <wps:bodyPr wrap="none" rtlCol="0">
                              <a:spAutoFit/>
                            </wps:bodyPr>
                          </wps:wsp>
                        </wpg:grpSp>
                        <wps:wsp>
                          <wps:cNvPr id="980265193" name="Oval 980265193"/>
                          <wps:cNvSpPr/>
                          <wps:spPr>
                            <a:xfrm>
                              <a:off x="976918" y="2792770"/>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980265194" name="Oval 980265194"/>
                          <wps:cNvSpPr/>
                          <wps:spPr>
                            <a:xfrm>
                              <a:off x="4685318" y="188663"/>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980265195" name="Oval 980265195"/>
                          <wps:cNvSpPr/>
                          <wps:spPr>
                            <a:xfrm>
                              <a:off x="2213051" y="2173764"/>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980265196" name="Oval 980265196"/>
                          <wps:cNvSpPr/>
                          <wps:spPr>
                            <a:xfrm>
                              <a:off x="3449184" y="1494620"/>
                              <a:ext cx="72000" cy="72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980265197" name="Straight Connector 980265197"/>
                          <wps:cNvCnPr>
                            <a:cxnSpLocks/>
                          </wps:cNvCnPr>
                          <wps:spPr>
                            <a:xfrm flipV="1">
                              <a:off x="1038374" y="2235220"/>
                              <a:ext cx="1185221" cy="568094"/>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0265198" name="Straight Connector 980265198"/>
                          <wps:cNvCnPr>
                            <a:cxnSpLocks/>
                          </wps:cNvCnPr>
                          <wps:spPr>
                            <a:xfrm flipV="1">
                              <a:off x="2285051" y="1556076"/>
                              <a:ext cx="1174677" cy="65368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0265199" name="Straight Connector 980265199"/>
                          <wps:cNvCnPr>
                            <a:cxnSpLocks/>
                          </wps:cNvCnPr>
                          <wps:spPr>
                            <a:xfrm flipV="1">
                              <a:off x="3510640" y="250119"/>
                              <a:ext cx="1185222" cy="12550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980265200" name="Straight Connector 980265200"/>
                          <wps:cNvCnPr>
                            <a:cxnSpLocks/>
                          </wps:cNvCnPr>
                          <wps:spPr>
                            <a:xfrm flipV="1">
                              <a:off x="4721318" y="260663"/>
                              <a:ext cx="0" cy="3217182"/>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1" name="Straight Connector 980265201"/>
                          <wps:cNvCnPr>
                            <a:cxnSpLocks/>
                          </wps:cNvCnPr>
                          <wps:spPr>
                            <a:xfrm flipV="1">
                              <a:off x="1012918" y="2864770"/>
                              <a:ext cx="0" cy="643855"/>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2" name="Straight Connector 980265202"/>
                          <wps:cNvCnPr>
                            <a:cxnSpLocks/>
                          </wps:cNvCnPr>
                          <wps:spPr>
                            <a:xfrm flipV="1">
                              <a:off x="2249051" y="2245764"/>
                              <a:ext cx="0" cy="122681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3" name="Straight Connector 980265203"/>
                          <wps:cNvCnPr>
                            <a:cxnSpLocks/>
                          </wps:cNvCnPr>
                          <wps:spPr>
                            <a:xfrm flipV="1">
                              <a:off x="3485184" y="1566620"/>
                              <a:ext cx="0" cy="1911225"/>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4" name="Straight Connector 980265204"/>
                          <wps:cNvCnPr>
                            <a:cxnSpLocks/>
                          </wps:cNvCnPr>
                          <wps:spPr>
                            <a:xfrm flipH="1">
                              <a:off x="2249051" y="1936202"/>
                              <a:ext cx="1236134"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5" name="Straight Connector 980265205"/>
                          <wps:cNvCnPr>
                            <a:cxnSpLocks/>
                          </wps:cNvCnPr>
                          <wps:spPr>
                            <a:xfrm flipH="1">
                              <a:off x="1007791" y="2524702"/>
                              <a:ext cx="1236134"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6" name="Straight Connector 980265206"/>
                          <wps:cNvCnPr>
                            <a:cxnSpLocks/>
                          </wps:cNvCnPr>
                          <wps:spPr>
                            <a:xfrm flipH="1">
                              <a:off x="3481259" y="897879"/>
                              <a:ext cx="1236134"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7" name="Straight Connector 980265207"/>
                          <wps:cNvCnPr>
                            <a:cxnSpLocks/>
                          </wps:cNvCnPr>
                          <wps:spPr>
                            <a:xfrm flipV="1">
                              <a:off x="1012553" y="2521417"/>
                              <a:ext cx="0" cy="2880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8" name="Straight Connector 980265208"/>
                          <wps:cNvCnPr>
                            <a:cxnSpLocks/>
                          </wps:cNvCnPr>
                          <wps:spPr>
                            <a:xfrm flipV="1">
                              <a:off x="2253451" y="1936202"/>
                              <a:ext cx="0" cy="2880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980265209" name="Straight Connector 980265209"/>
                          <wps:cNvCnPr>
                            <a:cxnSpLocks/>
                          </wps:cNvCnPr>
                          <wps:spPr>
                            <a:xfrm flipV="1">
                              <a:off x="3485656" y="897206"/>
                              <a:ext cx="0" cy="6120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37D28C2E" id="Group 79" o:spid="_x0000_s1026" style="width:449.4pt;height:307.85pt;mso-position-horizontal-relative:char;mso-position-vertical-relative:line" coordsize="57074,3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">
                <v:rect id="Rectangle 2" o:spid="_x0000_s1027" style="position:absolute;left:22731;top:19631;width:11880;height:14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" fillcolor="#d8d8d8 [2732]" strokecolor="white [3212]" strokeweight="1pt"/>
                <v:rect id="Rectangle 3" o:spid="_x0000_s1028" style="position:absolute;left:35078;top:9215;width:11880;height:25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" fillcolor="#d8d8d8 [2732]" strokecolor="white [3212]" strokeweight="1pt"/>
                <v:rect id="Rectangle 4" o:spid="_x0000_s1029" style="position:absolute;left:10369;top:25486;width:1188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" fillcolor="#d8d8d8 [2732]" strokecolor="white [3212]" strokeweight="1pt"/>
                <v:group id="Group 5" o:spid="_x0000_s1030" style="position:absolute;width:57074;height:39096" coordsize="57074,3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width:57074;height:39096" coordsize="57074,3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808;width:51266;height:38408" coordorigin="5808" coordsize="51266,3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3" style="position:absolute;left:5808;width:49745;height:34778" coordorigin="5808" coordsize="49744,3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Straight Arrow Connector 9" o:spid="_x0000_s1034" type="#_x0000_t32" style="position:absolute;left:5886;width:0;height:34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" strokecolor="black [3200]" strokeweight="1pt">
                          <v:stroke endarrow="block" joinstyle="miter"/>
                        </v:shape>
                        <v:shape id="Straight Arrow Connector 10" o:spid="_x0000_s1035" type="#_x0000_t32" style="position:absolute;left:5808;top:34778;width:49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" strokecolor="black [3200]" strokeweight="1pt">
                          <v:stroke endarrow="block" joinstyle="miter"/>
                          <o:lock v:ext="edit" shapetype="f"/>
                        </v:shape>
                      </v:group>
                      <v:shapetype id="_x0000_t202" coordsize="21600,21600" o:spt="202" path="m,l,21600r21600,l21600,xe">
                        <v:stroke joinstyle="miter"/>
                        <v:path gradientshapeok="t" o:connecttype="rect"/>
                      </v:shapetype>
                      <v:shape id="TextBox 8" o:spid="_x0000_s1036" type="#_x0000_t202" style="position:absolute;left:52852;top:35638;width:422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7F4EDDCF" w14:textId="77777777" w:rsidR="004207B2" w:rsidRDefault="004207B2" w:rsidP="009433CD">
                              <w:r>
                                <w:rPr>
                                  <w:rFonts w:asciiTheme="minorHAnsi" w:hAnsi="Calibri" w:cstheme="minorBidi"/>
                                  <w:color w:val="000000" w:themeColor="text1"/>
                                  <w:kern w:val="24"/>
                                </w:rPr>
                                <w:t>Age</w:t>
                              </w:r>
                            </w:p>
                          </w:txbxContent>
                        </v:textbox>
                      </v:shape>
                    </v:group>
                    <v:shape id="TextBox 10" o:spid="_x0000_s1037" type="#_x0000_t202" style="position:absolute;top:1569;width:3733;height:31788;rotation: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" filled="f" stroked="f">
                      <v:textbox style="layout-flow:vertical-ideographic;mso-fit-shape-to-text:t">
                        <w:txbxContent>
                          <w:p w14:paraId="0FA0457D" w14:textId="77777777" w:rsidR="004207B2" w:rsidRDefault="004207B2" w:rsidP="009433CD">
                            <w:r>
                              <w:rPr>
                                <w:rFonts w:asciiTheme="minorHAnsi" w:hAnsi="Calibri" w:cstheme="minorBidi"/>
                                <w:color w:val="000000" w:themeColor="text1"/>
                                <w:kern w:val="24"/>
                              </w:rPr>
                              <w:t>No. of Adolescent Cancer Risk Exposures reported</w:t>
                            </w:r>
                          </w:p>
                        </w:txbxContent>
                      </v:textbox>
                    </v:shape>
                    <v:line id="Straight Connector 13" o:spid="_x0000_s1038" style="position:absolute;visibility:visible;mso-wrap-style:square" from="10129,34778" to="10129,3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7wAAAANsAAAAPAAAAZHJzL2Rvd25yZXYueG1sRE9Ni8Iw&#10;EL0v+B/CCN7W1B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Wfzt+8AAAADbAAAADwAAAAAA&#10;AAAAAAAAAAAHAgAAZHJzL2Rvd25yZXYueG1sUEsFBgAAAAADAAMAtwAAAPQCAAAAAA==&#10;" strokecolor="black [3200]" strokeweight="1pt">
                      <v:stroke joinstyle="miter"/>
                      <o:lock v:ext="edit" shapetype="f"/>
                    </v:line>
                    <v:line id="Straight Connector 14" o:spid="_x0000_s1039" style="position:absolute;visibility:visible;mso-wrap-style:square" from="22490,34778" to="22490,3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WPwAAAANsAAAAPAAAAZHJzL2Rvd25yZXYueG1sRE9Ni8Iw&#10;EL0v+B/CCN7W1EXK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1hV1j8AAAADbAAAADwAAAAAA&#10;AAAAAAAAAAAHAgAAZHJzL2Rvd25yZXYueG1sUEsFBgAAAAADAAMAtwAAAPQCAAAAAA==&#10;" strokecolor="black [3200]" strokeweight="1pt">
                      <v:stroke joinstyle="miter"/>
                      <o:lock v:ext="edit" shapetype="f"/>
                    </v:line>
                    <v:line id="Straight Connector 15" o:spid="_x0000_s1040" style="position:absolute;visibility:visible;mso-wrap-style:square" from="34851,34778" to="34851,3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" strokecolor="black [3200]" strokeweight="1pt">
                      <v:stroke joinstyle="miter"/>
                      <o:lock v:ext="edit" shapetype="f"/>
                    </v:line>
                    <v:line id="Straight Connector 16" o:spid="_x0000_s1041" style="position:absolute;visibility:visible;mso-wrap-style:square" from="47213,34778" to="47213,3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" strokecolor="black [3200]" strokeweight="1pt">
                      <v:stroke joinstyle="miter"/>
                      <o:lock v:ext="edit" shapetype="f"/>
                    </v:line>
                    <v:shape id="TextBox 16" o:spid="_x0000_s1042" type="#_x0000_t202" style="position:absolute;left:8801;top:35940;width:2857;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1296867C"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1</w:t>
                            </w:r>
                          </w:p>
                        </w:txbxContent>
                      </v:textbox>
                    </v:shape>
                    <v:shape id="TextBox 17" o:spid="_x0000_s1043" type="#_x0000_t202" style="position:absolute;left:21162;top:35940;width:2857;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33B1EDC2"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2</w:t>
                            </w:r>
                          </w:p>
                        </w:txbxContent>
                      </v:textbox>
                    </v:shape>
                    <v:shape id="TextBox 18" o:spid="_x0000_s1044" type="#_x0000_t202" style="position:absolute;left:33523;top:35940;width:2857;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14:paraId="4BFAF37B"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3</w:t>
                            </w:r>
                          </w:p>
                        </w:txbxContent>
                      </v:textbox>
                    </v:shape>
                    <v:shape id="TextBox 19" o:spid="_x0000_s1045" type="#_x0000_t202" style="position:absolute;left:45884;top:35940;width:285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755BA4E0" w14:textId="77777777" w:rsidR="004207B2" w:rsidRDefault="004207B2" w:rsidP="009433CD">
                            <w:r>
                              <w:rPr>
                                <w:rFonts w:asciiTheme="minorHAnsi" w:hAnsi="Calibri" w:cstheme="minorBidi"/>
                                <w:color w:val="000000" w:themeColor="text1"/>
                                <w:kern w:val="24"/>
                              </w:rPr>
                              <w:t>t</w:t>
                            </w:r>
                            <w:r>
                              <w:rPr>
                                <w:rFonts w:asciiTheme="minorHAnsi" w:hAnsi="Calibri" w:cstheme="minorBidi"/>
                                <w:color w:val="000000" w:themeColor="text1"/>
                                <w:kern w:val="24"/>
                                <w:position w:val="-6"/>
                                <w:vertAlign w:val="subscript"/>
                              </w:rPr>
                              <w:t>4</w:t>
                            </w:r>
                          </w:p>
                        </w:txbxContent>
                      </v:textbox>
                    </v:shape>
                    <v:line id="Straight Connector 24" o:spid="_x0000_s1046" style="position:absolute;visibility:visible;mso-wrap-style:square" from="4971,34778" to="5808,3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8ywgAAANsAAAAPAAAAZHJzL2Rvd25yZXYueG1sRI9Pi8Iw&#10;FMTvwn6H8Bb2pqki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AYeb8ywgAAANsAAAAPAAAA&#10;AAAAAAAAAAAAAAcCAABkcnMvZG93bnJldi54bWxQSwUGAAAAAAMAAwC3AAAA9gIAAAAA&#10;" strokecolor="black [3200]" strokeweight="1pt">
                      <v:stroke joinstyle="miter"/>
                      <o:lock v:ext="edit" shapetype="f"/>
                    </v:line>
                    <v:line id="Straight Connector 25" o:spid="_x0000_s1047" style="position:absolute;visibility:visible;mso-wrap-style:square" from="4971,8972" to="5808,8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qpwgAAANsAAAAPAAAAZHJzL2Rvd25yZXYueG1sRI9Pi8Iw&#10;FMTvwn6H8Bb2pqmC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B3NRqpwgAAANsAAAAPAAAA&#10;AAAAAAAAAAAAAAcCAABkcnMvZG93bnJldi54bWxQSwUGAAAAAAMAAwC3AAAA9gIAAAAA&#10;" strokecolor="black [3200]" strokeweight="1pt">
                      <v:stroke joinstyle="miter"/>
                      <o:lock v:ext="edit" shapetype="f"/>
                    </v:line>
                    <v:line id="Straight Connector 27" o:spid="_x0000_s1048" style="position:absolute;visibility:visible;mso-wrap-style:square" from="4971,15423" to="5808,1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" strokecolor="black [3200]" strokeweight="1pt">
                      <v:stroke joinstyle="miter"/>
                      <o:lock v:ext="edit" shapetype="f"/>
                    </v:line>
                    <v:line id="Straight Connector 28" o:spid="_x0000_s1049" style="position:absolute;visibility:visible;mso-wrap-style:square" from="4971,21875" to="5808,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" strokecolor="black [3200]" strokeweight="1pt">
                      <v:stroke joinstyle="miter"/>
                      <o:lock v:ext="edit" shapetype="f"/>
                    </v:line>
                    <v:line id="Straight Connector 980265184" o:spid="_x0000_s1050" style="position:absolute;visibility:visible;mso-wrap-style:square" from="4971,28326" to="5808,2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" strokecolor="black [3200]" strokeweight="1pt">
                      <v:stroke joinstyle="miter"/>
                      <o:lock v:ext="edit" shapetype="f"/>
                    </v:line>
                    <v:line id="Straight Connector 980265185" o:spid="_x0000_s1051" style="position:absolute;visibility:visible;mso-wrap-style:square" from="4971,2520" to="580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" strokecolor="black [3200]" strokeweight="1pt">
                      <v:stroke joinstyle="miter"/>
                      <o:lock v:ext="edit" shapetype="f"/>
                    </v:line>
                    <v:shape id="TextBox 28" o:spid="_x0000_s1052" type="#_x0000_t202" style="position:absolute;left:2767;top:33393;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" filled="f" stroked="f">
                      <v:textbox style="mso-fit-shape-to-text:t">
                        <w:txbxContent>
                          <w:p w14:paraId="57D1147E" w14:textId="77777777" w:rsidR="004207B2" w:rsidRDefault="004207B2" w:rsidP="009433CD">
                            <w:r>
                              <w:rPr>
                                <w:rFonts w:asciiTheme="minorHAnsi" w:hAnsi="Calibri" w:cstheme="minorBidi"/>
                                <w:color w:val="000000" w:themeColor="text1"/>
                                <w:kern w:val="24"/>
                              </w:rPr>
                              <w:t>0</w:t>
                            </w:r>
                          </w:p>
                        </w:txbxContent>
                      </v:textbox>
                    </v:shape>
                    <v:shape id="TextBox 29" o:spid="_x0000_s1053" type="#_x0000_t202" style="position:absolute;left:2767;top:939;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" filled="f" stroked="f">
                      <v:textbox style="mso-fit-shape-to-text:t">
                        <w:txbxContent>
                          <w:p w14:paraId="0B0C0E01" w14:textId="77777777" w:rsidR="004207B2" w:rsidRDefault="004207B2" w:rsidP="009433CD">
                            <w:r>
                              <w:rPr>
                                <w:rFonts w:asciiTheme="minorHAnsi" w:hAnsi="Calibri" w:cstheme="minorBidi"/>
                                <w:color w:val="000000" w:themeColor="text1"/>
                                <w:kern w:val="24"/>
                              </w:rPr>
                              <w:t>5</w:t>
                            </w:r>
                          </w:p>
                        </w:txbxContent>
                      </v:textbox>
                    </v:shape>
                    <v:shape id="TextBox 30" o:spid="_x0000_s1054" type="#_x0000_t202" style="position:absolute;left:2767;top:7430;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" filled="f" stroked="f">
                      <v:textbox style="mso-fit-shape-to-text:t">
                        <w:txbxContent>
                          <w:p w14:paraId="6881E2E0" w14:textId="77777777" w:rsidR="004207B2" w:rsidRDefault="004207B2" w:rsidP="009433CD">
                            <w:r>
                              <w:rPr>
                                <w:rFonts w:asciiTheme="minorHAnsi" w:hAnsi="Calibri" w:cstheme="minorBidi"/>
                                <w:color w:val="000000" w:themeColor="text1"/>
                                <w:kern w:val="24"/>
                              </w:rPr>
                              <w:t>4</w:t>
                            </w:r>
                          </w:p>
                        </w:txbxContent>
                      </v:textbox>
                    </v:shape>
                    <v:shape id="TextBox 31" o:spid="_x0000_s1055" type="#_x0000_t202" style="position:absolute;left:2767;top:13921;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" filled="f" stroked="f">
                      <v:textbox style="mso-fit-shape-to-text:t">
                        <w:txbxContent>
                          <w:p w14:paraId="59E99326" w14:textId="77777777" w:rsidR="004207B2" w:rsidRDefault="004207B2" w:rsidP="009433CD">
                            <w:r>
                              <w:rPr>
                                <w:rFonts w:asciiTheme="minorHAnsi" w:hAnsi="Calibri" w:cstheme="minorBidi"/>
                                <w:color w:val="000000" w:themeColor="text1"/>
                                <w:kern w:val="24"/>
                              </w:rPr>
                              <w:t>3</w:t>
                            </w:r>
                          </w:p>
                        </w:txbxContent>
                      </v:textbox>
                    </v:shape>
                    <v:shape id="TextBox 32" o:spid="_x0000_s1056" type="#_x0000_t202" style="position:absolute;left:2767;top:20411;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" filled="f" stroked="f">
                      <v:textbox style="mso-fit-shape-to-text:t">
                        <w:txbxContent>
                          <w:p w14:paraId="70BF0898" w14:textId="77777777" w:rsidR="004207B2" w:rsidRDefault="004207B2" w:rsidP="009433CD">
                            <w:r>
                              <w:rPr>
                                <w:rFonts w:asciiTheme="minorHAnsi" w:hAnsi="Calibri" w:cstheme="minorBidi"/>
                                <w:color w:val="000000" w:themeColor="text1"/>
                                <w:kern w:val="24"/>
                              </w:rPr>
                              <w:t>2</w:t>
                            </w:r>
                          </w:p>
                        </w:txbxContent>
                      </v:textbox>
                    </v:shape>
                    <v:shape id="TextBox 33" o:spid="_x0000_s1057" type="#_x0000_t202" style="position:absolute;left:2767;top:26902;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" filled="f" stroked="f">
                      <v:textbox style="mso-fit-shape-to-text:t">
                        <w:txbxContent>
                          <w:p w14:paraId="6BB9AFB8" w14:textId="77777777" w:rsidR="004207B2" w:rsidRDefault="004207B2" w:rsidP="009433CD">
                            <w:r>
                              <w:rPr>
                                <w:rFonts w:asciiTheme="minorHAnsi" w:hAnsi="Calibri" w:cstheme="minorBidi"/>
                                <w:color w:val="000000" w:themeColor="text1"/>
                                <w:kern w:val="24"/>
                              </w:rPr>
                              <w:t>1</w:t>
                            </w:r>
                          </w:p>
                        </w:txbxContent>
                      </v:textbox>
                    </v:shape>
                  </v:group>
                  <v:oval id="Oval 980265193" o:spid="_x0000_s1058" style="position:absolute;left:9769;top:27927;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" fillcolor="black [3200]" strokecolor="black [1600]" strokeweight="1pt">
                    <v:stroke joinstyle="miter"/>
                  </v:oval>
                  <v:oval id="Oval 980265194" o:spid="_x0000_s1059" style="position:absolute;left:46853;top:1886;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" fillcolor="black [3200]" strokecolor="black [1600]" strokeweight="1pt">
                    <v:stroke joinstyle="miter"/>
                  </v:oval>
                  <v:oval id="Oval 980265195" o:spid="_x0000_s1060" style="position:absolute;left:22130;top:21737;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" fillcolor="black [3200]" strokecolor="black [1600]" strokeweight="1pt">
                    <v:stroke joinstyle="miter"/>
                  </v:oval>
                  <v:oval id="Oval 980265196" o:spid="_x0000_s1061" style="position:absolute;left:34491;top:14946;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" fillcolor="black [3200]" strokecolor="black [1600]" strokeweight="1pt">
                    <v:stroke joinstyle="miter"/>
                  </v:oval>
                  <v:line id="Straight Connector 980265197" o:spid="_x0000_s1062" style="position:absolute;flip:y;visibility:visible;mso-wrap-style:square" from="10383,22352" to="22235,28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" strokecolor="black [3200]">
                    <v:stroke joinstyle="miter"/>
                    <o:lock v:ext="edit" shapetype="f"/>
                  </v:line>
                  <v:line id="Straight Connector 980265198" o:spid="_x0000_s1063" style="position:absolute;flip:y;visibility:visible;mso-wrap-style:square" from="22850,15560" to="34597,2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" strokecolor="black [3200]">
                    <v:stroke joinstyle="miter"/>
                    <o:lock v:ext="edit" shapetype="f"/>
                  </v:line>
                  <v:line id="Straight Connector 980265199" o:spid="_x0000_s1064" style="position:absolute;flip:y;visibility:visible;mso-wrap-style:square" from="35106,2501" to="46958,1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" strokecolor="black [3200]">
                    <v:stroke joinstyle="miter"/>
                    <o:lock v:ext="edit" shapetype="f"/>
                  </v:line>
                  <v:line id="Straight Connector 980265200" o:spid="_x0000_s1065" style="position:absolute;flip:y;visibility:visible;mso-wrap-style:square" from="47213,2606" to="47213,3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" strokecolor="black [3200]">
                    <v:stroke dashstyle="dash" joinstyle="miter"/>
                    <o:lock v:ext="edit" shapetype="f"/>
                  </v:line>
                  <v:line id="Straight Connector 980265201" o:spid="_x0000_s1066" style="position:absolute;flip:y;visibility:visible;mso-wrap-style:square" from="10129,28647" to="10129,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" strokecolor="black [3200]">
                    <v:stroke dashstyle="dash" joinstyle="miter"/>
                    <o:lock v:ext="edit" shapetype="f"/>
                  </v:line>
                  <v:line id="Straight Connector 980265202" o:spid="_x0000_s1067" style="position:absolute;flip:y;visibility:visible;mso-wrap-style:square" from="22490,22457" to="22490,3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" strokecolor="black [3200]">
                    <v:stroke dashstyle="dash" joinstyle="miter"/>
                    <o:lock v:ext="edit" shapetype="f"/>
                  </v:line>
                  <v:line id="Straight Connector 980265203" o:spid="_x0000_s1068" style="position:absolute;flip:y;visibility:visible;mso-wrap-style:square" from="34851,15666" to="34851,34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" strokecolor="black [3200]">
                    <v:stroke dashstyle="dash" joinstyle="miter"/>
                    <o:lock v:ext="edit" shapetype="f"/>
                  </v:line>
                  <v:line id="Straight Connector 980265204" o:spid="_x0000_s1069" style="position:absolute;flip:x;visibility:visible;mso-wrap-style:square" from="22490,19362" to="34851,1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" strokecolor="black [3200]">
                    <v:stroke dashstyle="dash" joinstyle="miter"/>
                    <o:lock v:ext="edit" shapetype="f"/>
                  </v:line>
                  <v:line id="Straight Connector 980265205" o:spid="_x0000_s1070" style="position:absolute;flip:x;visibility:visible;mso-wrap-style:square" from="10077,25247" to="22439,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" strokecolor="black [3200]">
                    <v:stroke dashstyle="dash" joinstyle="miter"/>
                    <o:lock v:ext="edit" shapetype="f"/>
                  </v:line>
                  <v:line id="Straight Connector 980265206" o:spid="_x0000_s1071" style="position:absolute;flip:x;visibility:visible;mso-wrap-style:square" from="34812,8978" to="4717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" strokecolor="black [3200]">
                    <v:stroke dashstyle="dash" joinstyle="miter"/>
                    <o:lock v:ext="edit" shapetype="f"/>
                  </v:line>
                  <v:line id="Straight Connector 980265207" o:spid="_x0000_s1072" style="position:absolute;flip:y;visibility:visible;mso-wrap-style:square" from="10125,25214" to="10125,2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" strokecolor="black [3200]">
                    <v:stroke dashstyle="dash" joinstyle="miter"/>
                    <o:lock v:ext="edit" shapetype="f"/>
                  </v:line>
                  <v:line id="Straight Connector 980265208" o:spid="_x0000_s1073" style="position:absolute;flip:y;visibility:visible;mso-wrap-style:square" from="22534,19362" to="22534,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" strokecolor="black [3200]">
                    <v:stroke dashstyle="dash" joinstyle="miter"/>
                    <o:lock v:ext="edit" shapetype="f"/>
                  </v:line>
                  <v:line id="Straight Connector 980265209" o:spid="_x0000_s1074" style="position:absolute;flip:y;visibility:visible;mso-wrap-style:square" from="34856,8972" to="34856,1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" strokecolor="black [3200]">
                    <v:stroke dashstyle="dash" joinstyle="miter"/>
                    <o:lock v:ext="edit" shapetype="f"/>
                  </v:line>
                </v:group>
                <w10:anchorlock/>
              </v:group>
            </w:pict>
          </mc:Fallback>
        </mc:AlternateContent>
      </w:r>
    </w:p>
    <w:p w14:paraId="5B19F938" w14:textId="77777777" w:rsidR="00D02A26" w:rsidRPr="00A4345D" w:rsidRDefault="00D02A26" w:rsidP="00D205D2">
      <w:pPr>
        <w:spacing w:line="276" w:lineRule="auto"/>
        <w:rPr>
          <w:rFonts w:asciiTheme="minorHAnsi" w:hAnsiTheme="minorHAnsi" w:cstheme="minorHAnsi"/>
          <w:lang w:eastAsia="en-US"/>
        </w:rPr>
      </w:pPr>
    </w:p>
    <w:p w14:paraId="49ED934B" w14:textId="77777777" w:rsidR="0078645A" w:rsidRDefault="0078645A" w:rsidP="00B66D2C">
      <w:pPr>
        <w:spacing w:line="276" w:lineRule="auto"/>
        <w:rPr>
          <w:rFonts w:asciiTheme="minorHAnsi" w:hAnsiTheme="minorHAnsi" w:cstheme="minorHAnsi"/>
        </w:rPr>
      </w:pPr>
      <w:bookmarkStart w:id="3" w:name="_Ref29199356"/>
      <w:bookmarkStart w:id="4" w:name="_Ref37079662"/>
    </w:p>
    <w:p w14:paraId="102ABB76" w14:textId="68A98203" w:rsidR="0078645A" w:rsidRPr="00A4345D" w:rsidRDefault="0078645A" w:rsidP="00B66D2C">
      <w:pPr>
        <w:spacing w:line="276" w:lineRule="auto"/>
        <w:rPr>
          <w:rFonts w:asciiTheme="minorHAnsi" w:hAnsiTheme="minorHAnsi" w:cstheme="minorHAnsi"/>
        </w:rPr>
        <w:sectPr w:rsidR="0078645A" w:rsidRPr="00A4345D" w:rsidSect="00AF25B1">
          <w:pgSz w:w="11906" w:h="16838"/>
          <w:pgMar w:top="1440" w:right="1440" w:bottom="1440" w:left="1440" w:header="708" w:footer="708" w:gutter="0"/>
          <w:cols w:space="708"/>
          <w:docGrid w:linePitch="360"/>
        </w:sectPr>
      </w:pPr>
    </w:p>
    <w:p w14:paraId="0DBEE1B6" w14:textId="77777777" w:rsidR="00065A10" w:rsidRDefault="00065A10" w:rsidP="00065A10">
      <w:pPr>
        <w:pStyle w:val="Heading2"/>
        <w:numPr>
          <w:ilvl w:val="0"/>
          <w:numId w:val="2"/>
        </w:numPr>
        <w:spacing w:line="276" w:lineRule="auto"/>
        <w:rPr>
          <w:rFonts w:asciiTheme="minorHAnsi" w:hAnsiTheme="minorHAnsi" w:cstheme="minorHAnsi"/>
        </w:rPr>
      </w:pPr>
      <w:bookmarkStart w:id="5" w:name="_Ref32396120"/>
      <w:bookmarkEnd w:id="0"/>
      <w:bookmarkEnd w:id="3"/>
      <w:bookmarkEnd w:id="4"/>
      <w:r>
        <w:rPr>
          <w:rFonts w:asciiTheme="minorHAnsi" w:hAnsiTheme="minorHAnsi" w:cstheme="minorHAnsi"/>
        </w:rPr>
        <w:lastRenderedPageBreak/>
        <w:t>Deriving the latent classes</w:t>
      </w:r>
    </w:p>
    <w:p w14:paraId="6EE5AEDF" w14:textId="77777777" w:rsidR="00065A10" w:rsidRDefault="00065A10" w:rsidP="00065A10">
      <w:pPr>
        <w:rPr>
          <w:rFonts w:asciiTheme="minorHAnsi" w:hAnsiTheme="minorHAnsi" w:cstheme="minorHAnsi"/>
        </w:rPr>
      </w:pPr>
    </w:p>
    <w:p w14:paraId="7C72A435" w14:textId="77777777" w:rsidR="00065A10" w:rsidRDefault="00065A10" w:rsidP="00065A10">
      <w:pPr>
        <w:spacing w:after="120" w:line="276" w:lineRule="auto"/>
        <w:rPr>
          <w:rFonts w:asciiTheme="minorHAnsi" w:hAnsiTheme="minorHAnsi" w:cstheme="minorHAnsi"/>
        </w:rPr>
      </w:pPr>
      <w:r>
        <w:rPr>
          <w:rFonts w:asciiTheme="minorHAnsi" w:hAnsiTheme="minorHAnsi" w:cstheme="minorHAnsi"/>
        </w:rPr>
        <w:t>A range of longitudinal mixture models were fitted to the four repeated five-category ordinal measures of adolescent cancer-risk behaviour. The least parsimonious (a longitudinal latent class analysis (LLCA)) was compared to a series of latent class growth analyses (LCGA) which incorporated the timing of the four waves (i.e. average age at response) and attempted to summarize the patterns of longitudinal change using polynomial terms.</w:t>
      </w:r>
    </w:p>
    <w:p w14:paraId="5512878E" w14:textId="77777777" w:rsidR="00065A10" w:rsidRDefault="00065A10" w:rsidP="00065A10">
      <w:pPr>
        <w:spacing w:after="120" w:line="276" w:lineRule="auto"/>
        <w:rPr>
          <w:rFonts w:asciiTheme="minorHAnsi" w:hAnsiTheme="minorHAnsi" w:cstheme="minorHAnsi"/>
        </w:rPr>
      </w:pPr>
      <w:r>
        <w:rPr>
          <w:rFonts w:asciiTheme="minorHAnsi" w:hAnsiTheme="minorHAnsi" w:cstheme="minorHAnsi"/>
        </w:rPr>
        <w:t>By considering both the Bayesian Information Criterion (BIC) and face validity of competing models for a given number of classes, a cubic LCGA model was deemed most appropriate for capturing the patterns of change seen in these data.  With binary data, a cubic LGCA would be mathematically equivalent to an LLCA, however with ordinal data, the former saves many parameters by making a proportional odds assumption for the relationship between class membership C and each ordinal class-indicator. LCCA is more akin to a multinomial logistic model in this regard.</w:t>
      </w:r>
    </w:p>
    <w:p w14:paraId="42E727A1" w14:textId="77777777" w:rsidR="00065A10" w:rsidRDefault="00065A10" w:rsidP="00065A10">
      <w:pPr>
        <w:spacing w:line="276" w:lineRule="auto"/>
        <w:rPr>
          <w:rFonts w:asciiTheme="minorHAnsi" w:hAnsiTheme="minorHAnsi" w:cstheme="minorHAnsi"/>
        </w:rPr>
      </w:pPr>
      <w:r>
        <w:rPr>
          <w:rFonts w:asciiTheme="minorHAnsi" w:hAnsiTheme="minorHAnsi" w:cstheme="minorHAnsi"/>
        </w:rPr>
        <w:t xml:space="preserve">Model fit statistics for a series of cubic LCGA models are shown below, both for the complete case sample of 1,951 (all four ordinal measures available) to a larger sample of 6,351 in which all participants providing one or more time points were included.  These data show some degree of support for both the five- and six-class solutions, with some evidence that more classes (i.e. six) are required to adequately explain heterogeneity within the larger incomplete sample. </w:t>
      </w:r>
    </w:p>
    <w:p w14:paraId="38E82B8C" w14:textId="77777777" w:rsidR="00065A10" w:rsidRDefault="00065A10" w:rsidP="00065A10">
      <w:pPr>
        <w:tabs>
          <w:tab w:val="left" w:pos="970"/>
          <w:tab w:val="left" w:pos="1909"/>
        </w:tabs>
        <w:spacing w:after="120" w:line="276" w:lineRule="auto"/>
        <w:jc w:val="left"/>
        <w:rPr>
          <w:rFonts w:asciiTheme="minorHAnsi" w:hAnsiTheme="minorHAnsi" w:cstheme="minorHAnsi"/>
          <w:color w:val="000000"/>
          <w:sz w:val="22"/>
          <w:szCs w:val="22"/>
          <w:lang w:eastAsia="zh-CN"/>
        </w:rPr>
      </w:pPr>
    </w:p>
    <w:p w14:paraId="3DDB6E74" w14:textId="77777777" w:rsidR="00065A10" w:rsidRDefault="00065A10" w:rsidP="00065A10">
      <w:pPr>
        <w:tabs>
          <w:tab w:val="left" w:pos="970"/>
          <w:tab w:val="left" w:pos="1909"/>
        </w:tabs>
        <w:spacing w:after="120" w:line="276" w:lineRule="auto"/>
        <w:jc w:val="left"/>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Table. Fit statistics for cubic LCGA models</w:t>
      </w:r>
    </w:p>
    <w:tbl>
      <w:tblPr>
        <w:tblW w:w="5160" w:type="pct"/>
        <w:jc w:val="center"/>
        <w:tblLook w:val="04A0" w:firstRow="1" w:lastRow="0" w:firstColumn="1" w:lastColumn="0" w:noHBand="0" w:noVBand="1"/>
      </w:tblPr>
      <w:tblGrid>
        <w:gridCol w:w="744"/>
        <w:gridCol w:w="887"/>
        <w:gridCol w:w="958"/>
        <w:gridCol w:w="961"/>
        <w:gridCol w:w="961"/>
        <w:gridCol w:w="961"/>
        <w:gridCol w:w="961"/>
        <w:gridCol w:w="961"/>
        <w:gridCol w:w="961"/>
        <w:gridCol w:w="955"/>
      </w:tblGrid>
      <w:tr w:rsidR="00065A10" w14:paraId="15313A46" w14:textId="77777777" w:rsidTr="00D6070D">
        <w:trPr>
          <w:trHeight w:val="340"/>
          <w:jc w:val="center"/>
        </w:trPr>
        <w:tc>
          <w:tcPr>
            <w:tcW w:w="400" w:type="pct"/>
            <w:tcBorders>
              <w:top w:val="nil"/>
              <w:left w:val="nil"/>
              <w:bottom w:val="single" w:sz="4" w:space="0" w:color="auto"/>
              <w:right w:val="nil"/>
            </w:tcBorders>
            <w:noWrap/>
            <w:vAlign w:val="bottom"/>
          </w:tcPr>
          <w:p w14:paraId="262934C1" w14:textId="77777777" w:rsidR="00065A10" w:rsidRDefault="00065A10" w:rsidP="00D6070D">
            <w:pPr>
              <w:spacing w:line="276" w:lineRule="auto"/>
              <w:rPr>
                <w:rFonts w:asciiTheme="minorHAnsi" w:hAnsiTheme="minorHAnsi" w:cstheme="minorHAnsi"/>
                <w:color w:val="000000"/>
                <w:sz w:val="20"/>
                <w:szCs w:val="20"/>
                <w:lang w:eastAsia="zh-CN"/>
              </w:rPr>
            </w:pPr>
          </w:p>
        </w:tc>
        <w:tc>
          <w:tcPr>
            <w:tcW w:w="476" w:type="pct"/>
            <w:tcBorders>
              <w:top w:val="nil"/>
              <w:left w:val="nil"/>
              <w:bottom w:val="single" w:sz="4" w:space="0" w:color="auto"/>
              <w:right w:val="single" w:sz="4" w:space="0" w:color="auto"/>
            </w:tcBorders>
            <w:noWrap/>
            <w:vAlign w:val="bottom"/>
          </w:tcPr>
          <w:p w14:paraId="15D99713" w14:textId="77777777" w:rsidR="00065A10" w:rsidRDefault="00065A10" w:rsidP="00D6070D">
            <w:pPr>
              <w:spacing w:line="276" w:lineRule="auto"/>
              <w:rPr>
                <w:rFonts w:asciiTheme="minorHAnsi" w:hAnsiTheme="minorHAnsi" w:cstheme="minorHAnsi"/>
                <w:color w:val="000000"/>
                <w:sz w:val="20"/>
                <w:szCs w:val="20"/>
                <w:lang w:eastAsia="zh-CN"/>
              </w:rPr>
            </w:pPr>
          </w:p>
        </w:tc>
        <w:tc>
          <w:tcPr>
            <w:tcW w:w="2062" w:type="pct"/>
            <w:gridSpan w:val="4"/>
            <w:tcBorders>
              <w:top w:val="nil"/>
              <w:left w:val="single" w:sz="4" w:space="0" w:color="auto"/>
              <w:bottom w:val="single" w:sz="4" w:space="0" w:color="auto"/>
              <w:right w:val="single" w:sz="4" w:space="0" w:color="auto"/>
            </w:tcBorders>
            <w:noWrap/>
            <w:vAlign w:val="bottom"/>
            <w:hideMark/>
          </w:tcPr>
          <w:p w14:paraId="578567E7"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2"/>
                <w:szCs w:val="22"/>
                <w:lang w:eastAsia="zh-CN"/>
              </w:rPr>
              <w:t>Complete case sample (n=1,951)</w:t>
            </w:r>
          </w:p>
        </w:tc>
        <w:tc>
          <w:tcPr>
            <w:tcW w:w="2062" w:type="pct"/>
            <w:gridSpan w:val="4"/>
            <w:tcBorders>
              <w:top w:val="nil"/>
              <w:left w:val="single" w:sz="4" w:space="0" w:color="auto"/>
              <w:bottom w:val="single" w:sz="4" w:space="0" w:color="auto"/>
              <w:right w:val="single" w:sz="4" w:space="0" w:color="auto"/>
            </w:tcBorders>
            <w:vAlign w:val="bottom"/>
            <w:hideMark/>
          </w:tcPr>
          <w:p w14:paraId="33EFE502"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2"/>
                <w:szCs w:val="22"/>
                <w:lang w:eastAsia="zh-CN"/>
              </w:rPr>
              <w:t>Incomplete data sample (n=6,351)</w:t>
            </w:r>
          </w:p>
        </w:tc>
      </w:tr>
      <w:tr w:rsidR="00065A10" w14:paraId="45135588" w14:textId="77777777" w:rsidTr="00D6070D">
        <w:trPr>
          <w:trHeight w:val="340"/>
          <w:jc w:val="center"/>
        </w:trPr>
        <w:tc>
          <w:tcPr>
            <w:tcW w:w="400" w:type="pct"/>
            <w:tcBorders>
              <w:top w:val="nil"/>
              <w:left w:val="single" w:sz="4" w:space="0" w:color="auto"/>
              <w:bottom w:val="single" w:sz="4" w:space="0" w:color="auto"/>
              <w:right w:val="nil"/>
            </w:tcBorders>
            <w:noWrap/>
            <w:vAlign w:val="bottom"/>
            <w:hideMark/>
          </w:tcPr>
          <w:p w14:paraId="1C9539E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 class</w:t>
            </w:r>
          </w:p>
        </w:tc>
        <w:tc>
          <w:tcPr>
            <w:tcW w:w="476" w:type="pct"/>
            <w:tcBorders>
              <w:top w:val="nil"/>
              <w:left w:val="single" w:sz="4" w:space="0" w:color="auto"/>
              <w:bottom w:val="single" w:sz="4" w:space="0" w:color="auto"/>
              <w:right w:val="single" w:sz="4" w:space="0" w:color="auto"/>
            </w:tcBorders>
            <w:noWrap/>
            <w:vAlign w:val="bottom"/>
            <w:hideMark/>
          </w:tcPr>
          <w:p w14:paraId="23DB9F79"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 param</w:t>
            </w:r>
          </w:p>
        </w:tc>
        <w:tc>
          <w:tcPr>
            <w:tcW w:w="515" w:type="pct"/>
            <w:tcBorders>
              <w:top w:val="nil"/>
              <w:left w:val="single" w:sz="4" w:space="0" w:color="auto"/>
              <w:bottom w:val="single" w:sz="4" w:space="0" w:color="auto"/>
              <w:right w:val="nil"/>
            </w:tcBorders>
            <w:noWrap/>
            <w:vAlign w:val="bottom"/>
            <w:hideMark/>
          </w:tcPr>
          <w:p w14:paraId="3B81BA27"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BIC</w:t>
            </w:r>
          </w:p>
        </w:tc>
        <w:tc>
          <w:tcPr>
            <w:tcW w:w="516" w:type="pct"/>
            <w:tcBorders>
              <w:top w:val="nil"/>
              <w:left w:val="nil"/>
              <w:bottom w:val="single" w:sz="4" w:space="0" w:color="auto"/>
              <w:right w:val="nil"/>
            </w:tcBorders>
            <w:noWrap/>
            <w:vAlign w:val="bottom"/>
            <w:hideMark/>
          </w:tcPr>
          <w:p w14:paraId="7ACF31CC"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LMR</w:t>
            </w:r>
          </w:p>
        </w:tc>
        <w:tc>
          <w:tcPr>
            <w:tcW w:w="516" w:type="pct"/>
            <w:tcBorders>
              <w:top w:val="nil"/>
              <w:left w:val="nil"/>
              <w:bottom w:val="single" w:sz="4" w:space="0" w:color="auto"/>
              <w:right w:val="nil"/>
            </w:tcBorders>
            <w:noWrap/>
            <w:vAlign w:val="bottom"/>
            <w:hideMark/>
          </w:tcPr>
          <w:p w14:paraId="79B651D2"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BLRT</w:t>
            </w:r>
          </w:p>
        </w:tc>
        <w:tc>
          <w:tcPr>
            <w:tcW w:w="516" w:type="pct"/>
            <w:tcBorders>
              <w:top w:val="nil"/>
              <w:left w:val="nil"/>
              <w:bottom w:val="single" w:sz="4" w:space="0" w:color="auto"/>
              <w:right w:val="single" w:sz="4" w:space="0" w:color="auto"/>
            </w:tcBorders>
            <w:noWrap/>
            <w:vAlign w:val="bottom"/>
            <w:hideMark/>
          </w:tcPr>
          <w:p w14:paraId="626DE916"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Entropy</w:t>
            </w:r>
          </w:p>
        </w:tc>
        <w:tc>
          <w:tcPr>
            <w:tcW w:w="516" w:type="pct"/>
            <w:tcBorders>
              <w:top w:val="nil"/>
              <w:left w:val="single" w:sz="4" w:space="0" w:color="auto"/>
              <w:bottom w:val="single" w:sz="4" w:space="0" w:color="auto"/>
              <w:right w:val="nil"/>
            </w:tcBorders>
            <w:vAlign w:val="bottom"/>
            <w:hideMark/>
          </w:tcPr>
          <w:p w14:paraId="2D93DE50"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BIC</w:t>
            </w:r>
          </w:p>
        </w:tc>
        <w:tc>
          <w:tcPr>
            <w:tcW w:w="516" w:type="pct"/>
            <w:tcBorders>
              <w:top w:val="nil"/>
              <w:left w:val="nil"/>
              <w:bottom w:val="single" w:sz="4" w:space="0" w:color="auto"/>
              <w:right w:val="nil"/>
            </w:tcBorders>
            <w:vAlign w:val="bottom"/>
            <w:hideMark/>
          </w:tcPr>
          <w:p w14:paraId="1CC47D6E"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LMR</w:t>
            </w:r>
          </w:p>
        </w:tc>
        <w:tc>
          <w:tcPr>
            <w:tcW w:w="516" w:type="pct"/>
            <w:tcBorders>
              <w:top w:val="nil"/>
              <w:left w:val="nil"/>
              <w:bottom w:val="single" w:sz="4" w:space="0" w:color="auto"/>
              <w:right w:val="nil"/>
            </w:tcBorders>
            <w:vAlign w:val="bottom"/>
            <w:hideMark/>
          </w:tcPr>
          <w:p w14:paraId="390C9AAF"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BLRT</w:t>
            </w:r>
          </w:p>
        </w:tc>
        <w:tc>
          <w:tcPr>
            <w:tcW w:w="516" w:type="pct"/>
            <w:tcBorders>
              <w:top w:val="nil"/>
              <w:left w:val="nil"/>
              <w:bottom w:val="single" w:sz="4" w:space="0" w:color="auto"/>
              <w:right w:val="single" w:sz="4" w:space="0" w:color="auto"/>
            </w:tcBorders>
            <w:vAlign w:val="bottom"/>
            <w:hideMark/>
          </w:tcPr>
          <w:p w14:paraId="33970E7B" w14:textId="77777777" w:rsidR="00065A10" w:rsidRDefault="00065A10" w:rsidP="00D6070D">
            <w:pPr>
              <w:spacing w:line="276" w:lineRule="auto"/>
              <w:jc w:val="center"/>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Entropy</w:t>
            </w:r>
          </w:p>
        </w:tc>
      </w:tr>
      <w:tr w:rsidR="00065A10" w14:paraId="45C7B0CD" w14:textId="77777777" w:rsidTr="00D6070D">
        <w:trPr>
          <w:trHeight w:val="312"/>
          <w:jc w:val="center"/>
        </w:trPr>
        <w:tc>
          <w:tcPr>
            <w:tcW w:w="400" w:type="pct"/>
            <w:tcBorders>
              <w:top w:val="nil"/>
              <w:left w:val="single" w:sz="4" w:space="0" w:color="auto"/>
              <w:bottom w:val="nil"/>
              <w:right w:val="nil"/>
            </w:tcBorders>
            <w:noWrap/>
            <w:vAlign w:val="bottom"/>
            <w:hideMark/>
          </w:tcPr>
          <w:p w14:paraId="11C51BE0"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2</w:t>
            </w:r>
          </w:p>
        </w:tc>
        <w:tc>
          <w:tcPr>
            <w:tcW w:w="476" w:type="pct"/>
            <w:tcBorders>
              <w:top w:val="nil"/>
              <w:left w:val="single" w:sz="4" w:space="0" w:color="auto"/>
              <w:bottom w:val="nil"/>
              <w:right w:val="single" w:sz="4" w:space="0" w:color="auto"/>
            </w:tcBorders>
            <w:noWrap/>
            <w:vAlign w:val="bottom"/>
            <w:hideMark/>
          </w:tcPr>
          <w:p w14:paraId="51CB0F34"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12</w:t>
            </w:r>
          </w:p>
        </w:tc>
        <w:tc>
          <w:tcPr>
            <w:tcW w:w="515" w:type="pct"/>
            <w:tcBorders>
              <w:top w:val="nil"/>
              <w:left w:val="single" w:sz="4" w:space="0" w:color="auto"/>
              <w:bottom w:val="nil"/>
              <w:right w:val="nil"/>
            </w:tcBorders>
            <w:noWrap/>
            <w:vAlign w:val="bottom"/>
            <w:hideMark/>
          </w:tcPr>
          <w:p w14:paraId="76132BE2"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18905.4</w:t>
            </w:r>
          </w:p>
        </w:tc>
        <w:tc>
          <w:tcPr>
            <w:tcW w:w="516" w:type="pct"/>
            <w:noWrap/>
            <w:vAlign w:val="bottom"/>
            <w:hideMark/>
          </w:tcPr>
          <w:p w14:paraId="58876FD1"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N/A</w:t>
            </w:r>
          </w:p>
        </w:tc>
        <w:tc>
          <w:tcPr>
            <w:tcW w:w="516" w:type="pct"/>
            <w:noWrap/>
            <w:vAlign w:val="bottom"/>
            <w:hideMark/>
          </w:tcPr>
          <w:p w14:paraId="5ED9825C"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N/A</w:t>
            </w:r>
          </w:p>
        </w:tc>
        <w:tc>
          <w:tcPr>
            <w:tcW w:w="516" w:type="pct"/>
            <w:tcBorders>
              <w:top w:val="nil"/>
              <w:left w:val="nil"/>
              <w:bottom w:val="nil"/>
              <w:right w:val="single" w:sz="4" w:space="0" w:color="auto"/>
            </w:tcBorders>
            <w:noWrap/>
            <w:vAlign w:val="bottom"/>
            <w:hideMark/>
          </w:tcPr>
          <w:p w14:paraId="596AF0A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0.724</w:t>
            </w:r>
          </w:p>
        </w:tc>
        <w:tc>
          <w:tcPr>
            <w:tcW w:w="516" w:type="pct"/>
            <w:tcBorders>
              <w:top w:val="nil"/>
              <w:left w:val="single" w:sz="4" w:space="0" w:color="auto"/>
              <w:bottom w:val="nil"/>
              <w:right w:val="nil"/>
            </w:tcBorders>
            <w:vAlign w:val="bottom"/>
            <w:hideMark/>
          </w:tcPr>
          <w:p w14:paraId="769FA383"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43659.3</w:t>
            </w:r>
          </w:p>
        </w:tc>
        <w:tc>
          <w:tcPr>
            <w:tcW w:w="516" w:type="pct"/>
            <w:vAlign w:val="bottom"/>
            <w:hideMark/>
          </w:tcPr>
          <w:p w14:paraId="6550DF29"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N/A</w:t>
            </w:r>
          </w:p>
        </w:tc>
        <w:tc>
          <w:tcPr>
            <w:tcW w:w="516" w:type="pct"/>
            <w:vAlign w:val="bottom"/>
            <w:hideMark/>
          </w:tcPr>
          <w:p w14:paraId="6A8E0A6C"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N/A</w:t>
            </w:r>
          </w:p>
        </w:tc>
        <w:tc>
          <w:tcPr>
            <w:tcW w:w="516" w:type="pct"/>
            <w:tcBorders>
              <w:top w:val="nil"/>
              <w:left w:val="nil"/>
              <w:bottom w:val="nil"/>
              <w:right w:val="single" w:sz="4" w:space="0" w:color="auto"/>
            </w:tcBorders>
            <w:vAlign w:val="bottom"/>
            <w:hideMark/>
          </w:tcPr>
          <w:p w14:paraId="6632CBF7"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0.625</w:t>
            </w:r>
          </w:p>
        </w:tc>
      </w:tr>
      <w:tr w:rsidR="00065A10" w14:paraId="0E494DC7" w14:textId="77777777" w:rsidTr="00D6070D">
        <w:trPr>
          <w:trHeight w:val="312"/>
          <w:jc w:val="center"/>
        </w:trPr>
        <w:tc>
          <w:tcPr>
            <w:tcW w:w="400" w:type="pct"/>
            <w:tcBorders>
              <w:top w:val="nil"/>
              <w:left w:val="single" w:sz="4" w:space="0" w:color="auto"/>
              <w:bottom w:val="nil"/>
              <w:right w:val="nil"/>
            </w:tcBorders>
            <w:noWrap/>
            <w:vAlign w:val="bottom"/>
            <w:hideMark/>
          </w:tcPr>
          <w:p w14:paraId="18D67BCC"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3</w:t>
            </w:r>
          </w:p>
        </w:tc>
        <w:tc>
          <w:tcPr>
            <w:tcW w:w="476" w:type="pct"/>
            <w:tcBorders>
              <w:top w:val="nil"/>
              <w:left w:val="single" w:sz="4" w:space="0" w:color="auto"/>
              <w:bottom w:val="nil"/>
              <w:right w:val="single" w:sz="4" w:space="0" w:color="auto"/>
            </w:tcBorders>
            <w:noWrap/>
            <w:vAlign w:val="bottom"/>
            <w:hideMark/>
          </w:tcPr>
          <w:p w14:paraId="7757F3FC"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17</w:t>
            </w:r>
          </w:p>
        </w:tc>
        <w:tc>
          <w:tcPr>
            <w:tcW w:w="515" w:type="pct"/>
            <w:tcBorders>
              <w:top w:val="nil"/>
              <w:left w:val="single" w:sz="4" w:space="0" w:color="auto"/>
              <w:bottom w:val="nil"/>
              <w:right w:val="nil"/>
            </w:tcBorders>
            <w:noWrap/>
            <w:vAlign w:val="bottom"/>
            <w:hideMark/>
          </w:tcPr>
          <w:p w14:paraId="0437F134"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18788.0</w:t>
            </w:r>
          </w:p>
        </w:tc>
        <w:tc>
          <w:tcPr>
            <w:tcW w:w="516" w:type="pct"/>
            <w:noWrap/>
            <w:vAlign w:val="bottom"/>
            <w:hideMark/>
          </w:tcPr>
          <w:p w14:paraId="712D05A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noWrap/>
            <w:vAlign w:val="bottom"/>
            <w:hideMark/>
          </w:tcPr>
          <w:p w14:paraId="673F70A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noWrap/>
            <w:vAlign w:val="bottom"/>
            <w:hideMark/>
          </w:tcPr>
          <w:p w14:paraId="07D17024"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0.753</w:t>
            </w:r>
          </w:p>
        </w:tc>
        <w:tc>
          <w:tcPr>
            <w:tcW w:w="516" w:type="pct"/>
            <w:tcBorders>
              <w:top w:val="nil"/>
              <w:left w:val="single" w:sz="4" w:space="0" w:color="auto"/>
              <w:bottom w:val="nil"/>
              <w:right w:val="nil"/>
            </w:tcBorders>
            <w:vAlign w:val="bottom"/>
            <w:hideMark/>
          </w:tcPr>
          <w:p w14:paraId="08C7D4C5"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43344.6</w:t>
            </w:r>
          </w:p>
        </w:tc>
        <w:tc>
          <w:tcPr>
            <w:tcW w:w="516" w:type="pct"/>
            <w:vAlign w:val="bottom"/>
            <w:hideMark/>
          </w:tcPr>
          <w:p w14:paraId="753A4C2D"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vAlign w:val="bottom"/>
            <w:hideMark/>
          </w:tcPr>
          <w:p w14:paraId="5889468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vAlign w:val="bottom"/>
            <w:hideMark/>
          </w:tcPr>
          <w:p w14:paraId="2564276D"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0.546</w:t>
            </w:r>
          </w:p>
        </w:tc>
      </w:tr>
      <w:tr w:rsidR="00065A10" w14:paraId="682589D3" w14:textId="77777777" w:rsidTr="00D6070D">
        <w:trPr>
          <w:trHeight w:val="312"/>
          <w:jc w:val="center"/>
        </w:trPr>
        <w:tc>
          <w:tcPr>
            <w:tcW w:w="400" w:type="pct"/>
            <w:tcBorders>
              <w:top w:val="nil"/>
              <w:left w:val="single" w:sz="4" w:space="0" w:color="auto"/>
              <w:bottom w:val="nil"/>
              <w:right w:val="nil"/>
            </w:tcBorders>
            <w:noWrap/>
            <w:vAlign w:val="bottom"/>
            <w:hideMark/>
          </w:tcPr>
          <w:p w14:paraId="2D398238"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4</w:t>
            </w:r>
          </w:p>
        </w:tc>
        <w:tc>
          <w:tcPr>
            <w:tcW w:w="476" w:type="pct"/>
            <w:tcBorders>
              <w:top w:val="nil"/>
              <w:left w:val="single" w:sz="4" w:space="0" w:color="auto"/>
              <w:bottom w:val="nil"/>
              <w:right w:val="single" w:sz="4" w:space="0" w:color="auto"/>
            </w:tcBorders>
            <w:noWrap/>
            <w:vAlign w:val="bottom"/>
            <w:hideMark/>
          </w:tcPr>
          <w:p w14:paraId="1245574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22</w:t>
            </w:r>
          </w:p>
        </w:tc>
        <w:tc>
          <w:tcPr>
            <w:tcW w:w="515" w:type="pct"/>
            <w:tcBorders>
              <w:top w:val="nil"/>
              <w:left w:val="single" w:sz="4" w:space="0" w:color="auto"/>
              <w:bottom w:val="nil"/>
              <w:right w:val="nil"/>
            </w:tcBorders>
            <w:noWrap/>
            <w:vAlign w:val="bottom"/>
            <w:hideMark/>
          </w:tcPr>
          <w:p w14:paraId="09328D8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18674.5</w:t>
            </w:r>
          </w:p>
        </w:tc>
        <w:tc>
          <w:tcPr>
            <w:tcW w:w="516" w:type="pct"/>
            <w:noWrap/>
            <w:vAlign w:val="bottom"/>
            <w:hideMark/>
          </w:tcPr>
          <w:p w14:paraId="736C06C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noWrap/>
            <w:vAlign w:val="bottom"/>
            <w:hideMark/>
          </w:tcPr>
          <w:p w14:paraId="124CC382"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noWrap/>
            <w:vAlign w:val="bottom"/>
            <w:hideMark/>
          </w:tcPr>
          <w:p w14:paraId="25F50328"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0.613</w:t>
            </w:r>
          </w:p>
        </w:tc>
        <w:tc>
          <w:tcPr>
            <w:tcW w:w="516" w:type="pct"/>
            <w:tcBorders>
              <w:top w:val="nil"/>
              <w:left w:val="single" w:sz="4" w:space="0" w:color="auto"/>
              <w:bottom w:val="nil"/>
              <w:right w:val="nil"/>
            </w:tcBorders>
            <w:vAlign w:val="bottom"/>
            <w:hideMark/>
          </w:tcPr>
          <w:p w14:paraId="4386E07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43180.3</w:t>
            </w:r>
          </w:p>
        </w:tc>
        <w:tc>
          <w:tcPr>
            <w:tcW w:w="516" w:type="pct"/>
            <w:vAlign w:val="bottom"/>
            <w:hideMark/>
          </w:tcPr>
          <w:p w14:paraId="285DDAEC"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vAlign w:val="bottom"/>
            <w:hideMark/>
          </w:tcPr>
          <w:p w14:paraId="33A45139"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vAlign w:val="bottom"/>
            <w:hideMark/>
          </w:tcPr>
          <w:p w14:paraId="41CCC81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0.523</w:t>
            </w:r>
          </w:p>
        </w:tc>
      </w:tr>
      <w:tr w:rsidR="00065A10" w14:paraId="22A5AA8F" w14:textId="77777777" w:rsidTr="00D6070D">
        <w:trPr>
          <w:trHeight w:val="312"/>
          <w:jc w:val="center"/>
        </w:trPr>
        <w:tc>
          <w:tcPr>
            <w:tcW w:w="400" w:type="pct"/>
            <w:tcBorders>
              <w:top w:val="nil"/>
              <w:left w:val="single" w:sz="4" w:space="0" w:color="auto"/>
              <w:bottom w:val="nil"/>
              <w:right w:val="nil"/>
            </w:tcBorders>
            <w:noWrap/>
            <w:vAlign w:val="bottom"/>
            <w:hideMark/>
          </w:tcPr>
          <w:p w14:paraId="03255194"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5</w:t>
            </w:r>
          </w:p>
        </w:tc>
        <w:tc>
          <w:tcPr>
            <w:tcW w:w="476" w:type="pct"/>
            <w:tcBorders>
              <w:top w:val="nil"/>
              <w:left w:val="single" w:sz="4" w:space="0" w:color="auto"/>
              <w:bottom w:val="nil"/>
              <w:right w:val="single" w:sz="4" w:space="0" w:color="auto"/>
            </w:tcBorders>
            <w:noWrap/>
            <w:vAlign w:val="bottom"/>
            <w:hideMark/>
          </w:tcPr>
          <w:p w14:paraId="49B739C9"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27</w:t>
            </w:r>
          </w:p>
        </w:tc>
        <w:tc>
          <w:tcPr>
            <w:tcW w:w="515" w:type="pct"/>
            <w:tcBorders>
              <w:top w:val="nil"/>
              <w:left w:val="single" w:sz="4" w:space="0" w:color="auto"/>
              <w:bottom w:val="nil"/>
              <w:right w:val="nil"/>
            </w:tcBorders>
            <w:noWrap/>
            <w:vAlign w:val="bottom"/>
            <w:hideMark/>
          </w:tcPr>
          <w:p w14:paraId="1530B582"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18607.1</w:t>
            </w:r>
          </w:p>
        </w:tc>
        <w:tc>
          <w:tcPr>
            <w:tcW w:w="516" w:type="pct"/>
            <w:noWrap/>
            <w:vAlign w:val="bottom"/>
            <w:hideMark/>
          </w:tcPr>
          <w:p w14:paraId="08AFEC69"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0.0001</w:t>
            </w:r>
          </w:p>
        </w:tc>
        <w:tc>
          <w:tcPr>
            <w:tcW w:w="516" w:type="pct"/>
            <w:noWrap/>
            <w:vAlign w:val="bottom"/>
            <w:hideMark/>
          </w:tcPr>
          <w:p w14:paraId="600D23C0"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noWrap/>
            <w:vAlign w:val="bottom"/>
            <w:hideMark/>
          </w:tcPr>
          <w:p w14:paraId="73217203"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0.655</w:t>
            </w:r>
          </w:p>
        </w:tc>
        <w:tc>
          <w:tcPr>
            <w:tcW w:w="516" w:type="pct"/>
            <w:tcBorders>
              <w:top w:val="nil"/>
              <w:left w:val="single" w:sz="4" w:space="0" w:color="auto"/>
              <w:bottom w:val="nil"/>
              <w:right w:val="nil"/>
            </w:tcBorders>
            <w:vAlign w:val="bottom"/>
            <w:hideMark/>
          </w:tcPr>
          <w:p w14:paraId="651FC131"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43029.7</w:t>
            </w:r>
          </w:p>
        </w:tc>
        <w:tc>
          <w:tcPr>
            <w:tcW w:w="516" w:type="pct"/>
            <w:vAlign w:val="bottom"/>
            <w:hideMark/>
          </w:tcPr>
          <w:p w14:paraId="0E43686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vAlign w:val="bottom"/>
            <w:hideMark/>
          </w:tcPr>
          <w:p w14:paraId="4B098EC3"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vAlign w:val="bottom"/>
            <w:hideMark/>
          </w:tcPr>
          <w:p w14:paraId="48B6AA07"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0.557</w:t>
            </w:r>
          </w:p>
        </w:tc>
      </w:tr>
      <w:tr w:rsidR="00065A10" w14:paraId="17A2C5B8" w14:textId="77777777" w:rsidTr="00D6070D">
        <w:trPr>
          <w:trHeight w:val="312"/>
          <w:jc w:val="center"/>
        </w:trPr>
        <w:tc>
          <w:tcPr>
            <w:tcW w:w="400" w:type="pct"/>
            <w:tcBorders>
              <w:top w:val="nil"/>
              <w:left w:val="single" w:sz="4" w:space="0" w:color="auto"/>
              <w:bottom w:val="nil"/>
              <w:right w:val="nil"/>
            </w:tcBorders>
            <w:noWrap/>
            <w:vAlign w:val="bottom"/>
            <w:hideMark/>
          </w:tcPr>
          <w:p w14:paraId="488CE58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6</w:t>
            </w:r>
          </w:p>
        </w:tc>
        <w:tc>
          <w:tcPr>
            <w:tcW w:w="476" w:type="pct"/>
            <w:tcBorders>
              <w:top w:val="nil"/>
              <w:left w:val="single" w:sz="4" w:space="0" w:color="auto"/>
              <w:bottom w:val="nil"/>
              <w:right w:val="single" w:sz="4" w:space="0" w:color="auto"/>
            </w:tcBorders>
            <w:noWrap/>
            <w:vAlign w:val="bottom"/>
            <w:hideMark/>
          </w:tcPr>
          <w:p w14:paraId="604E1AA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32</w:t>
            </w:r>
          </w:p>
        </w:tc>
        <w:tc>
          <w:tcPr>
            <w:tcW w:w="515" w:type="pct"/>
            <w:tcBorders>
              <w:top w:val="nil"/>
              <w:left w:val="single" w:sz="4" w:space="0" w:color="auto"/>
              <w:bottom w:val="nil"/>
              <w:right w:val="nil"/>
            </w:tcBorders>
            <w:noWrap/>
            <w:vAlign w:val="bottom"/>
            <w:hideMark/>
          </w:tcPr>
          <w:p w14:paraId="2F612B65"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18617.7</w:t>
            </w:r>
          </w:p>
        </w:tc>
        <w:tc>
          <w:tcPr>
            <w:tcW w:w="516" w:type="pct"/>
            <w:noWrap/>
            <w:vAlign w:val="bottom"/>
            <w:hideMark/>
          </w:tcPr>
          <w:p w14:paraId="3DCA9A68"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0.2191</w:t>
            </w:r>
          </w:p>
        </w:tc>
        <w:tc>
          <w:tcPr>
            <w:tcW w:w="516" w:type="pct"/>
            <w:noWrap/>
            <w:vAlign w:val="bottom"/>
            <w:hideMark/>
          </w:tcPr>
          <w:p w14:paraId="20926405"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noWrap/>
            <w:vAlign w:val="bottom"/>
            <w:hideMark/>
          </w:tcPr>
          <w:p w14:paraId="2B13DE4C"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0.638</w:t>
            </w:r>
          </w:p>
        </w:tc>
        <w:tc>
          <w:tcPr>
            <w:tcW w:w="516" w:type="pct"/>
            <w:tcBorders>
              <w:top w:val="nil"/>
              <w:left w:val="single" w:sz="4" w:space="0" w:color="auto"/>
              <w:bottom w:val="nil"/>
              <w:right w:val="nil"/>
            </w:tcBorders>
            <w:vAlign w:val="bottom"/>
            <w:hideMark/>
          </w:tcPr>
          <w:p w14:paraId="3443D237"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43013.1</w:t>
            </w:r>
          </w:p>
        </w:tc>
        <w:tc>
          <w:tcPr>
            <w:tcW w:w="516" w:type="pct"/>
            <w:vAlign w:val="bottom"/>
            <w:hideMark/>
          </w:tcPr>
          <w:p w14:paraId="28E46232"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0.0353</w:t>
            </w:r>
          </w:p>
        </w:tc>
        <w:tc>
          <w:tcPr>
            <w:tcW w:w="516" w:type="pct"/>
            <w:vAlign w:val="bottom"/>
            <w:hideMark/>
          </w:tcPr>
          <w:p w14:paraId="5C97E650"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nil"/>
              <w:right w:val="single" w:sz="4" w:space="0" w:color="auto"/>
            </w:tcBorders>
            <w:vAlign w:val="bottom"/>
            <w:hideMark/>
          </w:tcPr>
          <w:p w14:paraId="4A6B763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0.534</w:t>
            </w:r>
          </w:p>
        </w:tc>
      </w:tr>
      <w:tr w:rsidR="00065A10" w14:paraId="07476305" w14:textId="77777777" w:rsidTr="00D6070D">
        <w:trPr>
          <w:trHeight w:val="312"/>
          <w:jc w:val="center"/>
        </w:trPr>
        <w:tc>
          <w:tcPr>
            <w:tcW w:w="400" w:type="pct"/>
            <w:tcBorders>
              <w:top w:val="nil"/>
              <w:left w:val="single" w:sz="4" w:space="0" w:color="auto"/>
              <w:bottom w:val="single" w:sz="4" w:space="0" w:color="auto"/>
              <w:right w:val="nil"/>
            </w:tcBorders>
            <w:noWrap/>
            <w:vAlign w:val="bottom"/>
            <w:hideMark/>
          </w:tcPr>
          <w:p w14:paraId="5A87DDFD"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7</w:t>
            </w:r>
          </w:p>
        </w:tc>
        <w:tc>
          <w:tcPr>
            <w:tcW w:w="476" w:type="pct"/>
            <w:tcBorders>
              <w:top w:val="nil"/>
              <w:left w:val="single" w:sz="4" w:space="0" w:color="auto"/>
              <w:bottom w:val="single" w:sz="4" w:space="0" w:color="auto"/>
              <w:right w:val="single" w:sz="4" w:space="0" w:color="auto"/>
            </w:tcBorders>
            <w:noWrap/>
            <w:vAlign w:val="bottom"/>
            <w:hideMark/>
          </w:tcPr>
          <w:p w14:paraId="295C0AF4"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37</w:t>
            </w:r>
          </w:p>
        </w:tc>
        <w:tc>
          <w:tcPr>
            <w:tcW w:w="515" w:type="pct"/>
            <w:tcBorders>
              <w:top w:val="nil"/>
              <w:left w:val="single" w:sz="4" w:space="0" w:color="auto"/>
              <w:bottom w:val="single" w:sz="4" w:space="0" w:color="auto"/>
              <w:right w:val="nil"/>
            </w:tcBorders>
            <w:noWrap/>
            <w:vAlign w:val="bottom"/>
            <w:hideMark/>
          </w:tcPr>
          <w:p w14:paraId="4B1CF686"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18635.7</w:t>
            </w:r>
          </w:p>
        </w:tc>
        <w:tc>
          <w:tcPr>
            <w:tcW w:w="516" w:type="pct"/>
            <w:tcBorders>
              <w:top w:val="nil"/>
              <w:left w:val="nil"/>
              <w:bottom w:val="single" w:sz="4" w:space="0" w:color="auto"/>
              <w:right w:val="nil"/>
            </w:tcBorders>
            <w:noWrap/>
            <w:vAlign w:val="bottom"/>
            <w:hideMark/>
          </w:tcPr>
          <w:p w14:paraId="312A6240"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0.3152</w:t>
            </w:r>
          </w:p>
        </w:tc>
        <w:tc>
          <w:tcPr>
            <w:tcW w:w="516" w:type="pct"/>
            <w:tcBorders>
              <w:top w:val="nil"/>
              <w:left w:val="nil"/>
              <w:bottom w:val="single" w:sz="4" w:space="0" w:color="auto"/>
              <w:right w:val="nil"/>
            </w:tcBorders>
            <w:noWrap/>
            <w:vAlign w:val="bottom"/>
            <w:hideMark/>
          </w:tcPr>
          <w:p w14:paraId="4207F67C"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0.9920</w:t>
            </w:r>
          </w:p>
        </w:tc>
        <w:tc>
          <w:tcPr>
            <w:tcW w:w="516" w:type="pct"/>
            <w:tcBorders>
              <w:top w:val="nil"/>
              <w:left w:val="nil"/>
              <w:bottom w:val="single" w:sz="4" w:space="0" w:color="auto"/>
              <w:right w:val="single" w:sz="4" w:space="0" w:color="auto"/>
            </w:tcBorders>
            <w:noWrap/>
            <w:vAlign w:val="bottom"/>
            <w:hideMark/>
          </w:tcPr>
          <w:p w14:paraId="4687C698"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0.626</w:t>
            </w:r>
          </w:p>
        </w:tc>
        <w:tc>
          <w:tcPr>
            <w:tcW w:w="516" w:type="pct"/>
            <w:tcBorders>
              <w:top w:val="nil"/>
              <w:left w:val="single" w:sz="4" w:space="0" w:color="auto"/>
              <w:bottom w:val="single" w:sz="4" w:space="0" w:color="auto"/>
              <w:right w:val="nil"/>
            </w:tcBorders>
            <w:vAlign w:val="bottom"/>
            <w:hideMark/>
          </w:tcPr>
          <w:p w14:paraId="61DA7D00"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43025.9</w:t>
            </w:r>
          </w:p>
        </w:tc>
        <w:tc>
          <w:tcPr>
            <w:tcW w:w="516" w:type="pct"/>
            <w:tcBorders>
              <w:top w:val="nil"/>
              <w:left w:val="nil"/>
              <w:bottom w:val="single" w:sz="4" w:space="0" w:color="auto"/>
              <w:right w:val="nil"/>
            </w:tcBorders>
            <w:vAlign w:val="bottom"/>
            <w:hideMark/>
          </w:tcPr>
          <w:p w14:paraId="15FA434B"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0.0570</w:t>
            </w:r>
          </w:p>
        </w:tc>
        <w:tc>
          <w:tcPr>
            <w:tcW w:w="516" w:type="pct"/>
            <w:tcBorders>
              <w:top w:val="nil"/>
              <w:left w:val="nil"/>
              <w:bottom w:val="single" w:sz="4" w:space="0" w:color="auto"/>
              <w:right w:val="nil"/>
            </w:tcBorders>
            <w:vAlign w:val="bottom"/>
            <w:hideMark/>
          </w:tcPr>
          <w:p w14:paraId="3CF44300"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&lt; 0.0001</w:t>
            </w:r>
          </w:p>
        </w:tc>
        <w:tc>
          <w:tcPr>
            <w:tcW w:w="516" w:type="pct"/>
            <w:tcBorders>
              <w:top w:val="nil"/>
              <w:left w:val="nil"/>
              <w:bottom w:val="single" w:sz="4" w:space="0" w:color="auto"/>
              <w:right w:val="single" w:sz="4" w:space="0" w:color="auto"/>
            </w:tcBorders>
            <w:vAlign w:val="bottom"/>
            <w:hideMark/>
          </w:tcPr>
          <w:p w14:paraId="01BB3E08" w14:textId="77777777" w:rsidR="00065A10" w:rsidRDefault="00065A10" w:rsidP="00D6070D">
            <w:pPr>
              <w:spacing w:line="276" w:lineRule="auto"/>
              <w:rPr>
                <w:rFonts w:asciiTheme="minorHAnsi" w:hAnsiTheme="minorHAnsi" w:cstheme="minorHAnsi"/>
                <w:color w:val="000000"/>
                <w:sz w:val="20"/>
                <w:szCs w:val="20"/>
                <w:lang w:eastAsia="zh-CN"/>
              </w:rPr>
            </w:pPr>
            <w:r>
              <w:rPr>
                <w:rFonts w:asciiTheme="minorHAnsi" w:hAnsiTheme="minorHAnsi" w:cstheme="minorHAnsi"/>
                <w:color w:val="000000"/>
                <w:sz w:val="20"/>
                <w:szCs w:val="20"/>
                <w:lang w:eastAsia="zh-CN"/>
              </w:rPr>
              <w:t>0.548</w:t>
            </w:r>
          </w:p>
        </w:tc>
      </w:tr>
    </w:tbl>
    <w:p w14:paraId="58AE6D71" w14:textId="77777777" w:rsidR="00065A10" w:rsidRDefault="00065A10" w:rsidP="00065A10">
      <w:pPr>
        <w:spacing w:line="276" w:lineRule="auto"/>
        <w:rPr>
          <w:rFonts w:asciiTheme="minorHAnsi" w:hAnsiTheme="minorHAnsi" w:cstheme="minorHAnsi"/>
        </w:rPr>
      </w:pPr>
    </w:p>
    <w:p w14:paraId="36A9627B" w14:textId="77777777" w:rsidR="00065A10" w:rsidRDefault="00065A10" w:rsidP="00065A10">
      <w:pPr>
        <w:spacing w:after="120"/>
        <w:rPr>
          <w:rFonts w:ascii="Arial" w:hAnsi="Arial" w:cs="Arial"/>
          <w:sz w:val="20"/>
          <w:szCs w:val="20"/>
          <w:lang w:eastAsia="en-US"/>
        </w:rPr>
      </w:pPr>
      <w:r>
        <w:rPr>
          <w:rFonts w:ascii="Arial" w:hAnsi="Arial" w:cs="Arial"/>
          <w:i/>
          <w:sz w:val="20"/>
          <w:szCs w:val="20"/>
        </w:rPr>
        <w:t xml:space="preserve">Bayesian Information Criterion. </w:t>
      </w:r>
      <w:r>
        <w:rPr>
          <w:rFonts w:ascii="Arial" w:hAnsi="Arial" w:cs="Arial"/>
          <w:sz w:val="20"/>
          <w:szCs w:val="20"/>
        </w:rPr>
        <w:tab/>
        <w:t xml:space="preserve">The Bayesian Information Criterion (BIC) is the traditional fit statistic for comparing mixture models.  BIC will typically decrease and then increase following the incremental additional of classes.  Using this statistic, the model with the lowest BIC (or other models with BIC values in that vicinity) would be deemed optimal.  </w:t>
      </w:r>
    </w:p>
    <w:p w14:paraId="1B33DC75" w14:textId="77777777" w:rsidR="00065A10" w:rsidRDefault="00065A10" w:rsidP="00065A10">
      <w:pPr>
        <w:spacing w:after="120"/>
        <w:rPr>
          <w:rFonts w:ascii="Arial" w:hAnsi="Arial" w:cs="Arial"/>
          <w:sz w:val="20"/>
          <w:szCs w:val="20"/>
        </w:rPr>
      </w:pPr>
      <w:r>
        <w:rPr>
          <w:rFonts w:ascii="Arial" w:hAnsi="Arial" w:cs="Arial"/>
          <w:i/>
          <w:sz w:val="20"/>
          <w:szCs w:val="20"/>
        </w:rPr>
        <w:t xml:space="preserve">Entropy. </w:t>
      </w:r>
      <w:r>
        <w:rPr>
          <w:rFonts w:ascii="Arial" w:hAnsi="Arial" w:cs="Arial"/>
          <w:sz w:val="20"/>
          <w:szCs w:val="20"/>
        </w:rPr>
        <w:t xml:space="preserve">This is a measure of classification accuracy, and whilst it is generally of little use in determining the optimal model, it indicates the level of bias which one would expect were a standard three-step estimation to be performed.  </w:t>
      </w:r>
    </w:p>
    <w:p w14:paraId="2F9D2AD4" w14:textId="77777777" w:rsidR="00065A10" w:rsidRDefault="00065A10" w:rsidP="00065A10">
      <w:pPr>
        <w:spacing w:after="160" w:line="256" w:lineRule="auto"/>
        <w:jc w:val="left"/>
        <w:rPr>
          <w:rFonts w:ascii="Arial" w:hAnsi="Arial" w:cs="Arial"/>
          <w:sz w:val="20"/>
          <w:szCs w:val="20"/>
        </w:rPr>
      </w:pPr>
      <w:r>
        <w:rPr>
          <w:rFonts w:ascii="Arial" w:hAnsi="Arial" w:cs="Arial"/>
          <w:i/>
          <w:sz w:val="20"/>
          <w:szCs w:val="20"/>
        </w:rPr>
        <w:t>The Bootstrap Likelihood Ratio Test (BLRT) and the Lo-Mendell-Rubin (LMR) test statistics</w:t>
      </w:r>
      <w:r>
        <w:rPr>
          <w:rFonts w:ascii="Arial" w:hAnsi="Arial" w:cs="Arial"/>
          <w:sz w:val="20"/>
          <w:szCs w:val="20"/>
        </w:rPr>
        <w:t xml:space="preserve"> both assess change in model fit when adding an additional class. Here a high p-value for a k-class model indicates no substantial improvement in fit compared to the k-1 class solution.</w:t>
      </w:r>
    </w:p>
    <w:p w14:paraId="51C355E5" w14:textId="77777777" w:rsidR="00F12C92" w:rsidRDefault="00F12C92" w:rsidP="00F12C92">
      <w:pPr>
        <w:pStyle w:val="Heading2"/>
        <w:numPr>
          <w:ilvl w:val="0"/>
          <w:numId w:val="2"/>
        </w:numPr>
        <w:spacing w:line="276" w:lineRule="auto"/>
        <w:rPr>
          <w:rFonts w:asciiTheme="minorHAnsi" w:hAnsiTheme="minorHAnsi" w:cstheme="minorHAnsi"/>
        </w:rPr>
      </w:pPr>
      <w:r>
        <w:rPr>
          <w:rFonts w:asciiTheme="minorHAnsi" w:hAnsiTheme="minorHAnsi" w:cstheme="minorHAnsi"/>
        </w:rPr>
        <w:lastRenderedPageBreak/>
        <w:t>Deriving the sample</w:t>
      </w:r>
    </w:p>
    <w:p w14:paraId="4DC300B7" w14:textId="77777777" w:rsidR="00F12C92" w:rsidRDefault="00F12C92" w:rsidP="00F12C92"/>
    <w:p w14:paraId="4CFF541B" w14:textId="77777777" w:rsidR="00F12C92" w:rsidRDefault="00F12C92" w:rsidP="00F12C92">
      <w:pPr>
        <w:sectPr w:rsidR="00F12C92" w:rsidSect="0078645A">
          <w:pgSz w:w="11906" w:h="16838"/>
          <w:pgMar w:top="1440" w:right="1440" w:bottom="1440" w:left="1440" w:header="708" w:footer="708" w:gutter="0"/>
          <w:cols w:space="708"/>
          <w:docGrid w:linePitch="360"/>
        </w:sectPr>
      </w:pPr>
      <w:r>
        <w:rPr>
          <w:noProof/>
        </w:rPr>
        <w:drawing>
          <wp:inline distT="0" distB="0" distL="0" distR="0" wp14:anchorId="7A4A71A9" wp14:editId="14F76924">
            <wp:extent cx="3997960" cy="7802880"/>
            <wp:effectExtent l="0" t="0" r="254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0246" t="5753"/>
                    <a:stretch/>
                  </pic:blipFill>
                  <pic:spPr bwMode="auto">
                    <a:xfrm>
                      <a:off x="0" y="0"/>
                      <a:ext cx="3997960" cy="7802880"/>
                    </a:xfrm>
                    <a:prstGeom prst="rect">
                      <a:avLst/>
                    </a:prstGeom>
                    <a:noFill/>
                    <a:ln>
                      <a:noFill/>
                    </a:ln>
                    <a:extLst>
                      <a:ext uri="{53640926-AAD7-44D8-BBD7-CCE9431645EC}">
                        <a14:shadowObscured xmlns:a14="http://schemas.microsoft.com/office/drawing/2010/main"/>
                      </a:ext>
                    </a:extLst>
                  </pic:spPr>
                </pic:pic>
              </a:graphicData>
            </a:graphic>
          </wp:inline>
        </w:drawing>
      </w:r>
    </w:p>
    <w:p w14:paraId="6D429969" w14:textId="6DB138E5" w:rsidR="00856552" w:rsidRDefault="00856552" w:rsidP="00D6070D">
      <w:pPr>
        <w:pStyle w:val="Heading2"/>
        <w:numPr>
          <w:ilvl w:val="0"/>
          <w:numId w:val="2"/>
        </w:numPr>
        <w:spacing w:line="276" w:lineRule="auto"/>
        <w:rPr>
          <w:b/>
          <w:bCs/>
          <w:color w:val="auto"/>
          <w:sz w:val="24"/>
          <w:szCs w:val="24"/>
        </w:rPr>
      </w:pPr>
      <w:r w:rsidRPr="00030895">
        <w:rPr>
          <w:rFonts w:asciiTheme="minorHAnsi" w:hAnsiTheme="minorHAnsi" w:cstheme="minorHAnsi"/>
        </w:rPr>
        <w:lastRenderedPageBreak/>
        <w:t>R</w:t>
      </w:r>
      <w:bookmarkEnd w:id="5"/>
      <w:r w:rsidRPr="00030895">
        <w:rPr>
          <w:rFonts w:asciiTheme="minorHAnsi" w:hAnsiTheme="minorHAnsi" w:cstheme="minorHAnsi"/>
        </w:rPr>
        <w:t>isk profiles for adolescence, percentage of sample and cumulative risk score for complete case and imputed samples</w:t>
      </w:r>
    </w:p>
    <w:p w14:paraId="4476BCBF" w14:textId="77777777" w:rsidR="00030895" w:rsidRPr="00030895" w:rsidRDefault="00030895" w:rsidP="00030895"/>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3"/>
        <w:gridCol w:w="3144"/>
        <w:gridCol w:w="903"/>
        <w:gridCol w:w="1296"/>
        <w:gridCol w:w="903"/>
        <w:gridCol w:w="1291"/>
        <w:gridCol w:w="1090"/>
      </w:tblGrid>
      <w:tr w:rsidR="00856552" w14:paraId="2E6D8A42" w14:textId="77777777" w:rsidTr="00856552">
        <w:trPr>
          <w:trHeight w:val="300"/>
        </w:trPr>
        <w:tc>
          <w:tcPr>
            <w:tcW w:w="1333" w:type="dxa"/>
            <w:vMerge w:val="restart"/>
            <w:tcBorders>
              <w:top w:val="nil"/>
              <w:left w:val="nil"/>
              <w:bottom w:val="single" w:sz="4" w:space="0" w:color="auto"/>
              <w:right w:val="nil"/>
            </w:tcBorders>
            <w:vAlign w:val="center"/>
            <w:hideMark/>
          </w:tcPr>
          <w:p w14:paraId="2F043420" w14:textId="77777777" w:rsidR="00856552" w:rsidRDefault="00856552">
            <w:pPr>
              <w:jc w:val="left"/>
              <w:rPr>
                <w:sz w:val="20"/>
                <w:szCs w:val="20"/>
              </w:rPr>
            </w:pPr>
            <w:bookmarkStart w:id="6" w:name="_Hlk44404958"/>
            <w:r>
              <w:rPr>
                <w:b/>
                <w:bCs/>
                <w:sz w:val="20"/>
                <w:szCs w:val="20"/>
              </w:rPr>
              <w:t>Latent class</w:t>
            </w:r>
          </w:p>
        </w:tc>
        <w:tc>
          <w:tcPr>
            <w:tcW w:w="3143" w:type="dxa"/>
            <w:vMerge w:val="restart"/>
            <w:tcBorders>
              <w:top w:val="nil"/>
              <w:left w:val="nil"/>
              <w:bottom w:val="single" w:sz="4" w:space="0" w:color="auto"/>
              <w:right w:val="nil"/>
            </w:tcBorders>
            <w:vAlign w:val="center"/>
            <w:hideMark/>
          </w:tcPr>
          <w:p w14:paraId="4F508784" w14:textId="77777777" w:rsidR="00856552" w:rsidRDefault="00856552">
            <w:pPr>
              <w:jc w:val="center"/>
              <w:rPr>
                <w:b/>
                <w:bCs/>
                <w:sz w:val="20"/>
                <w:szCs w:val="20"/>
              </w:rPr>
            </w:pPr>
            <w:r>
              <w:rPr>
                <w:b/>
                <w:bCs/>
                <w:sz w:val="20"/>
                <w:szCs w:val="20"/>
              </w:rPr>
              <w:t>Risk profile</w:t>
            </w:r>
          </w:p>
        </w:tc>
        <w:tc>
          <w:tcPr>
            <w:tcW w:w="2197" w:type="dxa"/>
            <w:gridSpan w:val="2"/>
            <w:tcBorders>
              <w:top w:val="nil"/>
              <w:left w:val="nil"/>
              <w:bottom w:val="single" w:sz="4" w:space="0" w:color="auto"/>
              <w:right w:val="nil"/>
            </w:tcBorders>
            <w:hideMark/>
          </w:tcPr>
          <w:p w14:paraId="5F6BAF43" w14:textId="77777777" w:rsidR="00856552" w:rsidRDefault="00856552">
            <w:pPr>
              <w:jc w:val="center"/>
              <w:rPr>
                <w:b/>
                <w:bCs/>
                <w:sz w:val="20"/>
                <w:szCs w:val="20"/>
              </w:rPr>
            </w:pPr>
            <w:r>
              <w:rPr>
                <w:b/>
                <w:bCs/>
                <w:sz w:val="20"/>
                <w:szCs w:val="20"/>
              </w:rPr>
              <w:t>Complete case sample n=1,951</w:t>
            </w:r>
          </w:p>
        </w:tc>
        <w:tc>
          <w:tcPr>
            <w:tcW w:w="2192" w:type="dxa"/>
            <w:gridSpan w:val="2"/>
            <w:tcBorders>
              <w:top w:val="nil"/>
              <w:left w:val="nil"/>
              <w:bottom w:val="single" w:sz="4" w:space="0" w:color="auto"/>
              <w:right w:val="nil"/>
            </w:tcBorders>
            <w:hideMark/>
          </w:tcPr>
          <w:p w14:paraId="412F9527" w14:textId="77777777" w:rsidR="00856552" w:rsidRDefault="00856552">
            <w:pPr>
              <w:jc w:val="center"/>
              <w:rPr>
                <w:b/>
                <w:bCs/>
                <w:sz w:val="20"/>
                <w:szCs w:val="20"/>
              </w:rPr>
            </w:pPr>
            <w:r>
              <w:rPr>
                <w:b/>
                <w:bCs/>
                <w:sz w:val="20"/>
                <w:szCs w:val="20"/>
              </w:rPr>
              <w:t>Imputed Sample n=6,351</w:t>
            </w:r>
          </w:p>
        </w:tc>
        <w:tc>
          <w:tcPr>
            <w:tcW w:w="1089" w:type="dxa"/>
            <w:tcBorders>
              <w:top w:val="nil"/>
              <w:left w:val="nil"/>
              <w:bottom w:val="single" w:sz="4" w:space="0" w:color="auto"/>
              <w:right w:val="nil"/>
            </w:tcBorders>
            <w:hideMark/>
          </w:tcPr>
          <w:p w14:paraId="5979BDA7" w14:textId="77777777" w:rsidR="00856552" w:rsidRDefault="00856552">
            <w:pPr>
              <w:jc w:val="center"/>
              <w:rPr>
                <w:b/>
                <w:bCs/>
                <w:sz w:val="20"/>
                <w:szCs w:val="20"/>
              </w:rPr>
            </w:pPr>
            <w:r>
              <w:rPr>
                <w:b/>
                <w:bCs/>
                <w:sz w:val="20"/>
                <w:szCs w:val="20"/>
              </w:rPr>
              <w:t xml:space="preserve">Quartile </w:t>
            </w:r>
          </w:p>
        </w:tc>
      </w:tr>
      <w:tr w:rsidR="00856552" w14:paraId="7C4B7116" w14:textId="77777777" w:rsidTr="00856552">
        <w:trPr>
          <w:trHeight w:val="300"/>
        </w:trPr>
        <w:tc>
          <w:tcPr>
            <w:tcW w:w="1333" w:type="dxa"/>
            <w:vMerge/>
            <w:tcBorders>
              <w:top w:val="nil"/>
              <w:left w:val="nil"/>
              <w:bottom w:val="single" w:sz="4" w:space="0" w:color="auto"/>
              <w:right w:val="nil"/>
            </w:tcBorders>
            <w:vAlign w:val="center"/>
            <w:hideMark/>
          </w:tcPr>
          <w:p w14:paraId="3B5DD09B" w14:textId="77777777" w:rsidR="00856552" w:rsidRDefault="00856552">
            <w:pPr>
              <w:jc w:val="left"/>
              <w:rPr>
                <w:sz w:val="20"/>
                <w:szCs w:val="20"/>
              </w:rPr>
            </w:pPr>
          </w:p>
        </w:tc>
        <w:tc>
          <w:tcPr>
            <w:tcW w:w="3143" w:type="dxa"/>
            <w:vMerge/>
            <w:tcBorders>
              <w:top w:val="nil"/>
              <w:left w:val="nil"/>
              <w:bottom w:val="single" w:sz="4" w:space="0" w:color="auto"/>
              <w:right w:val="nil"/>
            </w:tcBorders>
            <w:vAlign w:val="center"/>
            <w:hideMark/>
          </w:tcPr>
          <w:p w14:paraId="1918A0DA" w14:textId="77777777" w:rsidR="00856552" w:rsidRDefault="00856552">
            <w:pPr>
              <w:jc w:val="left"/>
              <w:rPr>
                <w:b/>
                <w:bCs/>
                <w:sz w:val="20"/>
                <w:szCs w:val="20"/>
              </w:rPr>
            </w:pPr>
          </w:p>
        </w:tc>
        <w:tc>
          <w:tcPr>
            <w:tcW w:w="902" w:type="dxa"/>
            <w:tcBorders>
              <w:top w:val="single" w:sz="4" w:space="0" w:color="auto"/>
              <w:left w:val="nil"/>
              <w:bottom w:val="single" w:sz="4" w:space="0" w:color="auto"/>
              <w:right w:val="nil"/>
            </w:tcBorders>
            <w:hideMark/>
          </w:tcPr>
          <w:p w14:paraId="60DF9D2A" w14:textId="77777777" w:rsidR="00856552" w:rsidRDefault="00856552">
            <w:pPr>
              <w:jc w:val="left"/>
              <w:rPr>
                <w:sz w:val="20"/>
                <w:szCs w:val="20"/>
              </w:rPr>
            </w:pPr>
            <w:r>
              <w:rPr>
                <w:sz w:val="20"/>
                <w:szCs w:val="20"/>
              </w:rPr>
              <w:t>% of sample</w:t>
            </w:r>
          </w:p>
        </w:tc>
        <w:tc>
          <w:tcPr>
            <w:tcW w:w="1295" w:type="dxa"/>
            <w:tcBorders>
              <w:top w:val="single" w:sz="4" w:space="0" w:color="auto"/>
              <w:left w:val="nil"/>
              <w:bottom w:val="single" w:sz="4" w:space="0" w:color="auto"/>
              <w:right w:val="nil"/>
            </w:tcBorders>
            <w:hideMark/>
          </w:tcPr>
          <w:p w14:paraId="7D9D4984" w14:textId="77777777" w:rsidR="00856552" w:rsidRDefault="00856552">
            <w:pPr>
              <w:jc w:val="center"/>
              <w:rPr>
                <w:sz w:val="20"/>
                <w:szCs w:val="20"/>
              </w:rPr>
            </w:pPr>
            <w:r>
              <w:rPr>
                <w:sz w:val="20"/>
                <w:szCs w:val="20"/>
              </w:rPr>
              <w:t xml:space="preserve">Cumulative </w:t>
            </w:r>
          </w:p>
          <w:p w14:paraId="161A576C" w14:textId="77777777" w:rsidR="00856552" w:rsidRDefault="00856552">
            <w:pPr>
              <w:jc w:val="center"/>
              <w:rPr>
                <w:sz w:val="20"/>
                <w:szCs w:val="20"/>
              </w:rPr>
            </w:pPr>
            <w:r>
              <w:rPr>
                <w:sz w:val="20"/>
                <w:szCs w:val="20"/>
              </w:rPr>
              <w:t>score</w:t>
            </w:r>
          </w:p>
        </w:tc>
        <w:tc>
          <w:tcPr>
            <w:tcW w:w="902" w:type="dxa"/>
            <w:tcBorders>
              <w:top w:val="single" w:sz="4" w:space="0" w:color="auto"/>
              <w:left w:val="nil"/>
              <w:bottom w:val="single" w:sz="4" w:space="0" w:color="auto"/>
              <w:right w:val="nil"/>
            </w:tcBorders>
            <w:hideMark/>
          </w:tcPr>
          <w:p w14:paraId="0B98977D" w14:textId="77777777" w:rsidR="00856552" w:rsidRDefault="00856552">
            <w:pPr>
              <w:jc w:val="center"/>
              <w:rPr>
                <w:sz w:val="20"/>
                <w:szCs w:val="20"/>
              </w:rPr>
            </w:pPr>
            <w:r>
              <w:rPr>
                <w:sz w:val="20"/>
                <w:szCs w:val="20"/>
              </w:rPr>
              <w:t>% of sample</w:t>
            </w:r>
          </w:p>
        </w:tc>
        <w:tc>
          <w:tcPr>
            <w:tcW w:w="1290" w:type="dxa"/>
            <w:tcBorders>
              <w:top w:val="single" w:sz="4" w:space="0" w:color="auto"/>
              <w:left w:val="nil"/>
              <w:bottom w:val="single" w:sz="4" w:space="0" w:color="auto"/>
              <w:right w:val="nil"/>
            </w:tcBorders>
            <w:hideMark/>
          </w:tcPr>
          <w:p w14:paraId="77F8544C" w14:textId="77777777" w:rsidR="00856552" w:rsidRDefault="00856552">
            <w:pPr>
              <w:jc w:val="center"/>
              <w:rPr>
                <w:sz w:val="20"/>
                <w:szCs w:val="20"/>
              </w:rPr>
            </w:pPr>
            <w:r>
              <w:rPr>
                <w:sz w:val="20"/>
                <w:szCs w:val="20"/>
              </w:rPr>
              <w:t xml:space="preserve">Cumulative </w:t>
            </w:r>
          </w:p>
          <w:p w14:paraId="0CC6E92A" w14:textId="77777777" w:rsidR="00856552" w:rsidRDefault="00856552">
            <w:pPr>
              <w:jc w:val="center"/>
              <w:rPr>
                <w:sz w:val="20"/>
                <w:szCs w:val="20"/>
              </w:rPr>
            </w:pPr>
            <w:r>
              <w:rPr>
                <w:sz w:val="20"/>
                <w:szCs w:val="20"/>
              </w:rPr>
              <w:t>score</w:t>
            </w:r>
          </w:p>
        </w:tc>
        <w:tc>
          <w:tcPr>
            <w:tcW w:w="1089" w:type="dxa"/>
            <w:tcBorders>
              <w:top w:val="single" w:sz="4" w:space="0" w:color="auto"/>
              <w:left w:val="nil"/>
              <w:bottom w:val="single" w:sz="4" w:space="0" w:color="auto"/>
              <w:right w:val="nil"/>
            </w:tcBorders>
          </w:tcPr>
          <w:p w14:paraId="45EBA5FB" w14:textId="77777777" w:rsidR="00856552" w:rsidRDefault="00856552">
            <w:pPr>
              <w:jc w:val="left"/>
              <w:rPr>
                <w:sz w:val="20"/>
                <w:szCs w:val="20"/>
              </w:rPr>
            </w:pPr>
          </w:p>
        </w:tc>
      </w:tr>
      <w:tr w:rsidR="00856552" w14:paraId="78E4051C" w14:textId="77777777" w:rsidTr="00856552">
        <w:trPr>
          <w:trHeight w:val="300"/>
        </w:trPr>
        <w:tc>
          <w:tcPr>
            <w:tcW w:w="1333" w:type="dxa"/>
            <w:tcBorders>
              <w:top w:val="single" w:sz="4" w:space="0" w:color="auto"/>
              <w:left w:val="nil"/>
              <w:bottom w:val="nil"/>
              <w:right w:val="nil"/>
            </w:tcBorders>
            <w:hideMark/>
          </w:tcPr>
          <w:p w14:paraId="753E5033" w14:textId="77777777" w:rsidR="00856552" w:rsidRDefault="00856552">
            <w:pPr>
              <w:jc w:val="left"/>
              <w:rPr>
                <w:sz w:val="20"/>
                <w:szCs w:val="20"/>
              </w:rPr>
            </w:pPr>
            <w:r>
              <w:rPr>
                <w:sz w:val="20"/>
                <w:szCs w:val="20"/>
              </w:rPr>
              <w:t>Persistent</w:t>
            </w:r>
          </w:p>
          <w:p w14:paraId="7297B46D" w14:textId="77777777" w:rsidR="00856552" w:rsidRDefault="00856552">
            <w:pPr>
              <w:jc w:val="left"/>
              <w:rPr>
                <w:sz w:val="20"/>
                <w:szCs w:val="20"/>
              </w:rPr>
            </w:pPr>
            <w:r>
              <w:rPr>
                <w:sz w:val="20"/>
                <w:szCs w:val="20"/>
              </w:rPr>
              <w:t>high</w:t>
            </w:r>
          </w:p>
        </w:tc>
        <w:tc>
          <w:tcPr>
            <w:tcW w:w="3143" w:type="dxa"/>
            <w:tcBorders>
              <w:top w:val="single" w:sz="4" w:space="0" w:color="auto"/>
              <w:left w:val="nil"/>
              <w:bottom w:val="nil"/>
              <w:right w:val="nil"/>
            </w:tcBorders>
            <w:hideMark/>
          </w:tcPr>
          <w:p w14:paraId="40F1BC33" w14:textId="77777777" w:rsidR="00856552" w:rsidRDefault="00856552">
            <w:pPr>
              <w:jc w:val="left"/>
              <w:rPr>
                <w:sz w:val="20"/>
                <w:szCs w:val="20"/>
              </w:rPr>
            </w:pPr>
            <w:r>
              <w:rPr>
                <w:sz w:val="20"/>
                <w:szCs w:val="20"/>
              </w:rPr>
              <w:t>Consistently high tobacco use, obesity and physical inactivity across adolescence, high then slightly decreasing alcohol use and the highest and rapidly increasing sexual risk.</w:t>
            </w:r>
          </w:p>
        </w:tc>
        <w:tc>
          <w:tcPr>
            <w:tcW w:w="902" w:type="dxa"/>
            <w:tcBorders>
              <w:top w:val="single" w:sz="4" w:space="0" w:color="auto"/>
              <w:left w:val="nil"/>
              <w:bottom w:val="nil"/>
              <w:right w:val="nil"/>
            </w:tcBorders>
            <w:vAlign w:val="center"/>
            <w:hideMark/>
          </w:tcPr>
          <w:p w14:paraId="14CDBB15" w14:textId="77777777" w:rsidR="00856552" w:rsidRDefault="00856552">
            <w:pPr>
              <w:jc w:val="center"/>
              <w:rPr>
                <w:sz w:val="20"/>
                <w:szCs w:val="20"/>
              </w:rPr>
            </w:pPr>
            <w:r>
              <w:rPr>
                <w:sz w:val="20"/>
                <w:szCs w:val="20"/>
              </w:rPr>
              <w:t>10.5</w:t>
            </w:r>
          </w:p>
        </w:tc>
        <w:tc>
          <w:tcPr>
            <w:tcW w:w="1295" w:type="dxa"/>
            <w:tcBorders>
              <w:top w:val="single" w:sz="4" w:space="0" w:color="auto"/>
              <w:left w:val="nil"/>
              <w:bottom w:val="nil"/>
              <w:right w:val="nil"/>
            </w:tcBorders>
            <w:vAlign w:val="center"/>
            <w:hideMark/>
          </w:tcPr>
          <w:p w14:paraId="338EE434" w14:textId="77777777" w:rsidR="00856552" w:rsidRDefault="00856552">
            <w:pPr>
              <w:jc w:val="center"/>
              <w:rPr>
                <w:sz w:val="20"/>
                <w:szCs w:val="20"/>
              </w:rPr>
            </w:pPr>
            <w:r>
              <w:rPr>
                <w:sz w:val="20"/>
                <w:szCs w:val="20"/>
              </w:rPr>
              <w:t>17.6</w:t>
            </w:r>
          </w:p>
        </w:tc>
        <w:tc>
          <w:tcPr>
            <w:tcW w:w="902" w:type="dxa"/>
            <w:tcBorders>
              <w:top w:val="single" w:sz="4" w:space="0" w:color="auto"/>
              <w:left w:val="nil"/>
              <w:bottom w:val="nil"/>
              <w:right w:val="nil"/>
            </w:tcBorders>
            <w:vAlign w:val="center"/>
            <w:hideMark/>
          </w:tcPr>
          <w:p w14:paraId="0BD574FD" w14:textId="77777777" w:rsidR="00856552" w:rsidRDefault="00856552">
            <w:pPr>
              <w:jc w:val="center"/>
              <w:rPr>
                <w:sz w:val="20"/>
                <w:szCs w:val="20"/>
              </w:rPr>
            </w:pPr>
            <w:r>
              <w:rPr>
                <w:sz w:val="20"/>
                <w:szCs w:val="20"/>
              </w:rPr>
              <w:t>9.9</w:t>
            </w:r>
          </w:p>
        </w:tc>
        <w:tc>
          <w:tcPr>
            <w:tcW w:w="1290" w:type="dxa"/>
            <w:tcBorders>
              <w:top w:val="single" w:sz="4" w:space="0" w:color="auto"/>
              <w:left w:val="nil"/>
              <w:bottom w:val="nil"/>
              <w:right w:val="nil"/>
            </w:tcBorders>
            <w:vAlign w:val="center"/>
            <w:hideMark/>
          </w:tcPr>
          <w:p w14:paraId="16F5B613" w14:textId="77777777" w:rsidR="00856552" w:rsidRDefault="00856552">
            <w:pPr>
              <w:jc w:val="center"/>
              <w:rPr>
                <w:sz w:val="20"/>
                <w:szCs w:val="20"/>
              </w:rPr>
            </w:pPr>
            <w:r>
              <w:rPr>
                <w:sz w:val="20"/>
                <w:szCs w:val="20"/>
              </w:rPr>
              <w:t>18.9</w:t>
            </w:r>
          </w:p>
        </w:tc>
        <w:tc>
          <w:tcPr>
            <w:tcW w:w="1089" w:type="dxa"/>
            <w:tcBorders>
              <w:top w:val="single" w:sz="4" w:space="0" w:color="auto"/>
              <w:left w:val="nil"/>
              <w:bottom w:val="nil"/>
              <w:right w:val="nil"/>
            </w:tcBorders>
            <w:vAlign w:val="center"/>
            <w:hideMark/>
          </w:tcPr>
          <w:p w14:paraId="6B56B82A" w14:textId="77777777" w:rsidR="00856552" w:rsidRDefault="00856552">
            <w:pPr>
              <w:jc w:val="center"/>
              <w:rPr>
                <w:sz w:val="20"/>
                <w:szCs w:val="20"/>
              </w:rPr>
            </w:pPr>
            <w:r>
              <w:rPr>
                <w:sz w:val="20"/>
                <w:szCs w:val="20"/>
              </w:rPr>
              <w:t>4</w:t>
            </w:r>
          </w:p>
        </w:tc>
      </w:tr>
      <w:tr w:rsidR="00856552" w14:paraId="6EC5483E" w14:textId="77777777" w:rsidTr="00856552">
        <w:trPr>
          <w:trHeight w:val="300"/>
        </w:trPr>
        <w:tc>
          <w:tcPr>
            <w:tcW w:w="1333" w:type="dxa"/>
          </w:tcPr>
          <w:p w14:paraId="5EA50C10" w14:textId="77777777" w:rsidR="00856552" w:rsidRDefault="00856552">
            <w:pPr>
              <w:jc w:val="left"/>
              <w:rPr>
                <w:sz w:val="20"/>
                <w:szCs w:val="20"/>
              </w:rPr>
            </w:pPr>
          </w:p>
          <w:p w14:paraId="7CCCBC9E" w14:textId="77777777" w:rsidR="00856552" w:rsidRDefault="00856552">
            <w:pPr>
              <w:jc w:val="left"/>
              <w:rPr>
                <w:sz w:val="20"/>
                <w:szCs w:val="20"/>
              </w:rPr>
            </w:pPr>
            <w:r>
              <w:rPr>
                <w:sz w:val="20"/>
                <w:szCs w:val="20"/>
              </w:rPr>
              <w:t>Moderate</w:t>
            </w:r>
          </w:p>
          <w:p w14:paraId="556CEE6F" w14:textId="77777777" w:rsidR="00856552" w:rsidRDefault="00856552">
            <w:pPr>
              <w:jc w:val="left"/>
              <w:rPr>
                <w:sz w:val="20"/>
                <w:szCs w:val="20"/>
              </w:rPr>
            </w:pPr>
            <w:r>
              <w:rPr>
                <w:sz w:val="20"/>
                <w:szCs w:val="20"/>
              </w:rPr>
              <w:t>increasing</w:t>
            </w:r>
          </w:p>
        </w:tc>
        <w:tc>
          <w:tcPr>
            <w:tcW w:w="3143" w:type="dxa"/>
          </w:tcPr>
          <w:p w14:paraId="4F040E09" w14:textId="77777777" w:rsidR="00856552" w:rsidRDefault="00856552">
            <w:pPr>
              <w:jc w:val="left"/>
              <w:rPr>
                <w:sz w:val="20"/>
                <w:szCs w:val="20"/>
              </w:rPr>
            </w:pPr>
          </w:p>
          <w:p w14:paraId="699B56D1" w14:textId="77777777" w:rsidR="00856552" w:rsidRDefault="00856552">
            <w:pPr>
              <w:jc w:val="left"/>
              <w:rPr>
                <w:sz w:val="20"/>
                <w:szCs w:val="20"/>
              </w:rPr>
            </w:pPr>
            <w:r>
              <w:rPr>
                <w:sz w:val="20"/>
                <w:szCs w:val="20"/>
              </w:rPr>
              <w:t xml:space="preserve">Consistent increase in all exposures across adolescence, with slight drop off for alcohol use, </w:t>
            </w:r>
            <w:proofErr w:type="gramStart"/>
            <w:r>
              <w:rPr>
                <w:sz w:val="20"/>
                <w:szCs w:val="20"/>
              </w:rPr>
              <w:t>obesity</w:t>
            </w:r>
            <w:proofErr w:type="gramEnd"/>
            <w:r>
              <w:rPr>
                <w:sz w:val="20"/>
                <w:szCs w:val="20"/>
              </w:rPr>
              <w:t xml:space="preserve"> and physical inactivity at age 18 years.</w:t>
            </w:r>
          </w:p>
        </w:tc>
        <w:tc>
          <w:tcPr>
            <w:tcW w:w="902" w:type="dxa"/>
            <w:vAlign w:val="center"/>
            <w:hideMark/>
          </w:tcPr>
          <w:p w14:paraId="075E912E" w14:textId="77777777" w:rsidR="00856552" w:rsidRDefault="00856552">
            <w:pPr>
              <w:jc w:val="center"/>
              <w:rPr>
                <w:sz w:val="20"/>
                <w:szCs w:val="20"/>
              </w:rPr>
            </w:pPr>
            <w:r>
              <w:rPr>
                <w:sz w:val="20"/>
                <w:szCs w:val="20"/>
              </w:rPr>
              <w:t>7.5</w:t>
            </w:r>
          </w:p>
        </w:tc>
        <w:tc>
          <w:tcPr>
            <w:tcW w:w="1295" w:type="dxa"/>
            <w:vAlign w:val="center"/>
            <w:hideMark/>
          </w:tcPr>
          <w:p w14:paraId="51F451D9" w14:textId="77777777" w:rsidR="00856552" w:rsidRDefault="00856552">
            <w:pPr>
              <w:jc w:val="center"/>
              <w:rPr>
                <w:sz w:val="20"/>
                <w:szCs w:val="20"/>
              </w:rPr>
            </w:pPr>
            <w:r>
              <w:rPr>
                <w:sz w:val="20"/>
                <w:szCs w:val="20"/>
              </w:rPr>
              <w:t>13.1</w:t>
            </w:r>
          </w:p>
        </w:tc>
        <w:tc>
          <w:tcPr>
            <w:tcW w:w="902" w:type="dxa"/>
            <w:vAlign w:val="center"/>
            <w:hideMark/>
          </w:tcPr>
          <w:p w14:paraId="24F4DE41" w14:textId="77777777" w:rsidR="00856552" w:rsidRDefault="00856552">
            <w:pPr>
              <w:jc w:val="center"/>
              <w:rPr>
                <w:sz w:val="20"/>
                <w:szCs w:val="20"/>
              </w:rPr>
            </w:pPr>
            <w:r>
              <w:rPr>
                <w:sz w:val="20"/>
                <w:szCs w:val="20"/>
              </w:rPr>
              <w:t>8.6</w:t>
            </w:r>
          </w:p>
        </w:tc>
        <w:tc>
          <w:tcPr>
            <w:tcW w:w="1290" w:type="dxa"/>
            <w:vAlign w:val="center"/>
            <w:hideMark/>
          </w:tcPr>
          <w:p w14:paraId="60FF3715" w14:textId="77777777" w:rsidR="00856552" w:rsidRDefault="00856552">
            <w:pPr>
              <w:jc w:val="center"/>
              <w:rPr>
                <w:sz w:val="20"/>
                <w:szCs w:val="20"/>
              </w:rPr>
            </w:pPr>
            <w:r>
              <w:rPr>
                <w:sz w:val="20"/>
                <w:szCs w:val="20"/>
              </w:rPr>
              <w:t>14.2</w:t>
            </w:r>
          </w:p>
        </w:tc>
        <w:tc>
          <w:tcPr>
            <w:tcW w:w="1089" w:type="dxa"/>
            <w:vAlign w:val="center"/>
            <w:hideMark/>
          </w:tcPr>
          <w:p w14:paraId="39F107CE" w14:textId="77777777" w:rsidR="00856552" w:rsidRDefault="00856552">
            <w:pPr>
              <w:jc w:val="center"/>
              <w:rPr>
                <w:sz w:val="20"/>
                <w:szCs w:val="20"/>
              </w:rPr>
            </w:pPr>
            <w:r>
              <w:rPr>
                <w:sz w:val="20"/>
                <w:szCs w:val="20"/>
              </w:rPr>
              <w:t>4</w:t>
            </w:r>
          </w:p>
        </w:tc>
      </w:tr>
      <w:tr w:rsidR="00856552" w14:paraId="195AE68E" w14:textId="77777777" w:rsidTr="00856552">
        <w:trPr>
          <w:trHeight w:val="300"/>
        </w:trPr>
        <w:tc>
          <w:tcPr>
            <w:tcW w:w="1333" w:type="dxa"/>
          </w:tcPr>
          <w:p w14:paraId="21716DA2" w14:textId="77777777" w:rsidR="00856552" w:rsidRDefault="00856552">
            <w:pPr>
              <w:jc w:val="left"/>
              <w:rPr>
                <w:sz w:val="20"/>
                <w:szCs w:val="20"/>
              </w:rPr>
            </w:pPr>
          </w:p>
          <w:p w14:paraId="1787A41D" w14:textId="77777777" w:rsidR="00856552" w:rsidRDefault="00856552">
            <w:pPr>
              <w:jc w:val="left"/>
              <w:rPr>
                <w:sz w:val="20"/>
                <w:szCs w:val="20"/>
              </w:rPr>
            </w:pPr>
            <w:r>
              <w:rPr>
                <w:sz w:val="20"/>
                <w:szCs w:val="20"/>
              </w:rPr>
              <w:t>Persistent</w:t>
            </w:r>
          </w:p>
          <w:p w14:paraId="49AFB238" w14:textId="77777777" w:rsidR="00856552" w:rsidRDefault="00856552">
            <w:pPr>
              <w:jc w:val="left"/>
              <w:rPr>
                <w:sz w:val="20"/>
                <w:szCs w:val="20"/>
              </w:rPr>
            </w:pPr>
            <w:r>
              <w:rPr>
                <w:sz w:val="20"/>
                <w:szCs w:val="20"/>
              </w:rPr>
              <w:t>moderate</w:t>
            </w:r>
          </w:p>
        </w:tc>
        <w:tc>
          <w:tcPr>
            <w:tcW w:w="3143" w:type="dxa"/>
          </w:tcPr>
          <w:p w14:paraId="7454E555" w14:textId="77777777" w:rsidR="00856552" w:rsidRDefault="00856552">
            <w:pPr>
              <w:jc w:val="left"/>
              <w:rPr>
                <w:sz w:val="20"/>
                <w:szCs w:val="20"/>
              </w:rPr>
            </w:pPr>
          </w:p>
          <w:p w14:paraId="77EEE9A8" w14:textId="77777777" w:rsidR="00856552" w:rsidRDefault="00856552">
            <w:pPr>
              <w:jc w:val="left"/>
              <w:rPr>
                <w:sz w:val="20"/>
                <w:szCs w:val="20"/>
              </w:rPr>
            </w:pPr>
            <w:r>
              <w:rPr>
                <w:sz w:val="20"/>
                <w:szCs w:val="20"/>
              </w:rPr>
              <w:t>Consistently low tobacco and sexual risk across adolescence, consistently high physical inactivity, high but rapidly declining alcohol use and consistent moderate risk of obesity.</w:t>
            </w:r>
          </w:p>
        </w:tc>
        <w:tc>
          <w:tcPr>
            <w:tcW w:w="902" w:type="dxa"/>
            <w:vAlign w:val="center"/>
            <w:hideMark/>
          </w:tcPr>
          <w:p w14:paraId="2386D4EF" w14:textId="77777777" w:rsidR="00856552" w:rsidRDefault="00856552">
            <w:pPr>
              <w:jc w:val="center"/>
              <w:rPr>
                <w:sz w:val="20"/>
                <w:szCs w:val="20"/>
              </w:rPr>
            </w:pPr>
            <w:r>
              <w:rPr>
                <w:sz w:val="20"/>
                <w:szCs w:val="20"/>
              </w:rPr>
              <w:t>22.3</w:t>
            </w:r>
          </w:p>
        </w:tc>
        <w:tc>
          <w:tcPr>
            <w:tcW w:w="1295" w:type="dxa"/>
            <w:vAlign w:val="center"/>
            <w:hideMark/>
          </w:tcPr>
          <w:p w14:paraId="06A394E4" w14:textId="77777777" w:rsidR="00856552" w:rsidRDefault="00856552">
            <w:pPr>
              <w:jc w:val="center"/>
              <w:rPr>
                <w:sz w:val="20"/>
                <w:szCs w:val="20"/>
              </w:rPr>
            </w:pPr>
            <w:r>
              <w:rPr>
                <w:sz w:val="20"/>
                <w:szCs w:val="20"/>
              </w:rPr>
              <w:t>12.0</w:t>
            </w:r>
          </w:p>
        </w:tc>
        <w:tc>
          <w:tcPr>
            <w:tcW w:w="902" w:type="dxa"/>
            <w:vAlign w:val="center"/>
            <w:hideMark/>
          </w:tcPr>
          <w:p w14:paraId="4C93ADEB" w14:textId="77777777" w:rsidR="00856552" w:rsidRDefault="00856552">
            <w:pPr>
              <w:jc w:val="center"/>
              <w:rPr>
                <w:sz w:val="20"/>
                <w:szCs w:val="20"/>
              </w:rPr>
            </w:pPr>
            <w:r>
              <w:rPr>
                <w:sz w:val="20"/>
                <w:szCs w:val="20"/>
              </w:rPr>
              <w:t>23.3</w:t>
            </w:r>
          </w:p>
        </w:tc>
        <w:tc>
          <w:tcPr>
            <w:tcW w:w="1290" w:type="dxa"/>
            <w:vAlign w:val="center"/>
            <w:hideMark/>
          </w:tcPr>
          <w:p w14:paraId="5883E7F6" w14:textId="77777777" w:rsidR="00856552" w:rsidRDefault="00856552">
            <w:pPr>
              <w:jc w:val="center"/>
              <w:rPr>
                <w:sz w:val="20"/>
                <w:szCs w:val="20"/>
              </w:rPr>
            </w:pPr>
            <w:r>
              <w:rPr>
                <w:sz w:val="20"/>
                <w:szCs w:val="20"/>
              </w:rPr>
              <w:t>12.0</w:t>
            </w:r>
          </w:p>
        </w:tc>
        <w:tc>
          <w:tcPr>
            <w:tcW w:w="1089" w:type="dxa"/>
            <w:vAlign w:val="center"/>
            <w:hideMark/>
          </w:tcPr>
          <w:p w14:paraId="5766AF2B" w14:textId="77777777" w:rsidR="00856552" w:rsidRDefault="00856552">
            <w:pPr>
              <w:jc w:val="center"/>
              <w:rPr>
                <w:sz w:val="20"/>
                <w:szCs w:val="20"/>
              </w:rPr>
            </w:pPr>
            <w:r>
              <w:rPr>
                <w:sz w:val="20"/>
                <w:szCs w:val="20"/>
              </w:rPr>
              <w:t>3 or 4</w:t>
            </w:r>
          </w:p>
        </w:tc>
      </w:tr>
      <w:tr w:rsidR="00856552" w14:paraId="583186F9" w14:textId="77777777" w:rsidTr="00856552">
        <w:trPr>
          <w:trHeight w:val="300"/>
        </w:trPr>
        <w:tc>
          <w:tcPr>
            <w:tcW w:w="1333" w:type="dxa"/>
          </w:tcPr>
          <w:p w14:paraId="4F4B9892" w14:textId="77777777" w:rsidR="00856552" w:rsidRDefault="00856552">
            <w:pPr>
              <w:jc w:val="left"/>
              <w:rPr>
                <w:sz w:val="20"/>
                <w:szCs w:val="20"/>
              </w:rPr>
            </w:pPr>
          </w:p>
          <w:p w14:paraId="222901B7" w14:textId="77777777" w:rsidR="00856552" w:rsidRDefault="00856552">
            <w:pPr>
              <w:jc w:val="left"/>
              <w:rPr>
                <w:sz w:val="20"/>
                <w:szCs w:val="20"/>
              </w:rPr>
            </w:pPr>
            <w:r>
              <w:rPr>
                <w:sz w:val="20"/>
                <w:szCs w:val="20"/>
              </w:rPr>
              <w:t>Low</w:t>
            </w:r>
          </w:p>
          <w:p w14:paraId="1A3399CE" w14:textId="77777777" w:rsidR="00856552" w:rsidRDefault="00856552">
            <w:pPr>
              <w:jc w:val="left"/>
              <w:rPr>
                <w:sz w:val="20"/>
                <w:szCs w:val="20"/>
              </w:rPr>
            </w:pPr>
            <w:r>
              <w:rPr>
                <w:sz w:val="20"/>
                <w:szCs w:val="20"/>
              </w:rPr>
              <w:t>increasing</w:t>
            </w:r>
          </w:p>
        </w:tc>
        <w:tc>
          <w:tcPr>
            <w:tcW w:w="3143" w:type="dxa"/>
          </w:tcPr>
          <w:p w14:paraId="48A042E3" w14:textId="77777777" w:rsidR="00856552" w:rsidRDefault="00856552">
            <w:pPr>
              <w:jc w:val="left"/>
              <w:rPr>
                <w:sz w:val="20"/>
                <w:szCs w:val="20"/>
              </w:rPr>
            </w:pPr>
          </w:p>
          <w:p w14:paraId="4732CA24" w14:textId="77777777" w:rsidR="00856552" w:rsidRDefault="00856552">
            <w:pPr>
              <w:jc w:val="left"/>
              <w:rPr>
                <w:sz w:val="20"/>
                <w:szCs w:val="20"/>
              </w:rPr>
            </w:pPr>
            <w:r>
              <w:rPr>
                <w:sz w:val="20"/>
                <w:szCs w:val="20"/>
              </w:rPr>
              <w:t>Consistently low tobacco and obesity, rapid increase in alcohol use and physical inactivity at age 16 and 18 and moderate sexual risk from age 14.</w:t>
            </w:r>
          </w:p>
        </w:tc>
        <w:tc>
          <w:tcPr>
            <w:tcW w:w="902" w:type="dxa"/>
            <w:vAlign w:val="center"/>
            <w:hideMark/>
          </w:tcPr>
          <w:p w14:paraId="0281B274" w14:textId="77777777" w:rsidR="00856552" w:rsidRDefault="00856552">
            <w:pPr>
              <w:jc w:val="center"/>
              <w:rPr>
                <w:sz w:val="20"/>
                <w:szCs w:val="20"/>
              </w:rPr>
            </w:pPr>
            <w:r>
              <w:rPr>
                <w:sz w:val="20"/>
                <w:szCs w:val="20"/>
              </w:rPr>
              <w:t>13.6</w:t>
            </w:r>
          </w:p>
        </w:tc>
        <w:tc>
          <w:tcPr>
            <w:tcW w:w="1295" w:type="dxa"/>
            <w:vAlign w:val="center"/>
            <w:hideMark/>
          </w:tcPr>
          <w:p w14:paraId="44A7CAC8" w14:textId="77777777" w:rsidR="00856552" w:rsidRDefault="00856552">
            <w:pPr>
              <w:jc w:val="center"/>
              <w:rPr>
                <w:sz w:val="20"/>
                <w:szCs w:val="20"/>
              </w:rPr>
            </w:pPr>
            <w:r>
              <w:rPr>
                <w:sz w:val="20"/>
                <w:szCs w:val="20"/>
              </w:rPr>
              <w:t>8.5</w:t>
            </w:r>
          </w:p>
        </w:tc>
        <w:tc>
          <w:tcPr>
            <w:tcW w:w="902" w:type="dxa"/>
            <w:vAlign w:val="center"/>
            <w:hideMark/>
          </w:tcPr>
          <w:p w14:paraId="741B2ECD" w14:textId="77777777" w:rsidR="00856552" w:rsidRDefault="00856552">
            <w:pPr>
              <w:jc w:val="center"/>
              <w:rPr>
                <w:sz w:val="20"/>
                <w:szCs w:val="20"/>
              </w:rPr>
            </w:pPr>
            <w:r>
              <w:rPr>
                <w:sz w:val="20"/>
                <w:szCs w:val="20"/>
              </w:rPr>
              <w:t>11.3</w:t>
            </w:r>
          </w:p>
        </w:tc>
        <w:tc>
          <w:tcPr>
            <w:tcW w:w="1290" w:type="dxa"/>
            <w:vAlign w:val="center"/>
            <w:hideMark/>
          </w:tcPr>
          <w:p w14:paraId="51DF5EA4" w14:textId="77777777" w:rsidR="00856552" w:rsidRDefault="00856552">
            <w:pPr>
              <w:jc w:val="center"/>
              <w:rPr>
                <w:sz w:val="20"/>
                <w:szCs w:val="20"/>
              </w:rPr>
            </w:pPr>
            <w:r>
              <w:rPr>
                <w:sz w:val="20"/>
                <w:szCs w:val="20"/>
              </w:rPr>
              <w:t>8.4</w:t>
            </w:r>
          </w:p>
        </w:tc>
        <w:tc>
          <w:tcPr>
            <w:tcW w:w="1089" w:type="dxa"/>
            <w:vAlign w:val="center"/>
            <w:hideMark/>
          </w:tcPr>
          <w:p w14:paraId="013E9046" w14:textId="77777777" w:rsidR="00856552" w:rsidRDefault="00856552">
            <w:pPr>
              <w:jc w:val="center"/>
              <w:rPr>
                <w:sz w:val="20"/>
                <w:szCs w:val="20"/>
              </w:rPr>
            </w:pPr>
            <w:r>
              <w:rPr>
                <w:sz w:val="20"/>
                <w:szCs w:val="20"/>
              </w:rPr>
              <w:t>2 or 3</w:t>
            </w:r>
          </w:p>
        </w:tc>
      </w:tr>
      <w:tr w:rsidR="00856552" w14:paraId="4D4A421E" w14:textId="77777777" w:rsidTr="00856552">
        <w:trPr>
          <w:trHeight w:val="300"/>
        </w:trPr>
        <w:tc>
          <w:tcPr>
            <w:tcW w:w="1333" w:type="dxa"/>
          </w:tcPr>
          <w:p w14:paraId="7F13EB7A" w14:textId="77777777" w:rsidR="00856552" w:rsidRDefault="00856552">
            <w:pPr>
              <w:jc w:val="left"/>
              <w:rPr>
                <w:sz w:val="20"/>
                <w:szCs w:val="20"/>
              </w:rPr>
            </w:pPr>
          </w:p>
          <w:p w14:paraId="3A3D97A3" w14:textId="77777777" w:rsidR="00856552" w:rsidRDefault="00856552">
            <w:pPr>
              <w:jc w:val="left"/>
              <w:rPr>
                <w:sz w:val="20"/>
                <w:szCs w:val="20"/>
              </w:rPr>
            </w:pPr>
            <w:r>
              <w:rPr>
                <w:sz w:val="20"/>
                <w:szCs w:val="20"/>
              </w:rPr>
              <w:t>Persistent</w:t>
            </w:r>
          </w:p>
          <w:p w14:paraId="67EF2CD7" w14:textId="77777777" w:rsidR="00856552" w:rsidRDefault="00856552">
            <w:pPr>
              <w:jc w:val="left"/>
              <w:rPr>
                <w:sz w:val="20"/>
                <w:szCs w:val="20"/>
              </w:rPr>
            </w:pPr>
            <w:r>
              <w:rPr>
                <w:sz w:val="20"/>
                <w:szCs w:val="20"/>
              </w:rPr>
              <w:t>low</w:t>
            </w:r>
          </w:p>
        </w:tc>
        <w:tc>
          <w:tcPr>
            <w:tcW w:w="3143" w:type="dxa"/>
          </w:tcPr>
          <w:p w14:paraId="5D983222" w14:textId="77777777" w:rsidR="00856552" w:rsidRDefault="00856552">
            <w:pPr>
              <w:jc w:val="left"/>
              <w:rPr>
                <w:sz w:val="20"/>
                <w:szCs w:val="20"/>
              </w:rPr>
            </w:pPr>
          </w:p>
          <w:p w14:paraId="32C8301F" w14:textId="77777777" w:rsidR="00856552" w:rsidRDefault="00856552">
            <w:pPr>
              <w:jc w:val="left"/>
              <w:rPr>
                <w:sz w:val="20"/>
                <w:szCs w:val="20"/>
              </w:rPr>
            </w:pPr>
            <w:r>
              <w:rPr>
                <w:sz w:val="20"/>
                <w:szCs w:val="20"/>
              </w:rPr>
              <w:t>Consistently low risk of all exposures across adolescence except physical inactivity.</w:t>
            </w:r>
          </w:p>
        </w:tc>
        <w:tc>
          <w:tcPr>
            <w:tcW w:w="902" w:type="dxa"/>
            <w:vAlign w:val="center"/>
            <w:hideMark/>
          </w:tcPr>
          <w:p w14:paraId="44EAF312" w14:textId="77777777" w:rsidR="00856552" w:rsidRDefault="00856552">
            <w:pPr>
              <w:jc w:val="center"/>
              <w:rPr>
                <w:sz w:val="20"/>
                <w:szCs w:val="20"/>
              </w:rPr>
            </w:pPr>
            <w:r>
              <w:rPr>
                <w:sz w:val="20"/>
                <w:szCs w:val="20"/>
              </w:rPr>
              <w:t>41</w:t>
            </w:r>
          </w:p>
        </w:tc>
        <w:tc>
          <w:tcPr>
            <w:tcW w:w="1295" w:type="dxa"/>
            <w:vAlign w:val="center"/>
            <w:hideMark/>
          </w:tcPr>
          <w:p w14:paraId="047BE344" w14:textId="77777777" w:rsidR="00856552" w:rsidRDefault="00856552">
            <w:pPr>
              <w:jc w:val="center"/>
              <w:rPr>
                <w:sz w:val="20"/>
                <w:szCs w:val="20"/>
              </w:rPr>
            </w:pPr>
            <w:r>
              <w:rPr>
                <w:sz w:val="20"/>
                <w:szCs w:val="20"/>
              </w:rPr>
              <w:t>7.0</w:t>
            </w:r>
          </w:p>
        </w:tc>
        <w:tc>
          <w:tcPr>
            <w:tcW w:w="902" w:type="dxa"/>
            <w:vAlign w:val="center"/>
            <w:hideMark/>
          </w:tcPr>
          <w:p w14:paraId="1FCA667F" w14:textId="77777777" w:rsidR="00856552" w:rsidRDefault="00856552">
            <w:pPr>
              <w:jc w:val="center"/>
              <w:rPr>
                <w:sz w:val="20"/>
                <w:szCs w:val="20"/>
              </w:rPr>
            </w:pPr>
            <w:r>
              <w:rPr>
                <w:sz w:val="20"/>
                <w:szCs w:val="20"/>
              </w:rPr>
              <w:t>41</w:t>
            </w:r>
          </w:p>
        </w:tc>
        <w:tc>
          <w:tcPr>
            <w:tcW w:w="1290" w:type="dxa"/>
            <w:vAlign w:val="center"/>
            <w:hideMark/>
          </w:tcPr>
          <w:p w14:paraId="32CAD1DB" w14:textId="77777777" w:rsidR="00856552" w:rsidRDefault="00856552">
            <w:pPr>
              <w:jc w:val="center"/>
              <w:rPr>
                <w:sz w:val="20"/>
                <w:szCs w:val="20"/>
              </w:rPr>
            </w:pPr>
            <w:r>
              <w:rPr>
                <w:sz w:val="20"/>
                <w:szCs w:val="20"/>
              </w:rPr>
              <w:t>6.9</w:t>
            </w:r>
          </w:p>
        </w:tc>
        <w:tc>
          <w:tcPr>
            <w:tcW w:w="1089" w:type="dxa"/>
            <w:vAlign w:val="center"/>
            <w:hideMark/>
          </w:tcPr>
          <w:p w14:paraId="29E18F7C" w14:textId="77777777" w:rsidR="00856552" w:rsidRDefault="00856552">
            <w:pPr>
              <w:jc w:val="center"/>
              <w:rPr>
                <w:sz w:val="20"/>
                <w:szCs w:val="20"/>
              </w:rPr>
            </w:pPr>
            <w:r>
              <w:rPr>
                <w:sz w:val="20"/>
                <w:szCs w:val="20"/>
              </w:rPr>
              <w:t>1 or 2</w:t>
            </w:r>
          </w:p>
        </w:tc>
      </w:tr>
      <w:tr w:rsidR="00856552" w14:paraId="3D43B361" w14:textId="77777777" w:rsidTr="00856552">
        <w:trPr>
          <w:trHeight w:val="300"/>
        </w:trPr>
        <w:tc>
          <w:tcPr>
            <w:tcW w:w="1333" w:type="dxa"/>
          </w:tcPr>
          <w:p w14:paraId="34D749F9" w14:textId="77777777" w:rsidR="00856552" w:rsidRDefault="00856552">
            <w:pPr>
              <w:jc w:val="left"/>
              <w:rPr>
                <w:sz w:val="20"/>
                <w:szCs w:val="20"/>
              </w:rPr>
            </w:pPr>
          </w:p>
          <w:p w14:paraId="423D9D77" w14:textId="77777777" w:rsidR="00856552" w:rsidRDefault="00856552">
            <w:pPr>
              <w:jc w:val="left"/>
              <w:rPr>
                <w:sz w:val="20"/>
                <w:szCs w:val="20"/>
              </w:rPr>
            </w:pPr>
            <w:r>
              <w:rPr>
                <w:sz w:val="20"/>
                <w:szCs w:val="20"/>
              </w:rPr>
              <w:t>Persistent</w:t>
            </w:r>
          </w:p>
          <w:p w14:paraId="50CEA70F" w14:textId="77777777" w:rsidR="00856552" w:rsidRDefault="00856552">
            <w:pPr>
              <w:jc w:val="left"/>
              <w:rPr>
                <w:sz w:val="20"/>
                <w:szCs w:val="20"/>
              </w:rPr>
            </w:pPr>
            <w:r>
              <w:rPr>
                <w:sz w:val="20"/>
                <w:szCs w:val="20"/>
              </w:rPr>
              <w:t>very low</w:t>
            </w:r>
          </w:p>
        </w:tc>
        <w:tc>
          <w:tcPr>
            <w:tcW w:w="3143" w:type="dxa"/>
          </w:tcPr>
          <w:p w14:paraId="22EBD992" w14:textId="77777777" w:rsidR="00856552" w:rsidRDefault="00856552">
            <w:pPr>
              <w:jc w:val="left"/>
              <w:rPr>
                <w:sz w:val="20"/>
                <w:szCs w:val="20"/>
              </w:rPr>
            </w:pPr>
          </w:p>
          <w:p w14:paraId="4D0677D3" w14:textId="77777777" w:rsidR="00856552" w:rsidRDefault="00856552">
            <w:pPr>
              <w:jc w:val="left"/>
              <w:rPr>
                <w:sz w:val="20"/>
                <w:szCs w:val="20"/>
              </w:rPr>
            </w:pPr>
            <w:r>
              <w:rPr>
                <w:sz w:val="20"/>
                <w:szCs w:val="20"/>
              </w:rPr>
              <w:t>Consistently very low risk of all exposures across adolescence.</w:t>
            </w:r>
          </w:p>
        </w:tc>
        <w:tc>
          <w:tcPr>
            <w:tcW w:w="902" w:type="dxa"/>
            <w:vAlign w:val="center"/>
            <w:hideMark/>
          </w:tcPr>
          <w:p w14:paraId="0C2FC5ED" w14:textId="77777777" w:rsidR="00856552" w:rsidRDefault="00856552">
            <w:pPr>
              <w:jc w:val="center"/>
              <w:rPr>
                <w:sz w:val="20"/>
                <w:szCs w:val="20"/>
              </w:rPr>
            </w:pPr>
            <w:r>
              <w:rPr>
                <w:sz w:val="20"/>
                <w:szCs w:val="20"/>
              </w:rPr>
              <w:t>5.2</w:t>
            </w:r>
          </w:p>
        </w:tc>
        <w:tc>
          <w:tcPr>
            <w:tcW w:w="1295" w:type="dxa"/>
            <w:vAlign w:val="center"/>
            <w:hideMark/>
          </w:tcPr>
          <w:p w14:paraId="1FC8DAA2" w14:textId="77777777" w:rsidR="00856552" w:rsidRDefault="00856552">
            <w:pPr>
              <w:jc w:val="center"/>
              <w:rPr>
                <w:sz w:val="20"/>
                <w:szCs w:val="20"/>
              </w:rPr>
            </w:pPr>
            <w:r>
              <w:rPr>
                <w:sz w:val="20"/>
                <w:szCs w:val="20"/>
              </w:rPr>
              <w:t>2.6</w:t>
            </w:r>
          </w:p>
        </w:tc>
        <w:tc>
          <w:tcPr>
            <w:tcW w:w="902" w:type="dxa"/>
            <w:vAlign w:val="center"/>
            <w:hideMark/>
          </w:tcPr>
          <w:p w14:paraId="777841E7" w14:textId="77777777" w:rsidR="00856552" w:rsidRDefault="00856552">
            <w:pPr>
              <w:jc w:val="center"/>
              <w:rPr>
                <w:sz w:val="20"/>
                <w:szCs w:val="20"/>
              </w:rPr>
            </w:pPr>
            <w:r>
              <w:rPr>
                <w:sz w:val="20"/>
                <w:szCs w:val="20"/>
              </w:rPr>
              <w:t>5.9</w:t>
            </w:r>
          </w:p>
        </w:tc>
        <w:tc>
          <w:tcPr>
            <w:tcW w:w="1290" w:type="dxa"/>
            <w:vAlign w:val="center"/>
            <w:hideMark/>
          </w:tcPr>
          <w:p w14:paraId="5B853EF1" w14:textId="77777777" w:rsidR="00856552" w:rsidRDefault="00856552">
            <w:pPr>
              <w:jc w:val="center"/>
              <w:rPr>
                <w:sz w:val="20"/>
                <w:szCs w:val="20"/>
              </w:rPr>
            </w:pPr>
            <w:r>
              <w:rPr>
                <w:sz w:val="20"/>
                <w:szCs w:val="20"/>
              </w:rPr>
              <w:t>2.2</w:t>
            </w:r>
          </w:p>
        </w:tc>
        <w:tc>
          <w:tcPr>
            <w:tcW w:w="1089" w:type="dxa"/>
            <w:vAlign w:val="center"/>
            <w:hideMark/>
          </w:tcPr>
          <w:p w14:paraId="21CC7F7D" w14:textId="77777777" w:rsidR="00856552" w:rsidRDefault="00856552">
            <w:pPr>
              <w:jc w:val="center"/>
              <w:rPr>
                <w:sz w:val="20"/>
                <w:szCs w:val="20"/>
              </w:rPr>
            </w:pPr>
            <w:r>
              <w:rPr>
                <w:sz w:val="20"/>
                <w:szCs w:val="20"/>
              </w:rPr>
              <w:t>1</w:t>
            </w:r>
          </w:p>
        </w:tc>
      </w:tr>
      <w:bookmarkEnd w:id="6"/>
    </w:tbl>
    <w:p w14:paraId="69456953" w14:textId="77777777" w:rsidR="00856552" w:rsidRDefault="00856552" w:rsidP="00856552">
      <w:pPr>
        <w:spacing w:line="480" w:lineRule="auto"/>
        <w:jc w:val="left"/>
      </w:pPr>
    </w:p>
    <w:p w14:paraId="268C9EE0" w14:textId="77777777" w:rsidR="00856552" w:rsidRDefault="00856552" w:rsidP="00856552">
      <w:pPr>
        <w:sectPr w:rsidR="00856552" w:rsidSect="00030895">
          <w:pgSz w:w="11906" w:h="16838"/>
          <w:pgMar w:top="1440" w:right="1440" w:bottom="1440" w:left="1440" w:header="708" w:footer="708" w:gutter="0"/>
          <w:cols w:space="708"/>
          <w:docGrid w:linePitch="360"/>
        </w:sectPr>
      </w:pPr>
    </w:p>
    <w:p w14:paraId="4670900C" w14:textId="77777777" w:rsidR="00D6070D" w:rsidRDefault="00D6070D" w:rsidP="00D6070D">
      <w:pPr>
        <w:pStyle w:val="Heading2"/>
        <w:numPr>
          <w:ilvl w:val="0"/>
          <w:numId w:val="2"/>
        </w:numPr>
        <w:spacing w:line="276" w:lineRule="auto"/>
        <w:rPr>
          <w:rFonts w:asciiTheme="minorHAnsi" w:hAnsiTheme="minorHAnsi" w:cstheme="minorHAnsi"/>
        </w:rPr>
      </w:pPr>
      <w:bookmarkStart w:id="7" w:name="_Ref30673002"/>
      <w:r w:rsidRPr="00E830CB">
        <w:rPr>
          <w:rFonts w:asciiTheme="minorHAnsi" w:hAnsiTheme="minorHAnsi" w:cstheme="minorHAnsi"/>
        </w:rPr>
        <w:lastRenderedPageBreak/>
        <w:t xml:space="preserve">Latent class trajectories </w:t>
      </w:r>
    </w:p>
    <w:p w14:paraId="67530688" w14:textId="77777777" w:rsidR="00D6070D" w:rsidRPr="00E830CB" w:rsidRDefault="00D6070D" w:rsidP="00D6070D"/>
    <w:p w14:paraId="772E7801" w14:textId="77777777" w:rsidR="00D6070D" w:rsidRPr="00E830CB" w:rsidRDefault="00D6070D" w:rsidP="00D6070D">
      <w:pPr>
        <w:spacing w:line="276" w:lineRule="auto"/>
        <w:rPr>
          <w:rFonts w:asciiTheme="minorHAnsi" w:hAnsiTheme="minorHAnsi" w:cstheme="minorHAnsi"/>
        </w:rPr>
      </w:pPr>
      <w:r w:rsidRPr="00E830CB">
        <w:rPr>
          <w:rFonts w:asciiTheme="minorHAnsi" w:hAnsiTheme="minorHAnsi" w:cstheme="minorHAnsi"/>
        </w:rPr>
        <w:t xml:space="preserve">These figures show the latent classes for the complete case and (imputed sample). The purple line refers to the persistent high class who represent 10.5% (9.9%) of the sample. The blue line is the moderate increasing class and represents 7.5% (8.6%). The green line refers to the persistent moderate class who represent 22.3% (23.3%) of the sample. The yellow, </w:t>
      </w:r>
      <w:proofErr w:type="gramStart"/>
      <w:r w:rsidRPr="00E830CB">
        <w:rPr>
          <w:rFonts w:asciiTheme="minorHAnsi" w:hAnsiTheme="minorHAnsi" w:cstheme="minorHAnsi"/>
        </w:rPr>
        <w:t>orange</w:t>
      </w:r>
      <w:proofErr w:type="gramEnd"/>
      <w:r w:rsidRPr="00E830CB">
        <w:rPr>
          <w:rFonts w:asciiTheme="minorHAnsi" w:hAnsiTheme="minorHAnsi" w:cstheme="minorHAnsi"/>
        </w:rPr>
        <w:t xml:space="preserve"> and red lines refer to the low increasing, persistent low and persistent very low classes and represent 13.6% (11.3%), 41% (41%) and 5.2% (5.9%) of the sample, respectively.</w:t>
      </w:r>
    </w:p>
    <w:p w14:paraId="4CBEAE15" w14:textId="77777777" w:rsidR="00D6070D" w:rsidRPr="00E830CB" w:rsidRDefault="00D6070D" w:rsidP="00D6070D">
      <w:pPr>
        <w:pStyle w:val="ListParagraph"/>
        <w:spacing w:line="276" w:lineRule="auto"/>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6974"/>
        <w:gridCol w:w="6974"/>
      </w:tblGrid>
      <w:tr w:rsidR="00D6070D" w14:paraId="50FCB9B7" w14:textId="77777777" w:rsidTr="00D6070D">
        <w:tc>
          <w:tcPr>
            <w:tcW w:w="6974" w:type="dxa"/>
          </w:tcPr>
          <w:p w14:paraId="4A292EE0" w14:textId="77777777" w:rsidR="00D6070D" w:rsidRDefault="00D6070D" w:rsidP="00D6070D">
            <w:pPr>
              <w:spacing w:line="276" w:lineRule="auto"/>
              <w:rPr>
                <w:rFonts w:asciiTheme="minorHAnsi" w:hAnsiTheme="minorHAnsi" w:cstheme="minorHAnsi"/>
              </w:rPr>
            </w:pPr>
            <w:r w:rsidRPr="00A4345D">
              <w:rPr>
                <w:rFonts w:asciiTheme="minorHAnsi" w:hAnsiTheme="minorHAnsi" w:cstheme="minorHAnsi"/>
                <w:noProof/>
              </w:rPr>
              <w:drawing>
                <wp:inline distT="0" distB="0" distL="0" distR="0" wp14:anchorId="24323532" wp14:editId="352F9555">
                  <wp:extent cx="4352544" cy="3094330"/>
                  <wp:effectExtent l="0" t="0" r="10160" b="11430"/>
                  <wp:docPr id="980265215" name="Chart 980265215">
                    <a:extLst xmlns:a="http://schemas.openxmlformats.org/drawingml/2006/main">
                      <a:ext uri="{FF2B5EF4-FFF2-40B4-BE49-F238E27FC236}">
                        <a16:creationId xmlns:a16="http://schemas.microsoft.com/office/drawing/2014/main" id="{52DF2616-369D-4C97-A8C7-F8E039CB71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6974" w:type="dxa"/>
          </w:tcPr>
          <w:p w14:paraId="28F819A6" w14:textId="77777777" w:rsidR="00D6070D" w:rsidRDefault="00D6070D" w:rsidP="00D6070D">
            <w:pPr>
              <w:spacing w:line="276" w:lineRule="auto"/>
              <w:rPr>
                <w:rFonts w:asciiTheme="minorHAnsi" w:hAnsiTheme="minorHAnsi" w:cstheme="minorHAnsi"/>
              </w:rPr>
            </w:pPr>
            <w:r w:rsidRPr="00A4345D">
              <w:rPr>
                <w:rFonts w:asciiTheme="minorHAnsi" w:hAnsiTheme="minorHAnsi" w:cstheme="minorHAnsi"/>
                <w:noProof/>
              </w:rPr>
              <w:drawing>
                <wp:inline distT="0" distB="0" distL="0" distR="0" wp14:anchorId="7D80B35E" wp14:editId="4D6E2704">
                  <wp:extent cx="4344670" cy="3116275"/>
                  <wp:effectExtent l="0" t="0" r="17780" b="8255"/>
                  <wp:docPr id="980265216" name="Chart 980265216">
                    <a:extLst xmlns:a="http://schemas.openxmlformats.org/drawingml/2006/main">
                      <a:ext uri="{FF2B5EF4-FFF2-40B4-BE49-F238E27FC236}">
                        <a16:creationId xmlns:a16="http://schemas.microsoft.com/office/drawing/2014/main" id="{52DF2616-369D-4C97-A8C7-F8E039CB71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A6D751B" w14:textId="77777777" w:rsidR="00D6070D" w:rsidRPr="00E830CB" w:rsidRDefault="00D6070D" w:rsidP="00D6070D"/>
    <w:p w14:paraId="10ADB5FE" w14:textId="77777777" w:rsidR="00D6070D" w:rsidRDefault="00D6070D" w:rsidP="00D6070D">
      <w:pPr>
        <w:pStyle w:val="Heading2"/>
        <w:spacing w:line="276" w:lineRule="auto"/>
        <w:ind w:left="720"/>
        <w:rPr>
          <w:rFonts w:asciiTheme="minorHAnsi" w:hAnsiTheme="minorHAnsi" w:cstheme="minorHAnsi"/>
        </w:rPr>
        <w:sectPr w:rsidR="00D6070D" w:rsidSect="00691C55">
          <w:pgSz w:w="16838" w:h="11906" w:orient="landscape"/>
          <w:pgMar w:top="1440" w:right="1440" w:bottom="1440" w:left="1440" w:header="708" w:footer="708" w:gutter="0"/>
          <w:cols w:space="708"/>
          <w:docGrid w:linePitch="360"/>
        </w:sectPr>
      </w:pPr>
    </w:p>
    <w:p w14:paraId="7F37AE56" w14:textId="6B3FAB9C" w:rsidR="00D6070D" w:rsidRPr="00A4345D" w:rsidRDefault="00D6070D" w:rsidP="00D6070D">
      <w:pPr>
        <w:pStyle w:val="Heading2"/>
        <w:numPr>
          <w:ilvl w:val="0"/>
          <w:numId w:val="2"/>
        </w:numPr>
        <w:spacing w:line="276" w:lineRule="auto"/>
        <w:rPr>
          <w:rFonts w:asciiTheme="minorHAnsi" w:hAnsiTheme="minorHAnsi" w:cstheme="minorHAnsi"/>
        </w:rPr>
      </w:pPr>
      <w:r w:rsidRPr="00A4345D">
        <w:rPr>
          <w:rFonts w:asciiTheme="minorHAnsi" w:hAnsiTheme="minorHAnsi" w:cstheme="minorHAnsi"/>
        </w:rPr>
        <w:lastRenderedPageBreak/>
        <w:t xml:space="preserve">Cross tabulation of cumulative risk score quartiles and proportion belonging to each of the latent classes </w:t>
      </w:r>
    </w:p>
    <w:p w14:paraId="16280BE3" w14:textId="77777777" w:rsidR="00D6070D" w:rsidRDefault="00D6070D" w:rsidP="00D6070D">
      <w:pPr>
        <w:spacing w:line="276" w:lineRule="auto"/>
        <w:rPr>
          <w:rFonts w:asciiTheme="minorHAnsi" w:hAnsiTheme="minorHAnsi" w:cstheme="minorHAnsi"/>
        </w:rPr>
      </w:pPr>
    </w:p>
    <w:p w14:paraId="195CB3A5" w14:textId="77777777" w:rsidR="00D6070D" w:rsidRDefault="00D6070D" w:rsidP="00D6070D">
      <w:pPr>
        <w:spacing w:line="276" w:lineRule="auto"/>
        <w:rPr>
          <w:rFonts w:asciiTheme="minorHAnsi" w:hAnsiTheme="minorHAnsi" w:cstheme="minorHAnsi"/>
        </w:rPr>
      </w:pPr>
      <w:r>
        <w:rPr>
          <w:rFonts w:asciiTheme="minorHAnsi" w:hAnsiTheme="minorHAnsi" w:cstheme="minorHAnsi"/>
        </w:rPr>
        <w:t xml:space="preserve">The tables below show cross tabulations of the two adolescent exposure measures: latent class membership and quartiles. It shows </w:t>
      </w:r>
      <w:r w:rsidRPr="00635938">
        <w:rPr>
          <w:rFonts w:asciiTheme="minorHAnsi" w:hAnsiTheme="minorHAnsi" w:cstheme="minorHAnsi"/>
        </w:rPr>
        <w:t xml:space="preserve">that quartiles of cumulative exposure were highly consistent with the latent classes. For example, </w:t>
      </w:r>
      <w:r>
        <w:rPr>
          <w:rFonts w:asciiTheme="minorHAnsi" w:hAnsiTheme="minorHAnsi" w:cstheme="minorHAnsi"/>
        </w:rPr>
        <w:t xml:space="preserve">the first table shows that </w:t>
      </w:r>
      <w:r w:rsidRPr="00635938">
        <w:rPr>
          <w:rFonts w:asciiTheme="minorHAnsi" w:hAnsiTheme="minorHAnsi" w:cstheme="minorHAnsi"/>
        </w:rPr>
        <w:t>100% of those in the persistent very low class belonged to the lowest quartile of the cumulative exposure measure</w:t>
      </w:r>
      <w:r>
        <w:rPr>
          <w:rFonts w:asciiTheme="minorHAnsi" w:hAnsiTheme="minorHAnsi" w:cstheme="minorHAnsi"/>
        </w:rPr>
        <w:t xml:space="preserve"> and the second table shows that </w:t>
      </w:r>
      <w:r w:rsidRPr="00635938">
        <w:rPr>
          <w:rFonts w:asciiTheme="minorHAnsi" w:hAnsiTheme="minorHAnsi" w:cstheme="minorHAnsi"/>
        </w:rPr>
        <w:t>20% of those in the lowest quartile belonged to the persistent very low class and 80% to the persistent low class.</w:t>
      </w:r>
    </w:p>
    <w:p w14:paraId="146492EA" w14:textId="77777777" w:rsidR="00D6070D" w:rsidRPr="00A4345D" w:rsidRDefault="00D6070D" w:rsidP="00D6070D">
      <w:pPr>
        <w:spacing w:line="276" w:lineRule="auto"/>
        <w:rPr>
          <w:rFonts w:asciiTheme="minorHAnsi" w:hAnsiTheme="minorHAnsi" w:cstheme="minorHAnsi"/>
        </w:rPr>
      </w:pPr>
    </w:p>
    <w:tbl>
      <w:tblPr>
        <w:tblW w:w="6608" w:type="dxa"/>
        <w:tblLook w:val="04A0" w:firstRow="1" w:lastRow="0" w:firstColumn="1" w:lastColumn="0" w:noHBand="0" w:noVBand="1"/>
      </w:tblPr>
      <w:tblGrid>
        <w:gridCol w:w="872"/>
        <w:gridCol w:w="1955"/>
        <w:gridCol w:w="571"/>
        <w:gridCol w:w="666"/>
        <w:gridCol w:w="666"/>
        <w:gridCol w:w="812"/>
        <w:gridCol w:w="1066"/>
      </w:tblGrid>
      <w:tr w:rsidR="00D6070D" w:rsidRPr="00A4345D" w14:paraId="6A28AF22" w14:textId="77777777" w:rsidTr="00D6070D">
        <w:trPr>
          <w:trHeight w:val="300"/>
        </w:trPr>
        <w:tc>
          <w:tcPr>
            <w:tcW w:w="877" w:type="dxa"/>
          </w:tcPr>
          <w:p w14:paraId="7164E9E8" w14:textId="77777777" w:rsidR="00D6070D" w:rsidRPr="00A4345D" w:rsidRDefault="00D6070D" w:rsidP="00D6070D">
            <w:pPr>
              <w:spacing w:line="276" w:lineRule="auto"/>
              <w:rPr>
                <w:rFonts w:asciiTheme="minorHAnsi" w:hAnsiTheme="minorHAnsi" w:cstheme="minorHAnsi"/>
                <w:sz w:val="20"/>
                <w:szCs w:val="20"/>
              </w:rPr>
            </w:pPr>
          </w:p>
        </w:tc>
        <w:tc>
          <w:tcPr>
            <w:tcW w:w="1955" w:type="dxa"/>
            <w:shd w:val="clear" w:color="auto" w:fill="auto"/>
            <w:noWrap/>
            <w:vAlign w:val="bottom"/>
            <w:hideMark/>
          </w:tcPr>
          <w:p w14:paraId="476E4D63" w14:textId="77777777" w:rsidR="00D6070D" w:rsidRPr="00A4345D" w:rsidRDefault="00D6070D" w:rsidP="00D6070D">
            <w:pPr>
              <w:spacing w:line="276" w:lineRule="auto"/>
              <w:rPr>
                <w:rFonts w:asciiTheme="minorHAnsi" w:hAnsiTheme="minorHAnsi" w:cstheme="minorHAnsi"/>
                <w:sz w:val="20"/>
                <w:szCs w:val="20"/>
              </w:rPr>
            </w:pPr>
          </w:p>
        </w:tc>
        <w:tc>
          <w:tcPr>
            <w:tcW w:w="2710" w:type="dxa"/>
            <w:gridSpan w:val="4"/>
            <w:tcBorders>
              <w:bottom w:val="single" w:sz="4" w:space="0" w:color="auto"/>
            </w:tcBorders>
            <w:shd w:val="clear" w:color="auto" w:fill="auto"/>
            <w:noWrap/>
            <w:vAlign w:val="bottom"/>
            <w:hideMark/>
          </w:tcPr>
          <w:p w14:paraId="6D9B9C37"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Cumulative risk score quartiles</w:t>
            </w:r>
          </w:p>
        </w:tc>
        <w:tc>
          <w:tcPr>
            <w:tcW w:w="1066" w:type="dxa"/>
            <w:tcBorders>
              <w:bottom w:val="single" w:sz="4" w:space="0" w:color="auto"/>
            </w:tcBorders>
            <w:shd w:val="clear" w:color="auto" w:fill="auto"/>
            <w:noWrap/>
            <w:vAlign w:val="bottom"/>
            <w:hideMark/>
          </w:tcPr>
          <w:p w14:paraId="05C4CE3D"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Sample n</w:t>
            </w:r>
          </w:p>
        </w:tc>
      </w:tr>
      <w:tr w:rsidR="00D6070D" w:rsidRPr="00A4345D" w14:paraId="629B47AC" w14:textId="77777777" w:rsidTr="00D6070D">
        <w:trPr>
          <w:trHeight w:val="300"/>
        </w:trPr>
        <w:tc>
          <w:tcPr>
            <w:tcW w:w="877" w:type="dxa"/>
          </w:tcPr>
          <w:p w14:paraId="35D3954D" w14:textId="77777777" w:rsidR="00D6070D" w:rsidRPr="00A4345D" w:rsidRDefault="00D6070D" w:rsidP="00D6070D">
            <w:pPr>
              <w:spacing w:line="276" w:lineRule="auto"/>
              <w:rPr>
                <w:rFonts w:asciiTheme="minorHAnsi" w:hAnsiTheme="minorHAnsi" w:cstheme="minorHAnsi"/>
                <w:color w:val="000000"/>
                <w:sz w:val="20"/>
                <w:szCs w:val="20"/>
              </w:rPr>
            </w:pPr>
          </w:p>
        </w:tc>
        <w:tc>
          <w:tcPr>
            <w:tcW w:w="1955" w:type="dxa"/>
            <w:tcBorders>
              <w:bottom w:val="single" w:sz="4" w:space="0" w:color="auto"/>
            </w:tcBorders>
            <w:shd w:val="clear" w:color="auto" w:fill="auto"/>
            <w:noWrap/>
            <w:vAlign w:val="bottom"/>
            <w:hideMark/>
          </w:tcPr>
          <w:p w14:paraId="11137EAC" w14:textId="77777777" w:rsidR="00D6070D" w:rsidRPr="00A4345D" w:rsidRDefault="00D6070D" w:rsidP="00D6070D">
            <w:pPr>
              <w:spacing w:line="276" w:lineRule="auto"/>
              <w:rPr>
                <w:rFonts w:asciiTheme="minorHAnsi" w:hAnsiTheme="minorHAnsi" w:cstheme="minorHAnsi"/>
                <w:color w:val="000000"/>
                <w:sz w:val="20"/>
                <w:szCs w:val="20"/>
              </w:rPr>
            </w:pPr>
          </w:p>
        </w:tc>
        <w:tc>
          <w:tcPr>
            <w:tcW w:w="566" w:type="dxa"/>
            <w:tcBorders>
              <w:top w:val="single" w:sz="4" w:space="0" w:color="auto"/>
              <w:bottom w:val="single" w:sz="4" w:space="0" w:color="auto"/>
            </w:tcBorders>
            <w:shd w:val="clear" w:color="auto" w:fill="auto"/>
            <w:noWrap/>
            <w:vAlign w:val="bottom"/>
            <w:hideMark/>
          </w:tcPr>
          <w:p w14:paraId="33EF3BD7"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w:t>
            </w:r>
          </w:p>
        </w:tc>
        <w:tc>
          <w:tcPr>
            <w:tcW w:w="666" w:type="dxa"/>
            <w:tcBorders>
              <w:top w:val="single" w:sz="4" w:space="0" w:color="auto"/>
              <w:bottom w:val="single" w:sz="4" w:space="0" w:color="auto"/>
            </w:tcBorders>
            <w:shd w:val="clear" w:color="auto" w:fill="auto"/>
            <w:noWrap/>
            <w:vAlign w:val="bottom"/>
            <w:hideMark/>
          </w:tcPr>
          <w:p w14:paraId="7BD77926"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2</w:t>
            </w:r>
          </w:p>
        </w:tc>
        <w:tc>
          <w:tcPr>
            <w:tcW w:w="666" w:type="dxa"/>
            <w:tcBorders>
              <w:top w:val="single" w:sz="4" w:space="0" w:color="auto"/>
              <w:bottom w:val="single" w:sz="4" w:space="0" w:color="auto"/>
            </w:tcBorders>
            <w:shd w:val="clear" w:color="auto" w:fill="auto"/>
            <w:noWrap/>
            <w:vAlign w:val="bottom"/>
            <w:hideMark/>
          </w:tcPr>
          <w:p w14:paraId="144FA30A"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3</w:t>
            </w:r>
          </w:p>
        </w:tc>
        <w:tc>
          <w:tcPr>
            <w:tcW w:w="812" w:type="dxa"/>
            <w:tcBorders>
              <w:top w:val="single" w:sz="4" w:space="0" w:color="auto"/>
              <w:bottom w:val="single" w:sz="4" w:space="0" w:color="auto"/>
            </w:tcBorders>
            <w:shd w:val="clear" w:color="auto" w:fill="auto"/>
            <w:noWrap/>
            <w:vAlign w:val="bottom"/>
            <w:hideMark/>
          </w:tcPr>
          <w:p w14:paraId="4E2E7067"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4</w:t>
            </w:r>
          </w:p>
        </w:tc>
        <w:tc>
          <w:tcPr>
            <w:tcW w:w="1066" w:type="dxa"/>
            <w:tcBorders>
              <w:top w:val="single" w:sz="4" w:space="0" w:color="auto"/>
              <w:bottom w:val="single" w:sz="4" w:space="0" w:color="auto"/>
            </w:tcBorders>
            <w:shd w:val="clear" w:color="auto" w:fill="auto"/>
            <w:noWrap/>
            <w:vAlign w:val="bottom"/>
            <w:hideMark/>
          </w:tcPr>
          <w:p w14:paraId="669AFAFA" w14:textId="77777777" w:rsidR="00D6070D" w:rsidRPr="00A4345D" w:rsidRDefault="00D6070D" w:rsidP="00D6070D">
            <w:pPr>
              <w:spacing w:line="276" w:lineRule="auto"/>
              <w:rPr>
                <w:rFonts w:asciiTheme="minorHAnsi" w:hAnsiTheme="minorHAnsi" w:cstheme="minorHAnsi"/>
                <w:color w:val="000000"/>
                <w:sz w:val="20"/>
                <w:szCs w:val="20"/>
              </w:rPr>
            </w:pPr>
          </w:p>
        </w:tc>
      </w:tr>
      <w:tr w:rsidR="00D6070D" w:rsidRPr="00A4345D" w14:paraId="2644DBBF" w14:textId="77777777" w:rsidTr="00D6070D">
        <w:trPr>
          <w:trHeight w:val="300"/>
        </w:trPr>
        <w:tc>
          <w:tcPr>
            <w:tcW w:w="877" w:type="dxa"/>
            <w:vMerge w:val="restart"/>
            <w:textDirection w:val="btLr"/>
          </w:tcPr>
          <w:p w14:paraId="7A197F2D" w14:textId="77777777" w:rsidR="00D6070D" w:rsidRPr="00A4345D" w:rsidRDefault="00D6070D" w:rsidP="00D6070D">
            <w:pPr>
              <w:spacing w:line="276" w:lineRule="auto"/>
              <w:ind w:left="113" w:right="113"/>
              <w:rPr>
                <w:rFonts w:asciiTheme="minorHAnsi" w:hAnsiTheme="minorHAnsi" w:cstheme="minorHAnsi"/>
                <w:color w:val="000000"/>
                <w:sz w:val="20"/>
                <w:szCs w:val="20"/>
              </w:rPr>
            </w:pPr>
            <w:r w:rsidRPr="00A4345D">
              <w:rPr>
                <w:rFonts w:asciiTheme="minorHAnsi" w:hAnsiTheme="minorHAnsi" w:cstheme="minorHAnsi"/>
                <w:color w:val="000000"/>
                <w:sz w:val="20"/>
                <w:szCs w:val="20"/>
              </w:rPr>
              <w:t>Latent classes</w:t>
            </w:r>
          </w:p>
        </w:tc>
        <w:tc>
          <w:tcPr>
            <w:tcW w:w="1955" w:type="dxa"/>
            <w:tcBorders>
              <w:top w:val="single" w:sz="4" w:space="0" w:color="auto"/>
            </w:tcBorders>
            <w:shd w:val="clear" w:color="auto" w:fill="D0CECE" w:themeFill="background2" w:themeFillShade="E6"/>
            <w:noWrap/>
            <w:vAlign w:val="bottom"/>
            <w:hideMark/>
          </w:tcPr>
          <w:p w14:paraId="3F30DE8E"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very low</w:t>
            </w:r>
          </w:p>
        </w:tc>
        <w:tc>
          <w:tcPr>
            <w:tcW w:w="566" w:type="dxa"/>
            <w:tcBorders>
              <w:top w:val="single" w:sz="4" w:space="0" w:color="auto"/>
            </w:tcBorders>
            <w:shd w:val="clear" w:color="auto" w:fill="D0CECE" w:themeFill="background2" w:themeFillShade="E6"/>
            <w:noWrap/>
            <w:vAlign w:val="bottom"/>
            <w:hideMark/>
          </w:tcPr>
          <w:p w14:paraId="50D6B524"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1.00</w:t>
            </w:r>
          </w:p>
        </w:tc>
        <w:tc>
          <w:tcPr>
            <w:tcW w:w="666" w:type="dxa"/>
            <w:tcBorders>
              <w:top w:val="single" w:sz="4" w:space="0" w:color="auto"/>
            </w:tcBorders>
            <w:shd w:val="clear" w:color="auto" w:fill="D0CECE" w:themeFill="background2" w:themeFillShade="E6"/>
            <w:noWrap/>
            <w:vAlign w:val="bottom"/>
            <w:hideMark/>
          </w:tcPr>
          <w:p w14:paraId="57F011D3" w14:textId="77777777" w:rsidR="00D6070D" w:rsidRPr="00A4345D" w:rsidRDefault="00D6070D" w:rsidP="00D6070D">
            <w:pPr>
              <w:spacing w:line="276" w:lineRule="auto"/>
              <w:rPr>
                <w:rFonts w:asciiTheme="minorHAnsi" w:hAnsiTheme="minorHAnsi" w:cstheme="minorHAnsi"/>
                <w:color w:val="000000"/>
                <w:sz w:val="20"/>
                <w:szCs w:val="20"/>
              </w:rPr>
            </w:pPr>
          </w:p>
        </w:tc>
        <w:tc>
          <w:tcPr>
            <w:tcW w:w="666" w:type="dxa"/>
            <w:tcBorders>
              <w:top w:val="single" w:sz="4" w:space="0" w:color="auto"/>
            </w:tcBorders>
            <w:shd w:val="clear" w:color="auto" w:fill="D0CECE" w:themeFill="background2" w:themeFillShade="E6"/>
            <w:noWrap/>
            <w:vAlign w:val="bottom"/>
            <w:hideMark/>
          </w:tcPr>
          <w:p w14:paraId="2FE8AD23" w14:textId="77777777" w:rsidR="00D6070D" w:rsidRPr="00A4345D" w:rsidRDefault="00D6070D" w:rsidP="00D6070D">
            <w:pPr>
              <w:spacing w:line="276" w:lineRule="auto"/>
              <w:rPr>
                <w:rFonts w:asciiTheme="minorHAnsi" w:hAnsiTheme="minorHAnsi" w:cstheme="minorHAnsi"/>
                <w:sz w:val="20"/>
                <w:szCs w:val="20"/>
              </w:rPr>
            </w:pPr>
          </w:p>
        </w:tc>
        <w:tc>
          <w:tcPr>
            <w:tcW w:w="812" w:type="dxa"/>
            <w:tcBorders>
              <w:top w:val="single" w:sz="4" w:space="0" w:color="auto"/>
            </w:tcBorders>
            <w:shd w:val="clear" w:color="auto" w:fill="D0CECE" w:themeFill="background2" w:themeFillShade="E6"/>
            <w:noWrap/>
            <w:vAlign w:val="bottom"/>
            <w:hideMark/>
          </w:tcPr>
          <w:p w14:paraId="0C46D742" w14:textId="77777777" w:rsidR="00D6070D" w:rsidRPr="00A4345D" w:rsidRDefault="00D6070D" w:rsidP="00D6070D">
            <w:pPr>
              <w:spacing w:line="276" w:lineRule="auto"/>
              <w:rPr>
                <w:rFonts w:asciiTheme="minorHAnsi" w:hAnsiTheme="minorHAnsi" w:cstheme="minorHAnsi"/>
                <w:sz w:val="20"/>
                <w:szCs w:val="20"/>
              </w:rPr>
            </w:pPr>
          </w:p>
        </w:tc>
        <w:tc>
          <w:tcPr>
            <w:tcW w:w="1066" w:type="dxa"/>
            <w:tcBorders>
              <w:top w:val="single" w:sz="4" w:space="0" w:color="auto"/>
            </w:tcBorders>
            <w:shd w:val="clear" w:color="auto" w:fill="D0CECE" w:themeFill="background2" w:themeFillShade="E6"/>
            <w:noWrap/>
            <w:vAlign w:val="bottom"/>
            <w:hideMark/>
          </w:tcPr>
          <w:p w14:paraId="14BCB3A7"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122.90</w:t>
            </w:r>
          </w:p>
        </w:tc>
      </w:tr>
      <w:tr w:rsidR="00D6070D" w:rsidRPr="00A4345D" w14:paraId="6BEF1EEC" w14:textId="77777777" w:rsidTr="00D6070D">
        <w:trPr>
          <w:trHeight w:val="300"/>
        </w:trPr>
        <w:tc>
          <w:tcPr>
            <w:tcW w:w="877" w:type="dxa"/>
            <w:vMerge/>
          </w:tcPr>
          <w:p w14:paraId="3AAEEC34" w14:textId="77777777" w:rsidR="00D6070D" w:rsidRPr="00A4345D" w:rsidRDefault="00D6070D" w:rsidP="00D6070D">
            <w:pPr>
              <w:spacing w:line="276" w:lineRule="auto"/>
              <w:rPr>
                <w:rFonts w:asciiTheme="minorHAnsi" w:hAnsiTheme="minorHAnsi" w:cstheme="minorHAnsi"/>
                <w:color w:val="000000"/>
                <w:sz w:val="20"/>
                <w:szCs w:val="20"/>
              </w:rPr>
            </w:pPr>
          </w:p>
        </w:tc>
        <w:tc>
          <w:tcPr>
            <w:tcW w:w="1955" w:type="dxa"/>
            <w:shd w:val="clear" w:color="auto" w:fill="auto"/>
            <w:noWrap/>
            <w:vAlign w:val="bottom"/>
          </w:tcPr>
          <w:p w14:paraId="63A85B1C"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low</w:t>
            </w:r>
          </w:p>
        </w:tc>
        <w:tc>
          <w:tcPr>
            <w:tcW w:w="566" w:type="dxa"/>
            <w:shd w:val="clear" w:color="auto" w:fill="auto"/>
            <w:noWrap/>
            <w:vAlign w:val="bottom"/>
          </w:tcPr>
          <w:p w14:paraId="4CBC214E"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0.59</w:t>
            </w:r>
          </w:p>
        </w:tc>
        <w:tc>
          <w:tcPr>
            <w:tcW w:w="666" w:type="dxa"/>
            <w:shd w:val="clear" w:color="auto" w:fill="auto"/>
            <w:noWrap/>
            <w:vAlign w:val="bottom"/>
          </w:tcPr>
          <w:p w14:paraId="685688E5" w14:textId="77777777" w:rsidR="00D6070D" w:rsidRPr="00A4345D" w:rsidRDefault="00D6070D" w:rsidP="00D6070D">
            <w:pPr>
              <w:spacing w:line="276" w:lineRule="auto"/>
              <w:rPr>
                <w:rFonts w:asciiTheme="minorHAnsi" w:hAnsiTheme="minorHAnsi" w:cstheme="minorHAnsi"/>
                <w:sz w:val="20"/>
                <w:szCs w:val="20"/>
              </w:rPr>
            </w:pPr>
            <w:r w:rsidRPr="00A4345D">
              <w:rPr>
                <w:rFonts w:asciiTheme="minorHAnsi" w:hAnsiTheme="minorHAnsi" w:cstheme="minorHAnsi"/>
                <w:color w:val="000000"/>
                <w:sz w:val="20"/>
                <w:szCs w:val="20"/>
              </w:rPr>
              <w:t>0.41</w:t>
            </w:r>
          </w:p>
        </w:tc>
        <w:tc>
          <w:tcPr>
            <w:tcW w:w="666" w:type="dxa"/>
            <w:shd w:val="clear" w:color="auto" w:fill="auto"/>
            <w:noWrap/>
            <w:vAlign w:val="bottom"/>
          </w:tcPr>
          <w:p w14:paraId="5ACEB80B" w14:textId="77777777" w:rsidR="00D6070D" w:rsidRPr="00A4345D" w:rsidRDefault="00D6070D" w:rsidP="00D6070D">
            <w:pPr>
              <w:spacing w:line="276" w:lineRule="auto"/>
              <w:rPr>
                <w:rFonts w:asciiTheme="minorHAnsi" w:hAnsiTheme="minorHAnsi" w:cstheme="minorHAnsi"/>
                <w:sz w:val="20"/>
                <w:szCs w:val="20"/>
              </w:rPr>
            </w:pPr>
          </w:p>
        </w:tc>
        <w:tc>
          <w:tcPr>
            <w:tcW w:w="812" w:type="dxa"/>
            <w:shd w:val="clear" w:color="auto" w:fill="auto"/>
            <w:noWrap/>
            <w:vAlign w:val="bottom"/>
          </w:tcPr>
          <w:p w14:paraId="47776BB1" w14:textId="77777777" w:rsidR="00D6070D" w:rsidRPr="00A4345D" w:rsidRDefault="00D6070D" w:rsidP="00D6070D">
            <w:pPr>
              <w:spacing w:line="276" w:lineRule="auto"/>
              <w:rPr>
                <w:rFonts w:asciiTheme="minorHAnsi" w:hAnsiTheme="minorHAnsi" w:cstheme="minorHAnsi"/>
                <w:color w:val="000000"/>
                <w:sz w:val="20"/>
                <w:szCs w:val="20"/>
              </w:rPr>
            </w:pPr>
          </w:p>
        </w:tc>
        <w:tc>
          <w:tcPr>
            <w:tcW w:w="1066" w:type="dxa"/>
            <w:shd w:val="clear" w:color="auto" w:fill="auto"/>
            <w:noWrap/>
            <w:vAlign w:val="bottom"/>
          </w:tcPr>
          <w:p w14:paraId="4B6B3C24"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810.60</w:t>
            </w:r>
          </w:p>
        </w:tc>
      </w:tr>
      <w:tr w:rsidR="00D6070D" w:rsidRPr="00A4345D" w14:paraId="25453644" w14:textId="77777777" w:rsidTr="00D6070D">
        <w:trPr>
          <w:trHeight w:val="300"/>
        </w:trPr>
        <w:tc>
          <w:tcPr>
            <w:tcW w:w="877" w:type="dxa"/>
            <w:vMerge/>
          </w:tcPr>
          <w:p w14:paraId="4F822883" w14:textId="77777777" w:rsidR="00D6070D" w:rsidRPr="00A4345D" w:rsidRDefault="00D6070D" w:rsidP="00D6070D">
            <w:pPr>
              <w:spacing w:line="276" w:lineRule="auto"/>
              <w:rPr>
                <w:rFonts w:asciiTheme="minorHAnsi" w:hAnsiTheme="minorHAnsi" w:cstheme="minorHAnsi"/>
                <w:color w:val="000000"/>
                <w:sz w:val="20"/>
                <w:szCs w:val="20"/>
              </w:rPr>
            </w:pPr>
          </w:p>
        </w:tc>
        <w:tc>
          <w:tcPr>
            <w:tcW w:w="1955" w:type="dxa"/>
            <w:shd w:val="clear" w:color="auto" w:fill="auto"/>
            <w:noWrap/>
            <w:vAlign w:val="bottom"/>
          </w:tcPr>
          <w:p w14:paraId="4F590F44"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Low increasing</w:t>
            </w:r>
          </w:p>
        </w:tc>
        <w:tc>
          <w:tcPr>
            <w:tcW w:w="566" w:type="dxa"/>
            <w:shd w:val="clear" w:color="auto" w:fill="auto"/>
            <w:noWrap/>
            <w:vAlign w:val="bottom"/>
          </w:tcPr>
          <w:p w14:paraId="26AB9033" w14:textId="77777777" w:rsidR="00D6070D" w:rsidRPr="00A4345D" w:rsidRDefault="00D6070D" w:rsidP="00D6070D">
            <w:pPr>
              <w:spacing w:line="276" w:lineRule="auto"/>
              <w:rPr>
                <w:rFonts w:asciiTheme="minorHAnsi" w:hAnsiTheme="minorHAnsi" w:cstheme="minorHAnsi"/>
                <w:color w:val="000000"/>
                <w:sz w:val="20"/>
                <w:szCs w:val="20"/>
              </w:rPr>
            </w:pPr>
          </w:p>
        </w:tc>
        <w:tc>
          <w:tcPr>
            <w:tcW w:w="666" w:type="dxa"/>
            <w:shd w:val="clear" w:color="auto" w:fill="auto"/>
            <w:noWrap/>
            <w:vAlign w:val="bottom"/>
          </w:tcPr>
          <w:p w14:paraId="1EC7CEF8" w14:textId="77777777" w:rsidR="00D6070D" w:rsidRPr="00A4345D" w:rsidRDefault="00D6070D" w:rsidP="00D6070D">
            <w:pPr>
              <w:spacing w:line="276" w:lineRule="auto"/>
              <w:rPr>
                <w:rFonts w:asciiTheme="minorHAnsi" w:hAnsiTheme="minorHAnsi" w:cstheme="minorHAnsi"/>
                <w:sz w:val="20"/>
                <w:szCs w:val="20"/>
              </w:rPr>
            </w:pPr>
            <w:r w:rsidRPr="00A4345D">
              <w:rPr>
                <w:rFonts w:asciiTheme="minorHAnsi" w:hAnsiTheme="minorHAnsi" w:cstheme="minorHAnsi"/>
                <w:color w:val="000000"/>
                <w:sz w:val="20"/>
                <w:szCs w:val="20"/>
              </w:rPr>
              <w:t>0.35</w:t>
            </w:r>
          </w:p>
        </w:tc>
        <w:tc>
          <w:tcPr>
            <w:tcW w:w="666" w:type="dxa"/>
            <w:shd w:val="clear" w:color="auto" w:fill="auto"/>
            <w:noWrap/>
            <w:vAlign w:val="bottom"/>
          </w:tcPr>
          <w:p w14:paraId="725BBCC8" w14:textId="77777777" w:rsidR="00D6070D" w:rsidRPr="00A4345D" w:rsidRDefault="00D6070D" w:rsidP="00D6070D">
            <w:pPr>
              <w:spacing w:line="276" w:lineRule="auto"/>
              <w:rPr>
                <w:rFonts w:asciiTheme="minorHAnsi" w:hAnsiTheme="minorHAnsi" w:cstheme="minorHAnsi"/>
                <w:sz w:val="20"/>
                <w:szCs w:val="20"/>
              </w:rPr>
            </w:pPr>
            <w:r w:rsidRPr="00A4345D">
              <w:rPr>
                <w:rFonts w:asciiTheme="minorHAnsi" w:hAnsiTheme="minorHAnsi" w:cstheme="minorHAnsi"/>
                <w:color w:val="000000"/>
                <w:sz w:val="20"/>
                <w:szCs w:val="20"/>
              </w:rPr>
              <w:t>0.66</w:t>
            </w:r>
          </w:p>
        </w:tc>
        <w:tc>
          <w:tcPr>
            <w:tcW w:w="812" w:type="dxa"/>
            <w:shd w:val="clear" w:color="auto" w:fill="auto"/>
            <w:noWrap/>
            <w:vAlign w:val="bottom"/>
          </w:tcPr>
          <w:p w14:paraId="446649CE" w14:textId="77777777" w:rsidR="00D6070D" w:rsidRPr="00A4345D" w:rsidRDefault="00D6070D" w:rsidP="00D6070D">
            <w:pPr>
              <w:spacing w:line="276" w:lineRule="auto"/>
              <w:rPr>
                <w:rFonts w:asciiTheme="minorHAnsi" w:hAnsiTheme="minorHAnsi" w:cstheme="minorHAnsi"/>
                <w:color w:val="000000"/>
                <w:sz w:val="20"/>
                <w:szCs w:val="20"/>
              </w:rPr>
            </w:pPr>
          </w:p>
        </w:tc>
        <w:tc>
          <w:tcPr>
            <w:tcW w:w="1066" w:type="dxa"/>
            <w:shd w:val="clear" w:color="auto" w:fill="auto"/>
            <w:noWrap/>
            <w:vAlign w:val="bottom"/>
          </w:tcPr>
          <w:p w14:paraId="232A3523"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265.20</w:t>
            </w:r>
          </w:p>
        </w:tc>
      </w:tr>
      <w:tr w:rsidR="00D6070D" w:rsidRPr="00A4345D" w14:paraId="7B187921" w14:textId="77777777" w:rsidTr="00D6070D">
        <w:trPr>
          <w:trHeight w:val="300"/>
        </w:trPr>
        <w:tc>
          <w:tcPr>
            <w:tcW w:w="877" w:type="dxa"/>
            <w:vMerge/>
          </w:tcPr>
          <w:p w14:paraId="6B3F8B2B" w14:textId="77777777" w:rsidR="00D6070D" w:rsidRPr="00A4345D" w:rsidRDefault="00D6070D" w:rsidP="00D6070D">
            <w:pPr>
              <w:spacing w:line="276" w:lineRule="auto"/>
              <w:rPr>
                <w:rFonts w:asciiTheme="minorHAnsi" w:hAnsiTheme="minorHAnsi" w:cstheme="minorHAnsi"/>
                <w:color w:val="000000"/>
                <w:sz w:val="20"/>
                <w:szCs w:val="20"/>
              </w:rPr>
            </w:pPr>
          </w:p>
        </w:tc>
        <w:tc>
          <w:tcPr>
            <w:tcW w:w="1955" w:type="dxa"/>
            <w:shd w:val="clear" w:color="auto" w:fill="auto"/>
            <w:noWrap/>
            <w:vAlign w:val="bottom"/>
          </w:tcPr>
          <w:p w14:paraId="7FCAE0DC"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moderate</w:t>
            </w:r>
          </w:p>
        </w:tc>
        <w:tc>
          <w:tcPr>
            <w:tcW w:w="566" w:type="dxa"/>
            <w:shd w:val="clear" w:color="auto" w:fill="auto"/>
            <w:noWrap/>
            <w:vAlign w:val="bottom"/>
          </w:tcPr>
          <w:p w14:paraId="25215C06" w14:textId="77777777" w:rsidR="00D6070D" w:rsidRPr="00A4345D" w:rsidRDefault="00D6070D" w:rsidP="00D6070D">
            <w:pPr>
              <w:spacing w:line="276" w:lineRule="auto"/>
              <w:rPr>
                <w:rFonts w:asciiTheme="minorHAnsi" w:hAnsiTheme="minorHAnsi" w:cstheme="minorHAnsi"/>
                <w:color w:val="000000"/>
                <w:sz w:val="20"/>
                <w:szCs w:val="20"/>
              </w:rPr>
            </w:pPr>
          </w:p>
        </w:tc>
        <w:tc>
          <w:tcPr>
            <w:tcW w:w="666" w:type="dxa"/>
            <w:shd w:val="clear" w:color="auto" w:fill="auto"/>
            <w:noWrap/>
            <w:vAlign w:val="bottom"/>
          </w:tcPr>
          <w:p w14:paraId="0BD40EA6" w14:textId="77777777" w:rsidR="00D6070D" w:rsidRPr="00A4345D" w:rsidRDefault="00D6070D" w:rsidP="00D6070D">
            <w:pPr>
              <w:spacing w:line="276" w:lineRule="auto"/>
              <w:rPr>
                <w:rFonts w:asciiTheme="minorHAnsi" w:hAnsiTheme="minorHAnsi" w:cstheme="minorHAnsi"/>
                <w:sz w:val="20"/>
                <w:szCs w:val="20"/>
              </w:rPr>
            </w:pPr>
          </w:p>
        </w:tc>
        <w:tc>
          <w:tcPr>
            <w:tcW w:w="666" w:type="dxa"/>
            <w:shd w:val="clear" w:color="auto" w:fill="auto"/>
            <w:noWrap/>
            <w:vAlign w:val="bottom"/>
          </w:tcPr>
          <w:p w14:paraId="6142C02F" w14:textId="77777777" w:rsidR="00D6070D" w:rsidRPr="00A4345D" w:rsidRDefault="00D6070D" w:rsidP="00D6070D">
            <w:pPr>
              <w:spacing w:line="276" w:lineRule="auto"/>
              <w:rPr>
                <w:rFonts w:asciiTheme="minorHAnsi" w:hAnsiTheme="minorHAnsi" w:cstheme="minorHAnsi"/>
                <w:sz w:val="20"/>
                <w:szCs w:val="20"/>
              </w:rPr>
            </w:pPr>
            <w:r w:rsidRPr="00A4345D">
              <w:rPr>
                <w:rFonts w:asciiTheme="minorHAnsi" w:hAnsiTheme="minorHAnsi" w:cstheme="minorHAnsi"/>
                <w:color w:val="000000"/>
                <w:sz w:val="20"/>
                <w:szCs w:val="20"/>
              </w:rPr>
              <w:t>0.70</w:t>
            </w:r>
          </w:p>
        </w:tc>
        <w:tc>
          <w:tcPr>
            <w:tcW w:w="812" w:type="dxa"/>
            <w:shd w:val="clear" w:color="auto" w:fill="auto"/>
            <w:noWrap/>
            <w:vAlign w:val="bottom"/>
          </w:tcPr>
          <w:p w14:paraId="58D3A8A9"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0.31</w:t>
            </w:r>
          </w:p>
        </w:tc>
        <w:tc>
          <w:tcPr>
            <w:tcW w:w="1066" w:type="dxa"/>
            <w:shd w:val="clear" w:color="auto" w:fill="auto"/>
            <w:noWrap/>
            <w:vAlign w:val="bottom"/>
          </w:tcPr>
          <w:p w14:paraId="4AFA3037"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404.70</w:t>
            </w:r>
          </w:p>
        </w:tc>
      </w:tr>
      <w:tr w:rsidR="00D6070D" w:rsidRPr="00A4345D" w14:paraId="488340B9" w14:textId="77777777" w:rsidTr="00D6070D">
        <w:trPr>
          <w:trHeight w:val="300"/>
        </w:trPr>
        <w:tc>
          <w:tcPr>
            <w:tcW w:w="877" w:type="dxa"/>
            <w:vMerge/>
          </w:tcPr>
          <w:p w14:paraId="74EBEE4E" w14:textId="77777777" w:rsidR="00D6070D" w:rsidRPr="00A4345D" w:rsidRDefault="00D6070D" w:rsidP="00D6070D">
            <w:pPr>
              <w:spacing w:line="276" w:lineRule="auto"/>
              <w:rPr>
                <w:rFonts w:asciiTheme="minorHAnsi" w:hAnsiTheme="minorHAnsi" w:cstheme="minorHAnsi"/>
                <w:color w:val="000000"/>
                <w:sz w:val="20"/>
                <w:szCs w:val="20"/>
              </w:rPr>
            </w:pPr>
          </w:p>
        </w:tc>
        <w:tc>
          <w:tcPr>
            <w:tcW w:w="1955" w:type="dxa"/>
            <w:shd w:val="clear" w:color="auto" w:fill="auto"/>
            <w:noWrap/>
            <w:vAlign w:val="bottom"/>
          </w:tcPr>
          <w:p w14:paraId="1A222857"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Moderate increasing</w:t>
            </w:r>
          </w:p>
        </w:tc>
        <w:tc>
          <w:tcPr>
            <w:tcW w:w="566" w:type="dxa"/>
            <w:shd w:val="clear" w:color="auto" w:fill="auto"/>
            <w:noWrap/>
            <w:vAlign w:val="bottom"/>
          </w:tcPr>
          <w:p w14:paraId="2B724AC7" w14:textId="77777777" w:rsidR="00D6070D" w:rsidRPr="00A4345D" w:rsidRDefault="00D6070D" w:rsidP="00D6070D">
            <w:pPr>
              <w:spacing w:line="276" w:lineRule="auto"/>
              <w:rPr>
                <w:rFonts w:asciiTheme="minorHAnsi" w:hAnsiTheme="minorHAnsi" w:cstheme="minorHAnsi"/>
                <w:color w:val="000000"/>
                <w:sz w:val="20"/>
                <w:szCs w:val="20"/>
              </w:rPr>
            </w:pPr>
          </w:p>
        </w:tc>
        <w:tc>
          <w:tcPr>
            <w:tcW w:w="666" w:type="dxa"/>
            <w:shd w:val="clear" w:color="auto" w:fill="auto"/>
            <w:noWrap/>
            <w:vAlign w:val="bottom"/>
          </w:tcPr>
          <w:p w14:paraId="5AAB7E78" w14:textId="77777777" w:rsidR="00D6070D" w:rsidRPr="00A4345D" w:rsidRDefault="00D6070D" w:rsidP="00D6070D">
            <w:pPr>
              <w:spacing w:line="276" w:lineRule="auto"/>
              <w:rPr>
                <w:rFonts w:asciiTheme="minorHAnsi" w:hAnsiTheme="minorHAnsi" w:cstheme="minorHAnsi"/>
                <w:sz w:val="20"/>
                <w:szCs w:val="20"/>
              </w:rPr>
            </w:pPr>
          </w:p>
        </w:tc>
        <w:tc>
          <w:tcPr>
            <w:tcW w:w="666" w:type="dxa"/>
            <w:shd w:val="clear" w:color="auto" w:fill="auto"/>
            <w:noWrap/>
            <w:vAlign w:val="bottom"/>
          </w:tcPr>
          <w:p w14:paraId="001FBB0F" w14:textId="77777777" w:rsidR="00D6070D" w:rsidRPr="00A4345D" w:rsidRDefault="00D6070D" w:rsidP="00D6070D">
            <w:pPr>
              <w:spacing w:line="276" w:lineRule="auto"/>
              <w:rPr>
                <w:rFonts w:asciiTheme="minorHAnsi" w:hAnsiTheme="minorHAnsi" w:cstheme="minorHAnsi"/>
                <w:sz w:val="20"/>
                <w:szCs w:val="20"/>
              </w:rPr>
            </w:pPr>
          </w:p>
        </w:tc>
        <w:tc>
          <w:tcPr>
            <w:tcW w:w="812" w:type="dxa"/>
            <w:shd w:val="clear" w:color="auto" w:fill="auto"/>
            <w:noWrap/>
            <w:vAlign w:val="bottom"/>
          </w:tcPr>
          <w:p w14:paraId="5C57CC6B"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1.00</w:t>
            </w:r>
          </w:p>
        </w:tc>
        <w:tc>
          <w:tcPr>
            <w:tcW w:w="1066" w:type="dxa"/>
            <w:shd w:val="clear" w:color="auto" w:fill="auto"/>
            <w:noWrap/>
            <w:vAlign w:val="bottom"/>
          </w:tcPr>
          <w:p w14:paraId="2F4A17E4"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93.50</w:t>
            </w:r>
          </w:p>
        </w:tc>
      </w:tr>
      <w:tr w:rsidR="00D6070D" w:rsidRPr="00A4345D" w14:paraId="118F1CDF" w14:textId="77777777" w:rsidTr="00D6070D">
        <w:trPr>
          <w:trHeight w:val="300"/>
        </w:trPr>
        <w:tc>
          <w:tcPr>
            <w:tcW w:w="877" w:type="dxa"/>
            <w:vMerge/>
          </w:tcPr>
          <w:p w14:paraId="6E56CA34" w14:textId="77777777" w:rsidR="00D6070D" w:rsidRPr="00A4345D" w:rsidRDefault="00D6070D" w:rsidP="00D6070D">
            <w:pPr>
              <w:spacing w:line="276" w:lineRule="auto"/>
              <w:rPr>
                <w:rFonts w:asciiTheme="minorHAnsi" w:hAnsiTheme="minorHAnsi" w:cstheme="minorHAnsi"/>
                <w:color w:val="000000"/>
                <w:sz w:val="20"/>
                <w:szCs w:val="20"/>
              </w:rPr>
            </w:pPr>
          </w:p>
        </w:tc>
        <w:tc>
          <w:tcPr>
            <w:tcW w:w="1955" w:type="dxa"/>
            <w:shd w:val="clear" w:color="auto" w:fill="auto"/>
            <w:noWrap/>
            <w:vAlign w:val="bottom"/>
          </w:tcPr>
          <w:p w14:paraId="1298144B"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high</w:t>
            </w:r>
          </w:p>
        </w:tc>
        <w:tc>
          <w:tcPr>
            <w:tcW w:w="566" w:type="dxa"/>
            <w:shd w:val="clear" w:color="auto" w:fill="auto"/>
            <w:noWrap/>
            <w:vAlign w:val="bottom"/>
          </w:tcPr>
          <w:p w14:paraId="6F4F4E32" w14:textId="77777777" w:rsidR="00D6070D" w:rsidRPr="00A4345D" w:rsidRDefault="00D6070D" w:rsidP="00D6070D">
            <w:pPr>
              <w:spacing w:line="276" w:lineRule="auto"/>
              <w:rPr>
                <w:rFonts w:asciiTheme="minorHAnsi" w:hAnsiTheme="minorHAnsi" w:cstheme="minorHAnsi"/>
                <w:color w:val="000000"/>
                <w:sz w:val="20"/>
                <w:szCs w:val="20"/>
              </w:rPr>
            </w:pPr>
          </w:p>
        </w:tc>
        <w:tc>
          <w:tcPr>
            <w:tcW w:w="666" w:type="dxa"/>
            <w:shd w:val="clear" w:color="auto" w:fill="auto"/>
            <w:noWrap/>
            <w:vAlign w:val="bottom"/>
          </w:tcPr>
          <w:p w14:paraId="5077C2E8" w14:textId="77777777" w:rsidR="00D6070D" w:rsidRPr="00A4345D" w:rsidRDefault="00D6070D" w:rsidP="00D6070D">
            <w:pPr>
              <w:spacing w:line="276" w:lineRule="auto"/>
              <w:rPr>
                <w:rFonts w:asciiTheme="minorHAnsi" w:hAnsiTheme="minorHAnsi" w:cstheme="minorHAnsi"/>
                <w:sz w:val="20"/>
                <w:szCs w:val="20"/>
              </w:rPr>
            </w:pPr>
          </w:p>
        </w:tc>
        <w:tc>
          <w:tcPr>
            <w:tcW w:w="666" w:type="dxa"/>
            <w:shd w:val="clear" w:color="auto" w:fill="auto"/>
            <w:noWrap/>
            <w:vAlign w:val="bottom"/>
          </w:tcPr>
          <w:p w14:paraId="1D7D2A1B" w14:textId="77777777" w:rsidR="00D6070D" w:rsidRPr="00A4345D" w:rsidRDefault="00D6070D" w:rsidP="00D6070D">
            <w:pPr>
              <w:spacing w:line="276" w:lineRule="auto"/>
              <w:rPr>
                <w:rFonts w:asciiTheme="minorHAnsi" w:hAnsiTheme="minorHAnsi" w:cstheme="minorHAnsi"/>
                <w:sz w:val="20"/>
                <w:szCs w:val="20"/>
              </w:rPr>
            </w:pPr>
          </w:p>
        </w:tc>
        <w:tc>
          <w:tcPr>
            <w:tcW w:w="812" w:type="dxa"/>
            <w:shd w:val="clear" w:color="auto" w:fill="auto"/>
            <w:noWrap/>
            <w:vAlign w:val="bottom"/>
          </w:tcPr>
          <w:p w14:paraId="65C50FE5"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1.00</w:t>
            </w:r>
          </w:p>
        </w:tc>
        <w:tc>
          <w:tcPr>
            <w:tcW w:w="1066" w:type="dxa"/>
            <w:shd w:val="clear" w:color="auto" w:fill="auto"/>
            <w:noWrap/>
            <w:vAlign w:val="bottom"/>
          </w:tcPr>
          <w:p w14:paraId="53FFA5F9"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254.10</w:t>
            </w:r>
          </w:p>
        </w:tc>
      </w:tr>
    </w:tbl>
    <w:p w14:paraId="3A536191" w14:textId="77777777" w:rsidR="00D6070D" w:rsidRDefault="00D6070D" w:rsidP="00D6070D"/>
    <w:p w14:paraId="2BD2C740" w14:textId="77777777" w:rsidR="00D6070D" w:rsidRDefault="00D6070D" w:rsidP="00D6070D"/>
    <w:p w14:paraId="5032B858" w14:textId="77777777" w:rsidR="00D6070D" w:rsidRPr="00E34600" w:rsidRDefault="00D6070D" w:rsidP="00D6070D"/>
    <w:tbl>
      <w:tblPr>
        <w:tblW w:w="6426" w:type="dxa"/>
        <w:tblLook w:val="04A0" w:firstRow="1" w:lastRow="0" w:firstColumn="1" w:lastColumn="0" w:noHBand="0" w:noVBand="1"/>
      </w:tblPr>
      <w:tblGrid>
        <w:gridCol w:w="567"/>
        <w:gridCol w:w="1998"/>
        <w:gridCol w:w="674"/>
        <w:gridCol w:w="674"/>
        <w:gridCol w:w="674"/>
        <w:gridCol w:w="788"/>
        <w:gridCol w:w="1051"/>
      </w:tblGrid>
      <w:tr w:rsidR="00D6070D" w:rsidRPr="00A4345D" w14:paraId="691DF479" w14:textId="77777777" w:rsidTr="00D6070D">
        <w:trPr>
          <w:trHeight w:val="300"/>
        </w:trPr>
        <w:tc>
          <w:tcPr>
            <w:tcW w:w="567" w:type="dxa"/>
          </w:tcPr>
          <w:p w14:paraId="44D6D67E" w14:textId="77777777" w:rsidR="00D6070D" w:rsidRPr="00A4345D" w:rsidRDefault="00D6070D" w:rsidP="00D6070D">
            <w:pPr>
              <w:spacing w:line="276" w:lineRule="auto"/>
              <w:rPr>
                <w:rFonts w:asciiTheme="minorHAnsi" w:hAnsiTheme="minorHAnsi" w:cstheme="minorHAnsi"/>
                <w:sz w:val="20"/>
                <w:szCs w:val="20"/>
              </w:rPr>
            </w:pPr>
          </w:p>
        </w:tc>
        <w:tc>
          <w:tcPr>
            <w:tcW w:w="1998" w:type="dxa"/>
            <w:shd w:val="clear" w:color="auto" w:fill="auto"/>
            <w:noWrap/>
            <w:vAlign w:val="bottom"/>
            <w:hideMark/>
          </w:tcPr>
          <w:p w14:paraId="00EF8767" w14:textId="77777777" w:rsidR="00D6070D" w:rsidRPr="00A4345D" w:rsidRDefault="00D6070D" w:rsidP="00D6070D">
            <w:pPr>
              <w:spacing w:line="276" w:lineRule="auto"/>
              <w:rPr>
                <w:rFonts w:asciiTheme="minorHAnsi" w:hAnsiTheme="minorHAnsi" w:cstheme="minorHAnsi"/>
                <w:sz w:val="20"/>
                <w:szCs w:val="20"/>
              </w:rPr>
            </w:pPr>
          </w:p>
        </w:tc>
        <w:tc>
          <w:tcPr>
            <w:tcW w:w="2810" w:type="dxa"/>
            <w:gridSpan w:val="4"/>
            <w:tcBorders>
              <w:bottom w:val="single" w:sz="4" w:space="0" w:color="auto"/>
            </w:tcBorders>
            <w:shd w:val="clear" w:color="auto" w:fill="auto"/>
            <w:noWrap/>
            <w:vAlign w:val="bottom"/>
            <w:hideMark/>
          </w:tcPr>
          <w:p w14:paraId="002A35EA"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Cumulative risk score quartiles</w:t>
            </w:r>
          </w:p>
        </w:tc>
        <w:tc>
          <w:tcPr>
            <w:tcW w:w="1051" w:type="dxa"/>
            <w:tcBorders>
              <w:bottom w:val="single" w:sz="4" w:space="0" w:color="auto"/>
            </w:tcBorders>
            <w:shd w:val="clear" w:color="auto" w:fill="auto"/>
            <w:noWrap/>
            <w:vAlign w:val="bottom"/>
            <w:hideMark/>
          </w:tcPr>
          <w:p w14:paraId="6E630E06"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Sample n</w:t>
            </w:r>
          </w:p>
        </w:tc>
      </w:tr>
      <w:tr w:rsidR="00D6070D" w:rsidRPr="00A4345D" w14:paraId="3D33C1C1" w14:textId="77777777" w:rsidTr="00D6070D">
        <w:trPr>
          <w:trHeight w:val="300"/>
        </w:trPr>
        <w:tc>
          <w:tcPr>
            <w:tcW w:w="567" w:type="dxa"/>
          </w:tcPr>
          <w:p w14:paraId="3D38B6E0" w14:textId="77777777" w:rsidR="00D6070D" w:rsidRPr="00A4345D" w:rsidRDefault="00D6070D" w:rsidP="00D6070D">
            <w:pPr>
              <w:spacing w:line="276" w:lineRule="auto"/>
              <w:rPr>
                <w:rFonts w:asciiTheme="minorHAnsi" w:hAnsiTheme="minorHAnsi" w:cstheme="minorHAnsi"/>
                <w:color w:val="000000"/>
                <w:sz w:val="20"/>
                <w:szCs w:val="20"/>
              </w:rPr>
            </w:pPr>
          </w:p>
        </w:tc>
        <w:tc>
          <w:tcPr>
            <w:tcW w:w="1998" w:type="dxa"/>
            <w:tcBorders>
              <w:bottom w:val="single" w:sz="4" w:space="0" w:color="auto"/>
            </w:tcBorders>
            <w:shd w:val="clear" w:color="auto" w:fill="auto"/>
            <w:noWrap/>
            <w:vAlign w:val="bottom"/>
            <w:hideMark/>
          </w:tcPr>
          <w:p w14:paraId="43CC7EF3"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tcBorders>
              <w:top w:val="single" w:sz="4" w:space="0" w:color="auto"/>
              <w:bottom w:val="single" w:sz="4" w:space="0" w:color="auto"/>
            </w:tcBorders>
            <w:shd w:val="clear" w:color="auto" w:fill="D0CECE" w:themeFill="background2" w:themeFillShade="E6"/>
            <w:noWrap/>
            <w:vAlign w:val="bottom"/>
            <w:hideMark/>
          </w:tcPr>
          <w:p w14:paraId="172F065F"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w:t>
            </w:r>
          </w:p>
        </w:tc>
        <w:tc>
          <w:tcPr>
            <w:tcW w:w="674" w:type="dxa"/>
            <w:tcBorders>
              <w:top w:val="single" w:sz="4" w:space="0" w:color="auto"/>
              <w:bottom w:val="single" w:sz="4" w:space="0" w:color="auto"/>
            </w:tcBorders>
            <w:shd w:val="clear" w:color="auto" w:fill="auto"/>
            <w:noWrap/>
            <w:vAlign w:val="bottom"/>
            <w:hideMark/>
          </w:tcPr>
          <w:p w14:paraId="0214390A"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2</w:t>
            </w:r>
          </w:p>
        </w:tc>
        <w:tc>
          <w:tcPr>
            <w:tcW w:w="674" w:type="dxa"/>
            <w:tcBorders>
              <w:top w:val="single" w:sz="4" w:space="0" w:color="auto"/>
              <w:bottom w:val="single" w:sz="4" w:space="0" w:color="auto"/>
            </w:tcBorders>
            <w:shd w:val="clear" w:color="auto" w:fill="auto"/>
            <w:noWrap/>
            <w:vAlign w:val="bottom"/>
            <w:hideMark/>
          </w:tcPr>
          <w:p w14:paraId="5CDCF5E5"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3</w:t>
            </w:r>
          </w:p>
        </w:tc>
        <w:tc>
          <w:tcPr>
            <w:tcW w:w="788" w:type="dxa"/>
            <w:tcBorders>
              <w:top w:val="single" w:sz="4" w:space="0" w:color="auto"/>
              <w:bottom w:val="single" w:sz="4" w:space="0" w:color="auto"/>
            </w:tcBorders>
            <w:shd w:val="clear" w:color="auto" w:fill="auto"/>
            <w:noWrap/>
            <w:vAlign w:val="bottom"/>
            <w:hideMark/>
          </w:tcPr>
          <w:p w14:paraId="23D2340D"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4</w:t>
            </w:r>
          </w:p>
        </w:tc>
        <w:tc>
          <w:tcPr>
            <w:tcW w:w="1051" w:type="dxa"/>
            <w:tcBorders>
              <w:top w:val="single" w:sz="4" w:space="0" w:color="auto"/>
              <w:bottom w:val="single" w:sz="4" w:space="0" w:color="auto"/>
            </w:tcBorders>
            <w:shd w:val="clear" w:color="auto" w:fill="auto"/>
            <w:noWrap/>
            <w:vAlign w:val="bottom"/>
            <w:hideMark/>
          </w:tcPr>
          <w:p w14:paraId="5223A9BE" w14:textId="77777777" w:rsidR="00D6070D" w:rsidRPr="00A4345D" w:rsidRDefault="00D6070D" w:rsidP="00D6070D">
            <w:pPr>
              <w:spacing w:line="276" w:lineRule="auto"/>
              <w:rPr>
                <w:rFonts w:asciiTheme="minorHAnsi" w:hAnsiTheme="minorHAnsi" w:cstheme="minorHAnsi"/>
                <w:color w:val="000000"/>
                <w:sz w:val="20"/>
                <w:szCs w:val="20"/>
              </w:rPr>
            </w:pPr>
          </w:p>
        </w:tc>
      </w:tr>
      <w:tr w:rsidR="00D6070D" w:rsidRPr="00A4345D" w14:paraId="29FF0F61" w14:textId="77777777" w:rsidTr="00D6070D">
        <w:trPr>
          <w:trHeight w:val="300"/>
        </w:trPr>
        <w:tc>
          <w:tcPr>
            <w:tcW w:w="567" w:type="dxa"/>
            <w:vMerge w:val="restart"/>
            <w:textDirection w:val="btLr"/>
          </w:tcPr>
          <w:p w14:paraId="059CD9E4" w14:textId="77777777" w:rsidR="00D6070D" w:rsidRPr="00A4345D" w:rsidRDefault="00D6070D" w:rsidP="00D6070D">
            <w:pPr>
              <w:spacing w:line="276" w:lineRule="auto"/>
              <w:ind w:left="113" w:right="113"/>
              <w:rPr>
                <w:rFonts w:asciiTheme="minorHAnsi" w:hAnsiTheme="minorHAnsi" w:cstheme="minorHAnsi"/>
                <w:color w:val="000000"/>
                <w:sz w:val="20"/>
                <w:szCs w:val="20"/>
              </w:rPr>
            </w:pPr>
            <w:r w:rsidRPr="00A4345D">
              <w:rPr>
                <w:rFonts w:asciiTheme="minorHAnsi" w:hAnsiTheme="minorHAnsi" w:cstheme="minorHAnsi"/>
                <w:color w:val="000000"/>
                <w:sz w:val="20"/>
                <w:szCs w:val="20"/>
              </w:rPr>
              <w:t>Latent classes</w:t>
            </w:r>
          </w:p>
        </w:tc>
        <w:tc>
          <w:tcPr>
            <w:tcW w:w="1998" w:type="dxa"/>
            <w:tcBorders>
              <w:top w:val="single" w:sz="4" w:space="0" w:color="auto"/>
            </w:tcBorders>
            <w:shd w:val="clear" w:color="auto" w:fill="auto"/>
            <w:noWrap/>
            <w:vAlign w:val="bottom"/>
            <w:hideMark/>
          </w:tcPr>
          <w:p w14:paraId="6D5FABF5"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very low</w:t>
            </w:r>
          </w:p>
        </w:tc>
        <w:tc>
          <w:tcPr>
            <w:tcW w:w="674" w:type="dxa"/>
            <w:tcBorders>
              <w:top w:val="single" w:sz="4" w:space="0" w:color="auto"/>
            </w:tcBorders>
            <w:shd w:val="clear" w:color="auto" w:fill="D0CECE" w:themeFill="background2" w:themeFillShade="E6"/>
            <w:noWrap/>
            <w:vAlign w:val="bottom"/>
            <w:hideMark/>
          </w:tcPr>
          <w:p w14:paraId="0A54D5AF"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0.20</w:t>
            </w:r>
          </w:p>
        </w:tc>
        <w:tc>
          <w:tcPr>
            <w:tcW w:w="674" w:type="dxa"/>
            <w:tcBorders>
              <w:top w:val="single" w:sz="4" w:space="0" w:color="auto"/>
            </w:tcBorders>
            <w:shd w:val="clear" w:color="auto" w:fill="auto"/>
            <w:noWrap/>
            <w:vAlign w:val="bottom"/>
          </w:tcPr>
          <w:p w14:paraId="739661D4"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tcBorders>
              <w:top w:val="single" w:sz="4" w:space="0" w:color="auto"/>
            </w:tcBorders>
            <w:shd w:val="clear" w:color="auto" w:fill="auto"/>
            <w:noWrap/>
            <w:vAlign w:val="bottom"/>
          </w:tcPr>
          <w:p w14:paraId="6B33F840" w14:textId="77777777" w:rsidR="00D6070D" w:rsidRPr="00A4345D" w:rsidRDefault="00D6070D" w:rsidP="00D6070D">
            <w:pPr>
              <w:spacing w:line="276" w:lineRule="auto"/>
              <w:rPr>
                <w:rFonts w:asciiTheme="minorHAnsi" w:hAnsiTheme="minorHAnsi" w:cstheme="minorHAnsi"/>
                <w:color w:val="000000"/>
                <w:sz w:val="20"/>
                <w:szCs w:val="20"/>
              </w:rPr>
            </w:pPr>
          </w:p>
        </w:tc>
        <w:tc>
          <w:tcPr>
            <w:tcW w:w="788" w:type="dxa"/>
            <w:tcBorders>
              <w:top w:val="single" w:sz="4" w:space="0" w:color="auto"/>
            </w:tcBorders>
            <w:shd w:val="clear" w:color="auto" w:fill="auto"/>
            <w:noWrap/>
            <w:vAlign w:val="bottom"/>
          </w:tcPr>
          <w:p w14:paraId="43C7A15E" w14:textId="77777777" w:rsidR="00D6070D" w:rsidRPr="00A4345D" w:rsidRDefault="00D6070D" w:rsidP="00D6070D">
            <w:pPr>
              <w:spacing w:line="276" w:lineRule="auto"/>
              <w:rPr>
                <w:rFonts w:asciiTheme="minorHAnsi" w:hAnsiTheme="minorHAnsi" w:cstheme="minorHAnsi"/>
                <w:color w:val="000000"/>
                <w:sz w:val="20"/>
                <w:szCs w:val="20"/>
              </w:rPr>
            </w:pPr>
          </w:p>
        </w:tc>
        <w:tc>
          <w:tcPr>
            <w:tcW w:w="1051" w:type="dxa"/>
            <w:tcBorders>
              <w:top w:val="single" w:sz="4" w:space="0" w:color="auto"/>
            </w:tcBorders>
            <w:shd w:val="clear" w:color="auto" w:fill="auto"/>
            <w:noWrap/>
            <w:vAlign w:val="bottom"/>
            <w:hideMark/>
          </w:tcPr>
          <w:p w14:paraId="5C865F33"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122.90</w:t>
            </w:r>
          </w:p>
        </w:tc>
      </w:tr>
      <w:tr w:rsidR="00D6070D" w:rsidRPr="00A4345D" w14:paraId="2EBCA41B" w14:textId="77777777" w:rsidTr="00D6070D">
        <w:trPr>
          <w:trHeight w:val="300"/>
        </w:trPr>
        <w:tc>
          <w:tcPr>
            <w:tcW w:w="567" w:type="dxa"/>
            <w:vMerge/>
          </w:tcPr>
          <w:p w14:paraId="38FDCCA3" w14:textId="77777777" w:rsidR="00D6070D" w:rsidRPr="00A4345D" w:rsidRDefault="00D6070D" w:rsidP="00D6070D">
            <w:pPr>
              <w:spacing w:line="276" w:lineRule="auto"/>
              <w:rPr>
                <w:rFonts w:asciiTheme="minorHAnsi" w:hAnsiTheme="minorHAnsi" w:cstheme="minorHAnsi"/>
                <w:color w:val="000000"/>
                <w:sz w:val="20"/>
                <w:szCs w:val="20"/>
              </w:rPr>
            </w:pPr>
          </w:p>
        </w:tc>
        <w:tc>
          <w:tcPr>
            <w:tcW w:w="1998" w:type="dxa"/>
            <w:shd w:val="clear" w:color="auto" w:fill="auto"/>
            <w:noWrap/>
            <w:vAlign w:val="bottom"/>
            <w:hideMark/>
          </w:tcPr>
          <w:p w14:paraId="7BA05F3B"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low</w:t>
            </w:r>
          </w:p>
        </w:tc>
        <w:tc>
          <w:tcPr>
            <w:tcW w:w="674" w:type="dxa"/>
            <w:shd w:val="clear" w:color="auto" w:fill="D0CECE" w:themeFill="background2" w:themeFillShade="E6"/>
            <w:noWrap/>
            <w:vAlign w:val="bottom"/>
            <w:hideMark/>
          </w:tcPr>
          <w:p w14:paraId="5272485A"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0.80</w:t>
            </w:r>
          </w:p>
        </w:tc>
        <w:tc>
          <w:tcPr>
            <w:tcW w:w="674" w:type="dxa"/>
            <w:shd w:val="clear" w:color="auto" w:fill="auto"/>
            <w:noWrap/>
            <w:vAlign w:val="bottom"/>
            <w:hideMark/>
          </w:tcPr>
          <w:p w14:paraId="054E9085"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0.78</w:t>
            </w:r>
          </w:p>
        </w:tc>
        <w:tc>
          <w:tcPr>
            <w:tcW w:w="674" w:type="dxa"/>
            <w:shd w:val="clear" w:color="auto" w:fill="auto"/>
            <w:noWrap/>
            <w:vAlign w:val="bottom"/>
          </w:tcPr>
          <w:p w14:paraId="320B0068" w14:textId="77777777" w:rsidR="00D6070D" w:rsidRPr="00A4345D" w:rsidRDefault="00D6070D" w:rsidP="00D6070D">
            <w:pPr>
              <w:spacing w:line="276" w:lineRule="auto"/>
              <w:rPr>
                <w:rFonts w:asciiTheme="minorHAnsi" w:hAnsiTheme="minorHAnsi" w:cstheme="minorHAnsi"/>
                <w:color w:val="000000"/>
                <w:sz w:val="20"/>
                <w:szCs w:val="20"/>
              </w:rPr>
            </w:pPr>
          </w:p>
        </w:tc>
        <w:tc>
          <w:tcPr>
            <w:tcW w:w="788" w:type="dxa"/>
            <w:shd w:val="clear" w:color="auto" w:fill="auto"/>
            <w:noWrap/>
            <w:vAlign w:val="bottom"/>
          </w:tcPr>
          <w:p w14:paraId="6B1B5132" w14:textId="77777777" w:rsidR="00D6070D" w:rsidRPr="00A4345D" w:rsidRDefault="00D6070D" w:rsidP="00D6070D">
            <w:pPr>
              <w:spacing w:line="276" w:lineRule="auto"/>
              <w:rPr>
                <w:rFonts w:asciiTheme="minorHAnsi" w:hAnsiTheme="minorHAnsi" w:cstheme="minorHAnsi"/>
                <w:color w:val="000000"/>
                <w:sz w:val="20"/>
                <w:szCs w:val="20"/>
              </w:rPr>
            </w:pPr>
          </w:p>
        </w:tc>
        <w:tc>
          <w:tcPr>
            <w:tcW w:w="1051" w:type="dxa"/>
            <w:shd w:val="clear" w:color="auto" w:fill="auto"/>
            <w:noWrap/>
            <w:vAlign w:val="bottom"/>
            <w:hideMark/>
          </w:tcPr>
          <w:p w14:paraId="1206ECF1"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810.60</w:t>
            </w:r>
          </w:p>
        </w:tc>
      </w:tr>
      <w:tr w:rsidR="00D6070D" w:rsidRPr="00A4345D" w14:paraId="765DAB56" w14:textId="77777777" w:rsidTr="00D6070D">
        <w:trPr>
          <w:trHeight w:val="300"/>
        </w:trPr>
        <w:tc>
          <w:tcPr>
            <w:tcW w:w="567" w:type="dxa"/>
            <w:vMerge/>
          </w:tcPr>
          <w:p w14:paraId="15F06F63" w14:textId="77777777" w:rsidR="00D6070D" w:rsidRPr="00A4345D" w:rsidRDefault="00D6070D" w:rsidP="00D6070D">
            <w:pPr>
              <w:spacing w:line="276" w:lineRule="auto"/>
              <w:rPr>
                <w:rFonts w:asciiTheme="minorHAnsi" w:hAnsiTheme="minorHAnsi" w:cstheme="minorHAnsi"/>
                <w:color w:val="000000"/>
                <w:sz w:val="20"/>
                <w:szCs w:val="20"/>
              </w:rPr>
            </w:pPr>
          </w:p>
        </w:tc>
        <w:tc>
          <w:tcPr>
            <w:tcW w:w="1998" w:type="dxa"/>
            <w:shd w:val="clear" w:color="auto" w:fill="auto"/>
            <w:noWrap/>
            <w:vAlign w:val="bottom"/>
            <w:hideMark/>
          </w:tcPr>
          <w:p w14:paraId="43EDD8B2"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Low increasing</w:t>
            </w:r>
          </w:p>
        </w:tc>
        <w:tc>
          <w:tcPr>
            <w:tcW w:w="674" w:type="dxa"/>
            <w:shd w:val="clear" w:color="auto" w:fill="D0CECE" w:themeFill="background2" w:themeFillShade="E6"/>
            <w:noWrap/>
            <w:vAlign w:val="bottom"/>
            <w:hideMark/>
          </w:tcPr>
          <w:p w14:paraId="169EF331"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shd w:val="clear" w:color="auto" w:fill="auto"/>
            <w:noWrap/>
            <w:vAlign w:val="bottom"/>
            <w:hideMark/>
          </w:tcPr>
          <w:p w14:paraId="6AE46010"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0.22</w:t>
            </w:r>
          </w:p>
        </w:tc>
        <w:tc>
          <w:tcPr>
            <w:tcW w:w="674" w:type="dxa"/>
            <w:shd w:val="clear" w:color="auto" w:fill="auto"/>
            <w:noWrap/>
            <w:vAlign w:val="bottom"/>
            <w:hideMark/>
          </w:tcPr>
          <w:p w14:paraId="564627AB"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0.38</w:t>
            </w:r>
          </w:p>
        </w:tc>
        <w:tc>
          <w:tcPr>
            <w:tcW w:w="788" w:type="dxa"/>
            <w:shd w:val="clear" w:color="auto" w:fill="auto"/>
            <w:noWrap/>
            <w:vAlign w:val="bottom"/>
            <w:hideMark/>
          </w:tcPr>
          <w:p w14:paraId="5C6CADA6" w14:textId="77777777" w:rsidR="00D6070D" w:rsidRPr="00A4345D" w:rsidRDefault="00D6070D" w:rsidP="00D6070D">
            <w:pPr>
              <w:spacing w:line="276" w:lineRule="auto"/>
              <w:rPr>
                <w:rFonts w:asciiTheme="minorHAnsi" w:hAnsiTheme="minorHAnsi" w:cstheme="minorHAnsi"/>
                <w:color w:val="000000"/>
                <w:sz w:val="20"/>
                <w:szCs w:val="20"/>
              </w:rPr>
            </w:pPr>
          </w:p>
        </w:tc>
        <w:tc>
          <w:tcPr>
            <w:tcW w:w="1051" w:type="dxa"/>
            <w:shd w:val="clear" w:color="auto" w:fill="auto"/>
            <w:noWrap/>
            <w:vAlign w:val="bottom"/>
            <w:hideMark/>
          </w:tcPr>
          <w:p w14:paraId="504EB409"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265.20</w:t>
            </w:r>
          </w:p>
        </w:tc>
      </w:tr>
      <w:tr w:rsidR="00D6070D" w:rsidRPr="00A4345D" w14:paraId="6E9FE818" w14:textId="77777777" w:rsidTr="00D6070D">
        <w:trPr>
          <w:trHeight w:val="300"/>
        </w:trPr>
        <w:tc>
          <w:tcPr>
            <w:tcW w:w="567" w:type="dxa"/>
            <w:vMerge/>
          </w:tcPr>
          <w:p w14:paraId="0282FBEE" w14:textId="77777777" w:rsidR="00D6070D" w:rsidRPr="00A4345D" w:rsidRDefault="00D6070D" w:rsidP="00D6070D">
            <w:pPr>
              <w:spacing w:line="276" w:lineRule="auto"/>
              <w:rPr>
                <w:rFonts w:asciiTheme="minorHAnsi" w:hAnsiTheme="minorHAnsi" w:cstheme="minorHAnsi"/>
                <w:color w:val="000000"/>
                <w:sz w:val="20"/>
                <w:szCs w:val="20"/>
              </w:rPr>
            </w:pPr>
          </w:p>
        </w:tc>
        <w:tc>
          <w:tcPr>
            <w:tcW w:w="1998" w:type="dxa"/>
            <w:shd w:val="clear" w:color="auto" w:fill="auto"/>
            <w:noWrap/>
            <w:vAlign w:val="bottom"/>
            <w:hideMark/>
          </w:tcPr>
          <w:p w14:paraId="76078C56"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moderate</w:t>
            </w:r>
          </w:p>
        </w:tc>
        <w:tc>
          <w:tcPr>
            <w:tcW w:w="674" w:type="dxa"/>
            <w:shd w:val="clear" w:color="auto" w:fill="D0CECE" w:themeFill="background2" w:themeFillShade="E6"/>
            <w:noWrap/>
            <w:vAlign w:val="bottom"/>
          </w:tcPr>
          <w:p w14:paraId="1A9FA5E6"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shd w:val="clear" w:color="auto" w:fill="auto"/>
            <w:noWrap/>
            <w:vAlign w:val="bottom"/>
          </w:tcPr>
          <w:p w14:paraId="79AC2D43"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shd w:val="clear" w:color="auto" w:fill="auto"/>
            <w:noWrap/>
            <w:vAlign w:val="bottom"/>
            <w:hideMark/>
          </w:tcPr>
          <w:p w14:paraId="5D5152D5"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0.62</w:t>
            </w:r>
          </w:p>
        </w:tc>
        <w:tc>
          <w:tcPr>
            <w:tcW w:w="788" w:type="dxa"/>
            <w:shd w:val="clear" w:color="auto" w:fill="auto"/>
            <w:noWrap/>
            <w:vAlign w:val="bottom"/>
            <w:hideMark/>
          </w:tcPr>
          <w:p w14:paraId="13E39A03"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0.26</w:t>
            </w:r>
          </w:p>
        </w:tc>
        <w:tc>
          <w:tcPr>
            <w:tcW w:w="1051" w:type="dxa"/>
            <w:shd w:val="clear" w:color="auto" w:fill="auto"/>
            <w:noWrap/>
            <w:vAlign w:val="bottom"/>
            <w:hideMark/>
          </w:tcPr>
          <w:p w14:paraId="1D981665"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404.70</w:t>
            </w:r>
          </w:p>
        </w:tc>
      </w:tr>
      <w:tr w:rsidR="00D6070D" w:rsidRPr="00A4345D" w14:paraId="240D4D28" w14:textId="77777777" w:rsidTr="00D6070D">
        <w:trPr>
          <w:trHeight w:val="300"/>
        </w:trPr>
        <w:tc>
          <w:tcPr>
            <w:tcW w:w="567" w:type="dxa"/>
            <w:vMerge/>
          </w:tcPr>
          <w:p w14:paraId="0797E4E5" w14:textId="77777777" w:rsidR="00D6070D" w:rsidRPr="00A4345D" w:rsidRDefault="00D6070D" w:rsidP="00D6070D">
            <w:pPr>
              <w:spacing w:line="276" w:lineRule="auto"/>
              <w:rPr>
                <w:rFonts w:asciiTheme="minorHAnsi" w:hAnsiTheme="minorHAnsi" w:cstheme="minorHAnsi"/>
                <w:color w:val="000000"/>
                <w:sz w:val="20"/>
                <w:szCs w:val="20"/>
              </w:rPr>
            </w:pPr>
          </w:p>
        </w:tc>
        <w:tc>
          <w:tcPr>
            <w:tcW w:w="1998" w:type="dxa"/>
            <w:shd w:val="clear" w:color="auto" w:fill="auto"/>
            <w:noWrap/>
            <w:vAlign w:val="bottom"/>
            <w:hideMark/>
          </w:tcPr>
          <w:p w14:paraId="6934E88D"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Moderate increasing</w:t>
            </w:r>
          </w:p>
        </w:tc>
        <w:tc>
          <w:tcPr>
            <w:tcW w:w="674" w:type="dxa"/>
            <w:shd w:val="clear" w:color="auto" w:fill="D0CECE" w:themeFill="background2" w:themeFillShade="E6"/>
            <w:noWrap/>
            <w:vAlign w:val="bottom"/>
          </w:tcPr>
          <w:p w14:paraId="2DCA4E61"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shd w:val="clear" w:color="auto" w:fill="auto"/>
            <w:noWrap/>
            <w:vAlign w:val="bottom"/>
          </w:tcPr>
          <w:p w14:paraId="452D9AF5"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shd w:val="clear" w:color="auto" w:fill="auto"/>
            <w:noWrap/>
            <w:vAlign w:val="bottom"/>
          </w:tcPr>
          <w:p w14:paraId="019E79EE" w14:textId="77777777" w:rsidR="00D6070D" w:rsidRPr="00A4345D" w:rsidRDefault="00D6070D" w:rsidP="00D6070D">
            <w:pPr>
              <w:spacing w:line="276" w:lineRule="auto"/>
              <w:rPr>
                <w:rFonts w:asciiTheme="minorHAnsi" w:hAnsiTheme="minorHAnsi" w:cstheme="minorHAnsi"/>
                <w:color w:val="000000"/>
                <w:sz w:val="20"/>
                <w:szCs w:val="20"/>
              </w:rPr>
            </w:pPr>
          </w:p>
        </w:tc>
        <w:tc>
          <w:tcPr>
            <w:tcW w:w="788" w:type="dxa"/>
            <w:shd w:val="clear" w:color="auto" w:fill="auto"/>
            <w:noWrap/>
            <w:vAlign w:val="bottom"/>
            <w:hideMark/>
          </w:tcPr>
          <w:p w14:paraId="37B85988"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0.20</w:t>
            </w:r>
          </w:p>
        </w:tc>
        <w:tc>
          <w:tcPr>
            <w:tcW w:w="1051" w:type="dxa"/>
            <w:shd w:val="clear" w:color="auto" w:fill="auto"/>
            <w:noWrap/>
            <w:vAlign w:val="bottom"/>
            <w:hideMark/>
          </w:tcPr>
          <w:p w14:paraId="364F877B"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93.50</w:t>
            </w:r>
          </w:p>
        </w:tc>
      </w:tr>
      <w:tr w:rsidR="00D6070D" w:rsidRPr="00A4345D" w14:paraId="7A82192D" w14:textId="77777777" w:rsidTr="00D6070D">
        <w:trPr>
          <w:trHeight w:val="300"/>
        </w:trPr>
        <w:tc>
          <w:tcPr>
            <w:tcW w:w="567" w:type="dxa"/>
            <w:vMerge/>
          </w:tcPr>
          <w:p w14:paraId="2D55B858" w14:textId="77777777" w:rsidR="00D6070D" w:rsidRPr="00A4345D" w:rsidRDefault="00D6070D" w:rsidP="00D6070D">
            <w:pPr>
              <w:spacing w:line="276" w:lineRule="auto"/>
              <w:rPr>
                <w:rFonts w:asciiTheme="minorHAnsi" w:hAnsiTheme="minorHAnsi" w:cstheme="minorHAnsi"/>
                <w:color w:val="000000"/>
                <w:sz w:val="20"/>
                <w:szCs w:val="20"/>
              </w:rPr>
            </w:pPr>
          </w:p>
        </w:tc>
        <w:tc>
          <w:tcPr>
            <w:tcW w:w="1998" w:type="dxa"/>
            <w:shd w:val="clear" w:color="auto" w:fill="auto"/>
            <w:noWrap/>
            <w:vAlign w:val="bottom"/>
            <w:hideMark/>
          </w:tcPr>
          <w:p w14:paraId="4C8DE661"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Persistent high</w:t>
            </w:r>
          </w:p>
        </w:tc>
        <w:tc>
          <w:tcPr>
            <w:tcW w:w="674" w:type="dxa"/>
            <w:shd w:val="clear" w:color="auto" w:fill="D0CECE" w:themeFill="background2" w:themeFillShade="E6"/>
            <w:noWrap/>
            <w:vAlign w:val="bottom"/>
          </w:tcPr>
          <w:p w14:paraId="7ACBEBFB"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shd w:val="clear" w:color="auto" w:fill="auto"/>
            <w:noWrap/>
            <w:vAlign w:val="bottom"/>
          </w:tcPr>
          <w:p w14:paraId="7C28E6BA" w14:textId="77777777" w:rsidR="00D6070D" w:rsidRPr="00A4345D" w:rsidRDefault="00D6070D" w:rsidP="00D6070D">
            <w:pPr>
              <w:spacing w:line="276" w:lineRule="auto"/>
              <w:rPr>
                <w:rFonts w:asciiTheme="minorHAnsi" w:hAnsiTheme="minorHAnsi" w:cstheme="minorHAnsi"/>
                <w:color w:val="000000"/>
                <w:sz w:val="20"/>
                <w:szCs w:val="20"/>
              </w:rPr>
            </w:pPr>
          </w:p>
        </w:tc>
        <w:tc>
          <w:tcPr>
            <w:tcW w:w="674" w:type="dxa"/>
            <w:shd w:val="clear" w:color="auto" w:fill="auto"/>
            <w:noWrap/>
            <w:vAlign w:val="bottom"/>
          </w:tcPr>
          <w:p w14:paraId="48287929" w14:textId="77777777" w:rsidR="00D6070D" w:rsidRPr="00A4345D" w:rsidRDefault="00D6070D" w:rsidP="00D6070D">
            <w:pPr>
              <w:spacing w:line="276" w:lineRule="auto"/>
              <w:rPr>
                <w:rFonts w:asciiTheme="minorHAnsi" w:hAnsiTheme="minorHAnsi" w:cstheme="minorHAnsi"/>
                <w:color w:val="000000"/>
                <w:sz w:val="20"/>
                <w:szCs w:val="20"/>
              </w:rPr>
            </w:pPr>
          </w:p>
        </w:tc>
        <w:tc>
          <w:tcPr>
            <w:tcW w:w="788" w:type="dxa"/>
            <w:shd w:val="clear" w:color="auto" w:fill="auto"/>
            <w:noWrap/>
            <w:vAlign w:val="bottom"/>
            <w:hideMark/>
          </w:tcPr>
          <w:p w14:paraId="53BD0305"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0.54</w:t>
            </w:r>
          </w:p>
        </w:tc>
        <w:tc>
          <w:tcPr>
            <w:tcW w:w="1051" w:type="dxa"/>
            <w:shd w:val="clear" w:color="auto" w:fill="auto"/>
            <w:noWrap/>
            <w:vAlign w:val="bottom"/>
            <w:hideMark/>
          </w:tcPr>
          <w:p w14:paraId="1529AA97" w14:textId="77777777" w:rsidR="00D6070D" w:rsidRPr="00A4345D" w:rsidRDefault="00D6070D" w:rsidP="00D6070D">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254.10</w:t>
            </w:r>
          </w:p>
        </w:tc>
      </w:tr>
    </w:tbl>
    <w:p w14:paraId="6C0CC7A2" w14:textId="77777777" w:rsidR="00D6070D" w:rsidRDefault="00D6070D" w:rsidP="00D6070D">
      <w:pPr>
        <w:sectPr w:rsidR="00D6070D" w:rsidSect="0078645A">
          <w:pgSz w:w="11906" w:h="16838"/>
          <w:pgMar w:top="1440" w:right="1440" w:bottom="1440" w:left="1440" w:header="708" w:footer="708" w:gutter="0"/>
          <w:cols w:space="708"/>
          <w:docGrid w:linePitch="360"/>
        </w:sectPr>
      </w:pPr>
    </w:p>
    <w:p w14:paraId="0D3C1587" w14:textId="5F429EDC" w:rsidR="00C84C7D" w:rsidRPr="00A4345D" w:rsidRDefault="00C84C7D" w:rsidP="00D6070D">
      <w:pPr>
        <w:pStyle w:val="Heading2"/>
        <w:numPr>
          <w:ilvl w:val="0"/>
          <w:numId w:val="2"/>
        </w:numPr>
        <w:spacing w:line="276" w:lineRule="auto"/>
        <w:rPr>
          <w:rFonts w:asciiTheme="minorHAnsi" w:hAnsiTheme="minorHAnsi" w:cstheme="minorHAnsi"/>
        </w:rPr>
      </w:pPr>
      <w:r>
        <w:rPr>
          <w:rFonts w:asciiTheme="minorHAnsi" w:hAnsiTheme="minorHAnsi" w:cstheme="minorHAnsi"/>
        </w:rPr>
        <w:lastRenderedPageBreak/>
        <w:t xml:space="preserve">Associations between </w:t>
      </w:r>
      <w:r w:rsidRPr="00A4345D">
        <w:rPr>
          <w:rFonts w:asciiTheme="minorHAnsi" w:hAnsiTheme="minorHAnsi" w:cstheme="minorHAnsi"/>
        </w:rPr>
        <w:t xml:space="preserve">the adolescent cancer risk measure </w:t>
      </w:r>
      <w:r>
        <w:rPr>
          <w:rFonts w:asciiTheme="minorHAnsi" w:hAnsiTheme="minorHAnsi" w:cstheme="minorHAnsi"/>
        </w:rPr>
        <w:t>and socioeconomic status (</w:t>
      </w:r>
      <w:r w:rsidRPr="00A4345D">
        <w:rPr>
          <w:rFonts w:asciiTheme="minorHAnsi" w:hAnsiTheme="minorHAnsi" w:cstheme="minorHAnsi"/>
        </w:rPr>
        <w:t>SES</w:t>
      </w:r>
      <w:r>
        <w:rPr>
          <w:rFonts w:asciiTheme="minorHAnsi" w:hAnsiTheme="minorHAnsi" w:cstheme="minorHAnsi"/>
        </w:rPr>
        <w:t>)</w:t>
      </w:r>
      <w:r w:rsidRPr="00A4345D">
        <w:rPr>
          <w:rFonts w:asciiTheme="minorHAnsi" w:hAnsiTheme="minorHAnsi" w:cstheme="minorHAnsi"/>
        </w:rPr>
        <w:t xml:space="preserve"> measures </w:t>
      </w:r>
    </w:p>
    <w:p w14:paraId="55129763" w14:textId="77777777" w:rsidR="00C84C7D" w:rsidRPr="00A4345D" w:rsidRDefault="00C84C7D" w:rsidP="00C84C7D">
      <w:pPr>
        <w:spacing w:line="276" w:lineRule="auto"/>
        <w:rPr>
          <w:rFonts w:asciiTheme="minorHAnsi" w:hAnsiTheme="minorHAnsi" w:cstheme="minorHAnsi"/>
        </w:rPr>
      </w:pPr>
    </w:p>
    <w:tbl>
      <w:tblPr>
        <w:tblW w:w="4493" w:type="pct"/>
        <w:tblLayout w:type="fixed"/>
        <w:tblCellMar>
          <w:left w:w="0" w:type="dxa"/>
          <w:right w:w="0" w:type="dxa"/>
        </w:tblCellMar>
        <w:tblLook w:val="04A0" w:firstRow="1" w:lastRow="0" w:firstColumn="1" w:lastColumn="0" w:noHBand="0" w:noVBand="1"/>
      </w:tblPr>
      <w:tblGrid>
        <w:gridCol w:w="4339"/>
        <w:gridCol w:w="4749"/>
        <w:gridCol w:w="4749"/>
      </w:tblGrid>
      <w:tr w:rsidR="00C84C7D" w:rsidRPr="00A4345D" w14:paraId="6095D67D" w14:textId="77777777" w:rsidTr="004207B2">
        <w:trPr>
          <w:trHeight w:val="20"/>
        </w:trPr>
        <w:tc>
          <w:tcPr>
            <w:tcW w:w="1568" w:type="pct"/>
            <w:tcBorders>
              <w:bottom w:val="single" w:sz="4" w:space="0" w:color="auto"/>
            </w:tcBorders>
            <w:shd w:val="clear" w:color="auto" w:fill="auto"/>
          </w:tcPr>
          <w:p w14:paraId="45468569" w14:textId="77777777" w:rsidR="00C84C7D" w:rsidRPr="00A4345D" w:rsidRDefault="00C84C7D" w:rsidP="004207B2">
            <w:pPr>
              <w:spacing w:line="276" w:lineRule="auto"/>
              <w:rPr>
                <w:rFonts w:asciiTheme="minorHAnsi" w:hAnsiTheme="minorHAnsi" w:cstheme="minorHAnsi"/>
                <w:color w:val="000000"/>
                <w:sz w:val="20"/>
                <w:szCs w:val="20"/>
              </w:rPr>
            </w:pPr>
          </w:p>
        </w:tc>
        <w:tc>
          <w:tcPr>
            <w:tcW w:w="3432" w:type="pct"/>
            <w:gridSpan w:val="2"/>
            <w:tcBorders>
              <w:bottom w:val="single" w:sz="4" w:space="0" w:color="auto"/>
            </w:tcBorders>
            <w:shd w:val="clear" w:color="auto" w:fill="auto"/>
          </w:tcPr>
          <w:p w14:paraId="3D78DBD2" w14:textId="77777777" w:rsidR="00C84C7D" w:rsidRPr="00937055" w:rsidRDefault="00C84C7D" w:rsidP="004207B2">
            <w:pPr>
              <w:spacing w:line="276" w:lineRule="auto"/>
              <w:jc w:val="center"/>
              <w:rPr>
                <w:rFonts w:asciiTheme="minorHAnsi" w:hAnsiTheme="minorHAnsi" w:cstheme="minorHAnsi"/>
                <w:color w:val="000000"/>
                <w:sz w:val="20"/>
                <w:szCs w:val="20"/>
              </w:rPr>
            </w:pPr>
            <w:r w:rsidRPr="00A4345D">
              <w:rPr>
                <w:rFonts w:asciiTheme="minorHAnsi" w:hAnsiTheme="minorHAnsi" w:cstheme="minorHAnsi"/>
                <w:color w:val="000000"/>
                <w:sz w:val="20"/>
                <w:szCs w:val="20"/>
              </w:rPr>
              <w:t>Cumulative adolescent risk score</w:t>
            </w:r>
          </w:p>
        </w:tc>
      </w:tr>
      <w:tr w:rsidR="00C84C7D" w:rsidRPr="00A4345D" w14:paraId="67B0CB1C" w14:textId="77777777" w:rsidTr="004207B2">
        <w:trPr>
          <w:trHeight w:val="20"/>
        </w:trPr>
        <w:tc>
          <w:tcPr>
            <w:tcW w:w="1568" w:type="pct"/>
            <w:tcBorders>
              <w:top w:val="single" w:sz="4" w:space="0" w:color="auto"/>
            </w:tcBorders>
            <w:shd w:val="clear" w:color="auto" w:fill="auto"/>
            <w:hideMark/>
          </w:tcPr>
          <w:p w14:paraId="6F525306" w14:textId="77777777" w:rsidR="00C84C7D" w:rsidRPr="00A4345D" w:rsidRDefault="00C84C7D" w:rsidP="004207B2">
            <w:pPr>
              <w:spacing w:line="276" w:lineRule="auto"/>
              <w:rPr>
                <w:rFonts w:asciiTheme="minorHAnsi" w:hAnsiTheme="minorHAnsi" w:cstheme="minorHAnsi"/>
                <w:color w:val="000000"/>
                <w:sz w:val="20"/>
                <w:szCs w:val="20"/>
              </w:rPr>
            </w:pPr>
          </w:p>
        </w:tc>
        <w:tc>
          <w:tcPr>
            <w:tcW w:w="1716" w:type="pct"/>
            <w:tcBorders>
              <w:top w:val="single" w:sz="4" w:space="0" w:color="auto"/>
            </w:tcBorders>
            <w:shd w:val="clear" w:color="auto" w:fill="auto"/>
            <w:hideMark/>
          </w:tcPr>
          <w:p w14:paraId="4447F04F"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C</w:t>
            </w:r>
            <w:r w:rsidRPr="00A4345D">
              <w:rPr>
                <w:rFonts w:asciiTheme="minorHAnsi" w:hAnsiTheme="minorHAnsi" w:cstheme="minorHAnsi"/>
                <w:color w:val="000000"/>
                <w:sz w:val="20"/>
                <w:szCs w:val="20"/>
              </w:rPr>
              <w:t>omplete case¹</w:t>
            </w:r>
            <w:r>
              <w:rPr>
                <w:rFonts w:asciiTheme="minorHAnsi" w:hAnsiTheme="minorHAnsi" w:cstheme="minorHAnsi"/>
                <w:color w:val="000000"/>
                <w:sz w:val="20"/>
                <w:szCs w:val="20"/>
              </w:rPr>
              <w:t xml:space="preserve"> (n=1,951)</w:t>
            </w:r>
          </w:p>
        </w:tc>
        <w:tc>
          <w:tcPr>
            <w:tcW w:w="1716" w:type="pct"/>
            <w:tcBorders>
              <w:top w:val="single" w:sz="4" w:space="0" w:color="auto"/>
            </w:tcBorders>
          </w:tcPr>
          <w:p w14:paraId="16DAEC88" w14:textId="77777777" w:rsidR="00C84C7D" w:rsidRPr="00A4345D" w:rsidRDefault="00C84C7D" w:rsidP="004207B2">
            <w:pPr>
              <w:spacing w:line="276" w:lineRule="auto"/>
              <w:rPr>
                <w:rFonts w:asciiTheme="minorHAnsi" w:hAnsiTheme="minorHAnsi" w:cstheme="minorHAnsi"/>
                <w:color w:val="000000"/>
                <w:sz w:val="20"/>
                <w:szCs w:val="20"/>
                <w:lang w:val="fr-FR"/>
              </w:rPr>
            </w:pPr>
            <w:r>
              <w:rPr>
                <w:rFonts w:asciiTheme="minorHAnsi" w:hAnsiTheme="minorHAnsi" w:cstheme="minorHAnsi"/>
                <w:color w:val="000000"/>
                <w:sz w:val="20"/>
                <w:szCs w:val="20"/>
                <w:lang w:val="fr-FR"/>
              </w:rPr>
              <w:t>I</w:t>
            </w:r>
            <w:r w:rsidRPr="00A4345D">
              <w:rPr>
                <w:rFonts w:asciiTheme="minorHAnsi" w:hAnsiTheme="minorHAnsi" w:cstheme="minorHAnsi"/>
                <w:color w:val="000000"/>
                <w:sz w:val="20"/>
                <w:szCs w:val="20"/>
                <w:lang w:val="fr-FR"/>
              </w:rPr>
              <w:t xml:space="preserve">mputation </w:t>
            </w:r>
            <w:proofErr w:type="spellStart"/>
            <w:r w:rsidRPr="00A4345D">
              <w:rPr>
                <w:rFonts w:asciiTheme="minorHAnsi" w:hAnsiTheme="minorHAnsi" w:cstheme="minorHAnsi"/>
                <w:color w:val="000000"/>
                <w:sz w:val="20"/>
                <w:szCs w:val="20"/>
                <w:lang w:val="fr-FR"/>
              </w:rPr>
              <w:t>sample</w:t>
            </w:r>
            <w:proofErr w:type="spellEnd"/>
            <w:r w:rsidRPr="00A4345D">
              <w:rPr>
                <w:rFonts w:asciiTheme="minorHAnsi" w:hAnsiTheme="minorHAnsi" w:cstheme="minorHAnsi"/>
                <w:color w:val="000000"/>
                <w:sz w:val="20"/>
                <w:szCs w:val="20"/>
                <w:lang w:val="fr-FR"/>
              </w:rPr>
              <w:t xml:space="preserve"> (n=6,351)</w:t>
            </w:r>
          </w:p>
        </w:tc>
      </w:tr>
      <w:tr w:rsidR="00C84C7D" w:rsidRPr="00A4345D" w14:paraId="0DFB426D" w14:textId="77777777" w:rsidTr="004207B2">
        <w:trPr>
          <w:trHeight w:val="20"/>
        </w:trPr>
        <w:tc>
          <w:tcPr>
            <w:tcW w:w="1568" w:type="pct"/>
            <w:shd w:val="clear" w:color="auto" w:fill="auto"/>
          </w:tcPr>
          <w:p w14:paraId="046CE9BC" w14:textId="77777777" w:rsidR="00C84C7D" w:rsidRPr="00A4345D" w:rsidRDefault="00C84C7D" w:rsidP="004207B2">
            <w:pPr>
              <w:spacing w:line="276" w:lineRule="auto"/>
              <w:rPr>
                <w:rFonts w:asciiTheme="minorHAnsi" w:hAnsiTheme="minorHAnsi" w:cstheme="minorHAnsi"/>
                <w:color w:val="000000"/>
                <w:sz w:val="20"/>
                <w:szCs w:val="20"/>
                <w:lang w:val="fr-FR"/>
              </w:rPr>
            </w:pPr>
            <w:proofErr w:type="spellStart"/>
            <w:r>
              <w:rPr>
                <w:rFonts w:asciiTheme="minorHAnsi" w:hAnsiTheme="minorHAnsi" w:cstheme="minorHAnsi"/>
                <w:color w:val="000000"/>
                <w:sz w:val="20"/>
                <w:szCs w:val="20"/>
                <w:lang w:val="fr-FR"/>
              </w:rPr>
              <w:t>Socio-economic</w:t>
            </w:r>
            <w:proofErr w:type="spellEnd"/>
            <w:r>
              <w:rPr>
                <w:rFonts w:asciiTheme="minorHAnsi" w:hAnsiTheme="minorHAnsi" w:cstheme="minorHAnsi"/>
                <w:color w:val="000000"/>
                <w:sz w:val="20"/>
                <w:szCs w:val="20"/>
                <w:lang w:val="fr-FR"/>
              </w:rPr>
              <w:t xml:space="preserve"> </w:t>
            </w:r>
            <w:proofErr w:type="spellStart"/>
            <w:r>
              <w:rPr>
                <w:rFonts w:asciiTheme="minorHAnsi" w:hAnsiTheme="minorHAnsi" w:cstheme="minorHAnsi"/>
                <w:color w:val="000000"/>
                <w:sz w:val="20"/>
                <w:szCs w:val="20"/>
                <w:lang w:val="fr-FR"/>
              </w:rPr>
              <w:t>status</w:t>
            </w:r>
            <w:proofErr w:type="spellEnd"/>
          </w:p>
        </w:tc>
        <w:tc>
          <w:tcPr>
            <w:tcW w:w="1716" w:type="pct"/>
            <w:shd w:val="clear" w:color="auto" w:fill="auto"/>
          </w:tcPr>
          <w:p w14:paraId="614F8EBD" w14:textId="77777777" w:rsidR="00C84C7D" w:rsidRDefault="00C84C7D" w:rsidP="004207B2">
            <w:pPr>
              <w:spacing w:line="276" w:lineRule="auto"/>
              <w:rPr>
                <w:rFonts w:asciiTheme="minorHAnsi" w:hAnsiTheme="minorHAnsi" w:cstheme="minorHAnsi"/>
                <w:color w:val="000000"/>
                <w:sz w:val="20"/>
                <w:szCs w:val="20"/>
              </w:rPr>
            </w:pPr>
          </w:p>
          <w:p w14:paraId="4423C067"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β [95% CI]</w:t>
            </w:r>
          </w:p>
        </w:tc>
        <w:tc>
          <w:tcPr>
            <w:tcW w:w="1716" w:type="pct"/>
          </w:tcPr>
          <w:p w14:paraId="2A98FDCB" w14:textId="77777777" w:rsidR="00C84C7D" w:rsidRDefault="00C84C7D" w:rsidP="004207B2">
            <w:pPr>
              <w:spacing w:line="276" w:lineRule="auto"/>
              <w:rPr>
                <w:rFonts w:asciiTheme="minorHAnsi" w:hAnsiTheme="minorHAnsi" w:cstheme="minorHAnsi"/>
                <w:color w:val="000000"/>
                <w:sz w:val="20"/>
                <w:szCs w:val="20"/>
              </w:rPr>
            </w:pPr>
          </w:p>
          <w:p w14:paraId="4A4D2E6F"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β [95% CI]</w:t>
            </w:r>
          </w:p>
        </w:tc>
      </w:tr>
      <w:tr w:rsidR="00C84C7D" w:rsidRPr="00A4345D" w14:paraId="043377E1" w14:textId="77777777" w:rsidTr="004207B2">
        <w:trPr>
          <w:trHeight w:val="20"/>
        </w:trPr>
        <w:tc>
          <w:tcPr>
            <w:tcW w:w="1568" w:type="pct"/>
            <w:shd w:val="clear" w:color="auto" w:fill="auto"/>
          </w:tcPr>
          <w:p w14:paraId="7B300ADD"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Income (n=1,826)</w:t>
            </w:r>
          </w:p>
        </w:tc>
        <w:tc>
          <w:tcPr>
            <w:tcW w:w="1716" w:type="pct"/>
            <w:shd w:val="clear" w:color="auto" w:fill="auto"/>
          </w:tcPr>
          <w:p w14:paraId="7D1DB41F"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 xml:space="preserve"> </w:t>
            </w:r>
          </w:p>
        </w:tc>
        <w:tc>
          <w:tcPr>
            <w:tcW w:w="1716" w:type="pct"/>
          </w:tcPr>
          <w:p w14:paraId="77940291" w14:textId="77777777" w:rsidR="00C84C7D" w:rsidRPr="00A4345D" w:rsidRDefault="00C84C7D" w:rsidP="004207B2">
            <w:pPr>
              <w:spacing w:line="276" w:lineRule="auto"/>
              <w:rPr>
                <w:rFonts w:asciiTheme="minorHAnsi" w:hAnsiTheme="minorHAnsi" w:cstheme="minorHAnsi"/>
                <w:color w:val="000000"/>
                <w:sz w:val="20"/>
                <w:szCs w:val="20"/>
              </w:rPr>
            </w:pPr>
          </w:p>
        </w:tc>
      </w:tr>
      <w:tr w:rsidR="00C84C7D" w:rsidRPr="00A4345D" w14:paraId="736B386D" w14:textId="77777777" w:rsidTr="004207B2">
        <w:trPr>
          <w:trHeight w:val="20"/>
        </w:trPr>
        <w:tc>
          <w:tcPr>
            <w:tcW w:w="1568" w:type="pct"/>
            <w:shd w:val="clear" w:color="auto" w:fill="auto"/>
            <w:hideMark/>
          </w:tcPr>
          <w:p w14:paraId="458AA850"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 xml:space="preserve">High </w:t>
            </w:r>
          </w:p>
        </w:tc>
        <w:tc>
          <w:tcPr>
            <w:tcW w:w="1716" w:type="pct"/>
            <w:shd w:val="clear" w:color="auto" w:fill="auto"/>
          </w:tcPr>
          <w:p w14:paraId="7367DA07"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9.31 [8.93,9.68]</w:t>
            </w:r>
          </w:p>
        </w:tc>
        <w:tc>
          <w:tcPr>
            <w:tcW w:w="1716" w:type="pct"/>
          </w:tcPr>
          <w:p w14:paraId="72243DFE"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9.43 [9.21,9.65]</w:t>
            </w:r>
          </w:p>
        </w:tc>
      </w:tr>
      <w:tr w:rsidR="00C84C7D" w:rsidRPr="00A4345D" w14:paraId="70082418" w14:textId="77777777" w:rsidTr="004207B2">
        <w:trPr>
          <w:trHeight w:val="20"/>
        </w:trPr>
        <w:tc>
          <w:tcPr>
            <w:tcW w:w="1568" w:type="pct"/>
            <w:shd w:val="clear" w:color="auto" w:fill="auto"/>
            <w:hideMark/>
          </w:tcPr>
          <w:p w14:paraId="736090E0"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Middle high</w:t>
            </w:r>
          </w:p>
        </w:tc>
        <w:tc>
          <w:tcPr>
            <w:tcW w:w="1716" w:type="pct"/>
            <w:shd w:val="clear" w:color="auto" w:fill="auto"/>
          </w:tcPr>
          <w:p w14:paraId="5AA2D523"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0.16 [-0.37,0.70]</w:t>
            </w:r>
          </w:p>
        </w:tc>
        <w:tc>
          <w:tcPr>
            <w:tcW w:w="1716" w:type="pct"/>
          </w:tcPr>
          <w:p w14:paraId="33D791FB"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0.19 [-0.13,0.51]</w:t>
            </w:r>
          </w:p>
        </w:tc>
      </w:tr>
      <w:tr w:rsidR="00C84C7D" w:rsidRPr="00A4345D" w14:paraId="661F62DB" w14:textId="77777777" w:rsidTr="004207B2">
        <w:trPr>
          <w:trHeight w:val="20"/>
        </w:trPr>
        <w:tc>
          <w:tcPr>
            <w:tcW w:w="1568" w:type="pct"/>
            <w:shd w:val="clear" w:color="auto" w:fill="auto"/>
            <w:hideMark/>
          </w:tcPr>
          <w:p w14:paraId="035DABBA"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Middle</w:t>
            </w:r>
          </w:p>
        </w:tc>
        <w:tc>
          <w:tcPr>
            <w:tcW w:w="1716" w:type="pct"/>
            <w:shd w:val="clear" w:color="auto" w:fill="auto"/>
          </w:tcPr>
          <w:p w14:paraId="3B91AD8D"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0.20 [-0.36,0.76]</w:t>
            </w:r>
          </w:p>
        </w:tc>
        <w:tc>
          <w:tcPr>
            <w:tcW w:w="1716" w:type="pct"/>
          </w:tcPr>
          <w:p w14:paraId="5EBBCFCA"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0.23 [-0.10,0.56]</w:t>
            </w:r>
          </w:p>
        </w:tc>
      </w:tr>
      <w:tr w:rsidR="00C84C7D" w:rsidRPr="00A4345D" w14:paraId="15162227" w14:textId="77777777" w:rsidTr="004207B2">
        <w:trPr>
          <w:trHeight w:val="20"/>
        </w:trPr>
        <w:tc>
          <w:tcPr>
            <w:tcW w:w="1568" w:type="pct"/>
            <w:shd w:val="clear" w:color="auto" w:fill="auto"/>
            <w:hideMark/>
          </w:tcPr>
          <w:p w14:paraId="5D2049AB"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Middle low</w:t>
            </w:r>
          </w:p>
        </w:tc>
        <w:tc>
          <w:tcPr>
            <w:tcW w:w="1716" w:type="pct"/>
            <w:shd w:val="clear" w:color="auto" w:fill="auto"/>
          </w:tcPr>
          <w:p w14:paraId="3AB7045B"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 xml:space="preserve">0.95 [0.35,1.55] </w:t>
            </w:r>
          </w:p>
        </w:tc>
        <w:tc>
          <w:tcPr>
            <w:tcW w:w="1716" w:type="pct"/>
          </w:tcPr>
          <w:p w14:paraId="1A2EEBBB"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0.67 [0.33,1.02]</w:t>
            </w:r>
          </w:p>
        </w:tc>
      </w:tr>
      <w:tr w:rsidR="00C84C7D" w:rsidRPr="00A4345D" w14:paraId="327DD98A" w14:textId="77777777" w:rsidTr="004207B2">
        <w:trPr>
          <w:trHeight w:val="20"/>
        </w:trPr>
        <w:tc>
          <w:tcPr>
            <w:tcW w:w="1568" w:type="pct"/>
            <w:shd w:val="clear" w:color="auto" w:fill="auto"/>
            <w:hideMark/>
          </w:tcPr>
          <w:p w14:paraId="0D28F502"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Low</w:t>
            </w:r>
          </w:p>
        </w:tc>
        <w:tc>
          <w:tcPr>
            <w:tcW w:w="1716" w:type="pct"/>
            <w:shd w:val="clear" w:color="auto" w:fill="auto"/>
          </w:tcPr>
          <w:p w14:paraId="774C0219"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0.42 [-0.30,1.13]</w:t>
            </w:r>
          </w:p>
        </w:tc>
        <w:tc>
          <w:tcPr>
            <w:tcW w:w="1716" w:type="pct"/>
          </w:tcPr>
          <w:p w14:paraId="39F97803"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0.41 [0.04,0.77]</w:t>
            </w:r>
          </w:p>
        </w:tc>
      </w:tr>
      <w:tr w:rsidR="00C84C7D" w:rsidRPr="00A4345D" w14:paraId="757816EA" w14:textId="77777777" w:rsidTr="004207B2">
        <w:trPr>
          <w:trHeight w:val="20"/>
        </w:trPr>
        <w:tc>
          <w:tcPr>
            <w:tcW w:w="1568" w:type="pct"/>
            <w:shd w:val="clear" w:color="auto" w:fill="auto"/>
          </w:tcPr>
          <w:p w14:paraId="210F63CB" w14:textId="77777777" w:rsidR="00C84C7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LR test p-value</w:t>
            </w:r>
          </w:p>
        </w:tc>
        <w:tc>
          <w:tcPr>
            <w:tcW w:w="1716" w:type="pct"/>
            <w:shd w:val="clear" w:color="auto" w:fill="auto"/>
          </w:tcPr>
          <w:p w14:paraId="6674225C"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p=0.03</w:t>
            </w:r>
          </w:p>
        </w:tc>
        <w:tc>
          <w:tcPr>
            <w:tcW w:w="1716" w:type="pct"/>
          </w:tcPr>
          <w:p w14:paraId="1057056E" w14:textId="77777777" w:rsidR="00C84C7D" w:rsidRPr="00A4345D" w:rsidRDefault="00C84C7D" w:rsidP="004207B2">
            <w:pPr>
              <w:spacing w:line="276" w:lineRule="auto"/>
              <w:rPr>
                <w:rFonts w:asciiTheme="minorHAnsi" w:hAnsiTheme="minorHAnsi" w:cstheme="minorHAnsi"/>
                <w:color w:val="000000"/>
                <w:sz w:val="20"/>
                <w:szCs w:val="20"/>
              </w:rPr>
            </w:pPr>
          </w:p>
        </w:tc>
      </w:tr>
      <w:tr w:rsidR="00C84C7D" w:rsidRPr="00A4345D" w14:paraId="3682F09E" w14:textId="77777777" w:rsidTr="004207B2">
        <w:trPr>
          <w:trHeight w:val="20"/>
        </w:trPr>
        <w:tc>
          <w:tcPr>
            <w:tcW w:w="1568" w:type="pct"/>
            <w:shd w:val="clear" w:color="auto" w:fill="auto"/>
          </w:tcPr>
          <w:p w14:paraId="1B13F390"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Linear association</w:t>
            </w:r>
          </w:p>
        </w:tc>
        <w:tc>
          <w:tcPr>
            <w:tcW w:w="1716" w:type="pct"/>
            <w:shd w:val="clear" w:color="auto" w:fill="auto"/>
          </w:tcPr>
          <w:p w14:paraId="6773AC28"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0.19 (0.04, 0.33) </w:t>
            </w:r>
            <w:r w:rsidRPr="00A4345D">
              <w:rPr>
                <w:rFonts w:asciiTheme="minorHAnsi" w:hAnsiTheme="minorHAnsi" w:cstheme="minorHAnsi"/>
                <w:color w:val="000000"/>
                <w:sz w:val="20"/>
                <w:szCs w:val="20"/>
              </w:rPr>
              <w:t>p=0.01</w:t>
            </w:r>
          </w:p>
        </w:tc>
        <w:tc>
          <w:tcPr>
            <w:tcW w:w="1716" w:type="pct"/>
          </w:tcPr>
          <w:p w14:paraId="5BA07A5C"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0.14 (0.06,0.22) </w:t>
            </w:r>
            <w:r w:rsidRPr="00A4345D">
              <w:rPr>
                <w:rFonts w:asciiTheme="minorHAnsi" w:hAnsiTheme="minorHAnsi" w:cstheme="minorHAnsi"/>
                <w:color w:val="000000"/>
                <w:sz w:val="20"/>
                <w:szCs w:val="20"/>
              </w:rPr>
              <w:t>p=0.001</w:t>
            </w:r>
          </w:p>
        </w:tc>
      </w:tr>
      <w:tr w:rsidR="00C84C7D" w:rsidRPr="00A4345D" w14:paraId="48D85685" w14:textId="77777777" w:rsidTr="004207B2">
        <w:trPr>
          <w:trHeight w:val="20"/>
        </w:trPr>
        <w:tc>
          <w:tcPr>
            <w:tcW w:w="1568" w:type="pct"/>
            <w:shd w:val="clear" w:color="auto" w:fill="auto"/>
          </w:tcPr>
          <w:p w14:paraId="5855A507"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Maternal education (n=1,923)</w:t>
            </w:r>
          </w:p>
        </w:tc>
        <w:tc>
          <w:tcPr>
            <w:tcW w:w="1716" w:type="pct"/>
            <w:shd w:val="clear" w:color="auto" w:fill="auto"/>
          </w:tcPr>
          <w:p w14:paraId="68A8F042"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 xml:space="preserve"> </w:t>
            </w:r>
          </w:p>
        </w:tc>
        <w:tc>
          <w:tcPr>
            <w:tcW w:w="1716" w:type="pct"/>
          </w:tcPr>
          <w:p w14:paraId="3415F157" w14:textId="77777777" w:rsidR="00C84C7D" w:rsidRPr="00A4345D" w:rsidRDefault="00C84C7D" w:rsidP="004207B2">
            <w:pPr>
              <w:spacing w:line="276" w:lineRule="auto"/>
              <w:rPr>
                <w:rFonts w:asciiTheme="minorHAnsi" w:hAnsiTheme="minorHAnsi" w:cstheme="minorHAnsi"/>
                <w:color w:val="000000"/>
                <w:sz w:val="20"/>
                <w:szCs w:val="20"/>
              </w:rPr>
            </w:pPr>
          </w:p>
        </w:tc>
      </w:tr>
      <w:tr w:rsidR="00C84C7D" w:rsidRPr="00A4345D" w14:paraId="3022E419" w14:textId="77777777" w:rsidTr="004207B2">
        <w:trPr>
          <w:trHeight w:val="20"/>
        </w:trPr>
        <w:tc>
          <w:tcPr>
            <w:tcW w:w="1568" w:type="pct"/>
            <w:shd w:val="clear" w:color="auto" w:fill="auto"/>
            <w:hideMark/>
          </w:tcPr>
          <w:p w14:paraId="2E7C03D6"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 xml:space="preserve">Degree </w:t>
            </w:r>
          </w:p>
        </w:tc>
        <w:tc>
          <w:tcPr>
            <w:tcW w:w="1716" w:type="pct"/>
            <w:shd w:val="clear" w:color="auto" w:fill="auto"/>
          </w:tcPr>
          <w:p w14:paraId="66ABE236"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9.14 [8.76,9.53]</w:t>
            </w:r>
          </w:p>
        </w:tc>
        <w:tc>
          <w:tcPr>
            <w:tcW w:w="1716" w:type="pct"/>
          </w:tcPr>
          <w:p w14:paraId="6B1217AB"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9.17 [8.92,9.43]</w:t>
            </w:r>
          </w:p>
        </w:tc>
      </w:tr>
      <w:tr w:rsidR="00C84C7D" w:rsidRPr="00A4345D" w14:paraId="58696646" w14:textId="77777777" w:rsidTr="004207B2">
        <w:trPr>
          <w:trHeight w:val="20"/>
        </w:trPr>
        <w:tc>
          <w:tcPr>
            <w:tcW w:w="1568" w:type="pct"/>
            <w:shd w:val="clear" w:color="auto" w:fill="auto"/>
            <w:hideMark/>
          </w:tcPr>
          <w:p w14:paraId="459558FD"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A level</w:t>
            </w:r>
          </w:p>
        </w:tc>
        <w:tc>
          <w:tcPr>
            <w:tcW w:w="1716" w:type="pct"/>
            <w:shd w:val="clear" w:color="auto" w:fill="auto"/>
          </w:tcPr>
          <w:p w14:paraId="0D83CDCF"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0.26 [-0.26,0.77]</w:t>
            </w:r>
          </w:p>
        </w:tc>
        <w:tc>
          <w:tcPr>
            <w:tcW w:w="1716" w:type="pct"/>
          </w:tcPr>
          <w:p w14:paraId="147B4742"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0.36 [0.03,0.68]</w:t>
            </w:r>
          </w:p>
        </w:tc>
      </w:tr>
      <w:tr w:rsidR="00C84C7D" w:rsidRPr="00A4345D" w14:paraId="6F854338" w14:textId="77777777" w:rsidTr="004207B2">
        <w:trPr>
          <w:trHeight w:val="20"/>
        </w:trPr>
        <w:tc>
          <w:tcPr>
            <w:tcW w:w="1568" w:type="pct"/>
            <w:shd w:val="clear" w:color="auto" w:fill="auto"/>
            <w:hideMark/>
          </w:tcPr>
          <w:p w14:paraId="5E856737"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O level</w:t>
            </w:r>
          </w:p>
        </w:tc>
        <w:tc>
          <w:tcPr>
            <w:tcW w:w="1716" w:type="pct"/>
            <w:shd w:val="clear" w:color="auto" w:fill="auto"/>
          </w:tcPr>
          <w:p w14:paraId="3ED59660"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0.58 [0.08,1.09]</w:t>
            </w:r>
          </w:p>
        </w:tc>
        <w:tc>
          <w:tcPr>
            <w:tcW w:w="1716" w:type="pct"/>
          </w:tcPr>
          <w:p w14:paraId="22F6C235"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0.69 [0.38,1.01]</w:t>
            </w:r>
          </w:p>
        </w:tc>
      </w:tr>
      <w:tr w:rsidR="00C84C7D" w:rsidRPr="00A4345D" w14:paraId="027FC0F6" w14:textId="77777777" w:rsidTr="004207B2">
        <w:trPr>
          <w:trHeight w:val="20"/>
        </w:trPr>
        <w:tc>
          <w:tcPr>
            <w:tcW w:w="1568" w:type="pct"/>
            <w:shd w:val="clear" w:color="auto" w:fill="auto"/>
            <w:hideMark/>
          </w:tcPr>
          <w:p w14:paraId="66709E9F"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&lt;O level</w:t>
            </w:r>
          </w:p>
        </w:tc>
        <w:tc>
          <w:tcPr>
            <w:tcW w:w="1716" w:type="pct"/>
            <w:shd w:val="clear" w:color="auto" w:fill="auto"/>
          </w:tcPr>
          <w:p w14:paraId="09822D88"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1.26 [0.63,1.89]</w:t>
            </w:r>
          </w:p>
        </w:tc>
        <w:tc>
          <w:tcPr>
            <w:tcW w:w="1716" w:type="pct"/>
          </w:tcPr>
          <w:p w14:paraId="62195FDE"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0.97 [0.62,1.32]</w:t>
            </w:r>
          </w:p>
        </w:tc>
      </w:tr>
      <w:tr w:rsidR="00C84C7D" w:rsidRPr="00A4345D" w14:paraId="0DF44007" w14:textId="77777777" w:rsidTr="004207B2">
        <w:trPr>
          <w:trHeight w:val="20"/>
        </w:trPr>
        <w:tc>
          <w:tcPr>
            <w:tcW w:w="1568" w:type="pct"/>
            <w:shd w:val="clear" w:color="auto" w:fill="auto"/>
          </w:tcPr>
          <w:p w14:paraId="7A1A53C3" w14:textId="77777777" w:rsidR="00C84C7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LR test p-value</w:t>
            </w:r>
          </w:p>
        </w:tc>
        <w:tc>
          <w:tcPr>
            <w:tcW w:w="1716" w:type="pct"/>
            <w:shd w:val="clear" w:color="auto" w:fill="auto"/>
          </w:tcPr>
          <w:p w14:paraId="5F0C5B19"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p≤0.001</w:t>
            </w:r>
          </w:p>
        </w:tc>
        <w:tc>
          <w:tcPr>
            <w:tcW w:w="1716" w:type="pct"/>
          </w:tcPr>
          <w:p w14:paraId="780FB734" w14:textId="77777777" w:rsidR="00C84C7D" w:rsidRPr="00A4345D" w:rsidRDefault="00C84C7D" w:rsidP="004207B2">
            <w:pPr>
              <w:spacing w:line="276" w:lineRule="auto"/>
              <w:rPr>
                <w:rFonts w:asciiTheme="minorHAnsi" w:hAnsiTheme="minorHAnsi" w:cstheme="minorHAnsi"/>
                <w:color w:val="000000"/>
                <w:sz w:val="20"/>
                <w:szCs w:val="20"/>
              </w:rPr>
            </w:pPr>
          </w:p>
        </w:tc>
      </w:tr>
      <w:tr w:rsidR="00C84C7D" w:rsidRPr="00A4345D" w14:paraId="49AF6B8D" w14:textId="77777777" w:rsidTr="004207B2">
        <w:trPr>
          <w:trHeight w:val="20"/>
        </w:trPr>
        <w:tc>
          <w:tcPr>
            <w:tcW w:w="1568" w:type="pct"/>
            <w:shd w:val="clear" w:color="auto" w:fill="auto"/>
          </w:tcPr>
          <w:p w14:paraId="6E490303"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Linear association</w:t>
            </w:r>
          </w:p>
        </w:tc>
        <w:tc>
          <w:tcPr>
            <w:tcW w:w="1716" w:type="pct"/>
            <w:shd w:val="clear" w:color="auto" w:fill="auto"/>
          </w:tcPr>
          <w:p w14:paraId="02058C52"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0.38 (0.20,0.57) </w:t>
            </w:r>
            <w:r w:rsidRPr="00A4345D">
              <w:rPr>
                <w:rFonts w:asciiTheme="minorHAnsi" w:hAnsiTheme="minorHAnsi" w:cstheme="minorHAnsi"/>
                <w:color w:val="000000"/>
                <w:sz w:val="20"/>
                <w:szCs w:val="20"/>
              </w:rPr>
              <w:t>p≤0.001</w:t>
            </w:r>
          </w:p>
        </w:tc>
        <w:tc>
          <w:tcPr>
            <w:tcW w:w="1716" w:type="pct"/>
          </w:tcPr>
          <w:p w14:paraId="29E4CD94"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0.32 (0.22,0.42) </w:t>
            </w:r>
            <w:r w:rsidRPr="00A4345D">
              <w:rPr>
                <w:rFonts w:asciiTheme="minorHAnsi" w:hAnsiTheme="minorHAnsi" w:cstheme="minorHAnsi"/>
                <w:color w:val="000000"/>
                <w:sz w:val="20"/>
                <w:szCs w:val="20"/>
              </w:rPr>
              <w:t>p≤0.001</w:t>
            </w:r>
          </w:p>
        </w:tc>
      </w:tr>
      <w:tr w:rsidR="00C84C7D" w:rsidRPr="00A4345D" w14:paraId="7C3271CD" w14:textId="77777777" w:rsidTr="004207B2">
        <w:trPr>
          <w:trHeight w:val="20"/>
        </w:trPr>
        <w:tc>
          <w:tcPr>
            <w:tcW w:w="1568" w:type="pct"/>
            <w:shd w:val="clear" w:color="auto" w:fill="auto"/>
          </w:tcPr>
          <w:p w14:paraId="69BDE752"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Parental social class (n=1,873)</w:t>
            </w:r>
          </w:p>
        </w:tc>
        <w:tc>
          <w:tcPr>
            <w:tcW w:w="1716" w:type="pct"/>
            <w:shd w:val="clear" w:color="auto" w:fill="auto"/>
          </w:tcPr>
          <w:p w14:paraId="35603298" w14:textId="77777777" w:rsidR="00C84C7D" w:rsidRPr="00A4345D" w:rsidRDefault="00C84C7D" w:rsidP="004207B2">
            <w:pPr>
              <w:spacing w:line="276" w:lineRule="auto"/>
              <w:rPr>
                <w:rFonts w:asciiTheme="minorHAnsi" w:hAnsiTheme="minorHAnsi" w:cstheme="minorHAnsi"/>
                <w:color w:val="000000"/>
                <w:sz w:val="20"/>
                <w:szCs w:val="20"/>
              </w:rPr>
            </w:pPr>
          </w:p>
        </w:tc>
        <w:tc>
          <w:tcPr>
            <w:tcW w:w="1716" w:type="pct"/>
          </w:tcPr>
          <w:p w14:paraId="4681CA15" w14:textId="77777777" w:rsidR="00C84C7D" w:rsidRPr="00A4345D" w:rsidRDefault="00C84C7D" w:rsidP="004207B2">
            <w:pPr>
              <w:spacing w:line="276" w:lineRule="auto"/>
              <w:rPr>
                <w:rFonts w:asciiTheme="minorHAnsi" w:hAnsiTheme="minorHAnsi" w:cstheme="minorHAnsi"/>
                <w:color w:val="000000"/>
                <w:sz w:val="20"/>
                <w:szCs w:val="20"/>
              </w:rPr>
            </w:pPr>
          </w:p>
        </w:tc>
      </w:tr>
      <w:tr w:rsidR="00C84C7D" w:rsidRPr="00A4345D" w14:paraId="1AA4901C" w14:textId="77777777" w:rsidTr="004207B2">
        <w:trPr>
          <w:trHeight w:val="20"/>
        </w:trPr>
        <w:tc>
          <w:tcPr>
            <w:tcW w:w="1568" w:type="pct"/>
            <w:shd w:val="clear" w:color="auto" w:fill="auto"/>
            <w:hideMark/>
          </w:tcPr>
          <w:p w14:paraId="3644AE13"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 xml:space="preserve">Professional </w:t>
            </w:r>
          </w:p>
        </w:tc>
        <w:tc>
          <w:tcPr>
            <w:tcW w:w="1716" w:type="pct"/>
            <w:shd w:val="clear" w:color="auto" w:fill="auto"/>
          </w:tcPr>
          <w:p w14:paraId="03D6D843"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9.04 [8.63,9.45]</w:t>
            </w:r>
          </w:p>
        </w:tc>
        <w:tc>
          <w:tcPr>
            <w:tcW w:w="1716" w:type="pct"/>
          </w:tcPr>
          <w:p w14:paraId="64332F25"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9.07 [8.81,9.33]</w:t>
            </w:r>
          </w:p>
        </w:tc>
      </w:tr>
      <w:tr w:rsidR="00C84C7D" w:rsidRPr="00A4345D" w14:paraId="35CB00D2" w14:textId="77777777" w:rsidTr="004207B2">
        <w:trPr>
          <w:trHeight w:val="20"/>
        </w:trPr>
        <w:tc>
          <w:tcPr>
            <w:tcW w:w="1568" w:type="pct"/>
            <w:shd w:val="clear" w:color="auto" w:fill="auto"/>
            <w:hideMark/>
          </w:tcPr>
          <w:p w14:paraId="36394AB4"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Managerial and technical</w:t>
            </w:r>
          </w:p>
        </w:tc>
        <w:tc>
          <w:tcPr>
            <w:tcW w:w="1716" w:type="pct"/>
            <w:shd w:val="clear" w:color="auto" w:fill="auto"/>
          </w:tcPr>
          <w:p w14:paraId="4EF3AEA3"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0.57 [0.08,1.06]</w:t>
            </w:r>
          </w:p>
        </w:tc>
        <w:tc>
          <w:tcPr>
            <w:tcW w:w="1716" w:type="pct"/>
          </w:tcPr>
          <w:p w14:paraId="757F757C"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0.64 [0.33,0.94]</w:t>
            </w:r>
          </w:p>
        </w:tc>
      </w:tr>
      <w:tr w:rsidR="00C84C7D" w:rsidRPr="00A4345D" w14:paraId="44B0ED9E" w14:textId="77777777" w:rsidTr="004207B2">
        <w:trPr>
          <w:trHeight w:val="20"/>
        </w:trPr>
        <w:tc>
          <w:tcPr>
            <w:tcW w:w="1568" w:type="pct"/>
            <w:shd w:val="clear" w:color="auto" w:fill="auto"/>
            <w:hideMark/>
          </w:tcPr>
          <w:p w14:paraId="47EB4BFC"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Skilled non-manual</w:t>
            </w:r>
          </w:p>
        </w:tc>
        <w:tc>
          <w:tcPr>
            <w:tcW w:w="1716" w:type="pct"/>
            <w:shd w:val="clear" w:color="auto" w:fill="auto"/>
          </w:tcPr>
          <w:p w14:paraId="28CED844"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0.59 [0.02,1.16]</w:t>
            </w:r>
          </w:p>
        </w:tc>
        <w:tc>
          <w:tcPr>
            <w:tcW w:w="1716" w:type="pct"/>
          </w:tcPr>
          <w:p w14:paraId="224B7AC0"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0.72 [0.38,1.06]</w:t>
            </w:r>
          </w:p>
        </w:tc>
      </w:tr>
      <w:tr w:rsidR="00C84C7D" w:rsidRPr="00A4345D" w14:paraId="2D10B56B" w14:textId="77777777" w:rsidTr="004207B2">
        <w:trPr>
          <w:trHeight w:val="20"/>
        </w:trPr>
        <w:tc>
          <w:tcPr>
            <w:tcW w:w="1568" w:type="pct"/>
            <w:shd w:val="clear" w:color="auto" w:fill="auto"/>
            <w:hideMark/>
          </w:tcPr>
          <w:p w14:paraId="5298A661"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Skilled manual, etc.</w:t>
            </w:r>
          </w:p>
        </w:tc>
        <w:tc>
          <w:tcPr>
            <w:tcW w:w="1716" w:type="pct"/>
            <w:shd w:val="clear" w:color="auto" w:fill="auto"/>
          </w:tcPr>
          <w:p w14:paraId="4533CB3A" w14:textId="77777777" w:rsidR="00C84C7D" w:rsidRPr="00A4345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1.44 [0.69,2.19]</w:t>
            </w:r>
          </w:p>
        </w:tc>
        <w:tc>
          <w:tcPr>
            <w:tcW w:w="1716" w:type="pct"/>
          </w:tcPr>
          <w:p w14:paraId="6F0850CD" w14:textId="77777777" w:rsidR="00C84C7D" w:rsidRPr="00A4345D" w:rsidRDefault="00C84C7D" w:rsidP="004207B2">
            <w:pPr>
              <w:pStyle w:val="ListParagraph"/>
              <w:numPr>
                <w:ilvl w:val="1"/>
                <w:numId w:val="1"/>
              </w:num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 xml:space="preserve"> [0.85,1.64]</w:t>
            </w:r>
          </w:p>
        </w:tc>
      </w:tr>
      <w:tr w:rsidR="00C84C7D" w:rsidRPr="00A4345D" w14:paraId="2F0BE941" w14:textId="77777777" w:rsidTr="004207B2">
        <w:trPr>
          <w:trHeight w:val="20"/>
        </w:trPr>
        <w:tc>
          <w:tcPr>
            <w:tcW w:w="1568" w:type="pct"/>
            <w:shd w:val="clear" w:color="auto" w:fill="auto"/>
          </w:tcPr>
          <w:p w14:paraId="750CA7E7" w14:textId="77777777" w:rsidR="00C84C7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LR test p-value</w:t>
            </w:r>
          </w:p>
        </w:tc>
        <w:tc>
          <w:tcPr>
            <w:tcW w:w="1716" w:type="pct"/>
            <w:shd w:val="clear" w:color="auto" w:fill="auto"/>
          </w:tcPr>
          <w:p w14:paraId="0192478D" w14:textId="77777777" w:rsidR="00C84C7D" w:rsidRDefault="00C84C7D" w:rsidP="004207B2">
            <w:pPr>
              <w:spacing w:line="276" w:lineRule="auto"/>
              <w:rPr>
                <w:rFonts w:asciiTheme="minorHAnsi" w:hAnsiTheme="minorHAnsi" w:cstheme="minorHAnsi"/>
                <w:color w:val="000000"/>
                <w:sz w:val="20"/>
                <w:szCs w:val="20"/>
              </w:rPr>
            </w:pPr>
            <w:r w:rsidRPr="00A4345D">
              <w:rPr>
                <w:rFonts w:asciiTheme="minorHAnsi" w:hAnsiTheme="minorHAnsi" w:cstheme="minorHAnsi"/>
                <w:color w:val="000000"/>
                <w:sz w:val="20"/>
                <w:szCs w:val="20"/>
              </w:rPr>
              <w:t>p=0.002</w:t>
            </w:r>
          </w:p>
        </w:tc>
        <w:tc>
          <w:tcPr>
            <w:tcW w:w="1716" w:type="pct"/>
          </w:tcPr>
          <w:p w14:paraId="63CF9ECC" w14:textId="77777777" w:rsidR="00C84C7D" w:rsidRPr="00A4345D" w:rsidRDefault="00C84C7D" w:rsidP="004207B2">
            <w:pPr>
              <w:spacing w:line="276" w:lineRule="auto"/>
              <w:rPr>
                <w:rFonts w:asciiTheme="minorHAnsi" w:hAnsiTheme="minorHAnsi" w:cstheme="minorHAnsi"/>
                <w:color w:val="000000"/>
                <w:sz w:val="20"/>
                <w:szCs w:val="20"/>
              </w:rPr>
            </w:pPr>
          </w:p>
        </w:tc>
      </w:tr>
      <w:tr w:rsidR="00C84C7D" w:rsidRPr="00A4345D" w14:paraId="5057EDBC" w14:textId="77777777" w:rsidTr="004207B2">
        <w:trPr>
          <w:trHeight w:val="20"/>
        </w:trPr>
        <w:tc>
          <w:tcPr>
            <w:tcW w:w="1568" w:type="pct"/>
            <w:shd w:val="clear" w:color="auto" w:fill="auto"/>
          </w:tcPr>
          <w:p w14:paraId="77002C31"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Linear association</w:t>
            </w:r>
          </w:p>
        </w:tc>
        <w:tc>
          <w:tcPr>
            <w:tcW w:w="1716" w:type="pct"/>
            <w:shd w:val="clear" w:color="auto" w:fill="auto"/>
          </w:tcPr>
          <w:p w14:paraId="5CAC3BE0" w14:textId="77777777" w:rsidR="00C84C7D" w:rsidRPr="00A4345D"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0.38 (0.17,0.60) p=</w:t>
            </w:r>
            <w:r w:rsidRPr="00A4345D">
              <w:rPr>
                <w:rFonts w:asciiTheme="minorHAnsi" w:hAnsiTheme="minorHAnsi" w:cstheme="minorHAnsi"/>
                <w:color w:val="000000"/>
                <w:sz w:val="20"/>
                <w:szCs w:val="20"/>
              </w:rPr>
              <w:t>0.001</w:t>
            </w:r>
          </w:p>
        </w:tc>
        <w:tc>
          <w:tcPr>
            <w:tcW w:w="1716" w:type="pct"/>
          </w:tcPr>
          <w:p w14:paraId="5681E5C0" w14:textId="77777777" w:rsidR="00C84C7D" w:rsidRPr="00B235CA" w:rsidRDefault="00C84C7D" w:rsidP="004207B2">
            <w:pPr>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0.35 (0.23,0.47) </w:t>
            </w:r>
            <w:r w:rsidRPr="00A4345D">
              <w:rPr>
                <w:rFonts w:asciiTheme="minorHAnsi" w:hAnsiTheme="minorHAnsi" w:cstheme="minorHAnsi"/>
                <w:color w:val="000000"/>
                <w:sz w:val="20"/>
                <w:szCs w:val="20"/>
              </w:rPr>
              <w:t>p≤0.001</w:t>
            </w:r>
          </w:p>
        </w:tc>
      </w:tr>
    </w:tbl>
    <w:p w14:paraId="58483038" w14:textId="77777777" w:rsidR="00C84C7D" w:rsidRPr="00A4345D" w:rsidRDefault="00C84C7D" w:rsidP="00C84C7D">
      <w:pPr>
        <w:spacing w:line="276" w:lineRule="auto"/>
        <w:rPr>
          <w:rFonts w:asciiTheme="minorHAnsi" w:hAnsiTheme="minorHAnsi" w:cstheme="minorHAnsi"/>
        </w:rPr>
      </w:pPr>
    </w:p>
    <w:p w14:paraId="646EB5E6" w14:textId="77777777" w:rsidR="00C84C7D" w:rsidRPr="00A4345D" w:rsidRDefault="00C84C7D" w:rsidP="00C84C7D">
      <w:pPr>
        <w:spacing w:line="276" w:lineRule="auto"/>
        <w:rPr>
          <w:rFonts w:asciiTheme="minorHAnsi" w:hAnsiTheme="minorHAnsi" w:cstheme="minorHAnsi"/>
          <w:sz w:val="20"/>
          <w:szCs w:val="20"/>
        </w:rPr>
      </w:pPr>
      <w:r w:rsidRPr="00A4345D">
        <w:rPr>
          <w:rFonts w:asciiTheme="minorHAnsi" w:hAnsiTheme="minorHAnsi" w:cstheme="minorHAnsi"/>
          <w:sz w:val="20"/>
          <w:szCs w:val="20"/>
        </w:rPr>
        <w:t xml:space="preserve">1. The complete case analysis has a p-value for the likelihood ratio (LR) test and a p-value </w:t>
      </w:r>
      <w:r>
        <w:rPr>
          <w:rFonts w:asciiTheme="minorHAnsi" w:hAnsiTheme="minorHAnsi" w:cstheme="minorHAnsi"/>
          <w:sz w:val="20"/>
          <w:szCs w:val="20"/>
        </w:rPr>
        <w:t xml:space="preserve">for the linear association </w:t>
      </w:r>
      <w:r w:rsidRPr="00A4345D">
        <w:rPr>
          <w:rFonts w:asciiTheme="minorHAnsi" w:hAnsiTheme="minorHAnsi" w:cstheme="minorHAnsi"/>
          <w:sz w:val="20"/>
          <w:szCs w:val="20"/>
        </w:rPr>
        <w:t>generated when regressing the outcome on the exposure, using a continuous rather than a categorical exposure measure as it is shown in the table</w:t>
      </w:r>
      <w:r>
        <w:rPr>
          <w:rFonts w:asciiTheme="minorHAnsi" w:hAnsiTheme="minorHAnsi" w:cstheme="minorHAnsi"/>
          <w:sz w:val="20"/>
          <w:szCs w:val="20"/>
        </w:rPr>
        <w:t>. The imputed sample has a p-value only for the linear association.</w:t>
      </w:r>
    </w:p>
    <w:p w14:paraId="57335233" w14:textId="77777777" w:rsidR="00244556" w:rsidRDefault="00244556" w:rsidP="00C84C7D">
      <w:pPr>
        <w:spacing w:line="276" w:lineRule="auto"/>
        <w:rPr>
          <w:rFonts w:asciiTheme="minorHAnsi" w:hAnsiTheme="minorHAnsi" w:cstheme="minorHAnsi"/>
        </w:rPr>
      </w:pPr>
    </w:p>
    <w:bookmarkEnd w:id="7"/>
    <w:p w14:paraId="244C624A" w14:textId="77777777" w:rsidR="00524E4E" w:rsidRDefault="00524E4E">
      <w:pPr>
        <w:spacing w:line="276" w:lineRule="auto"/>
        <w:rPr>
          <w:rFonts w:asciiTheme="minorHAnsi" w:hAnsiTheme="minorHAnsi" w:cstheme="minorHAnsi"/>
        </w:rPr>
        <w:sectPr w:rsidR="00524E4E" w:rsidSect="00E34600">
          <w:pgSz w:w="16838" w:h="11906" w:orient="landscape"/>
          <w:pgMar w:top="720" w:right="720" w:bottom="720" w:left="720" w:header="708" w:footer="708" w:gutter="0"/>
          <w:cols w:space="708"/>
          <w:docGrid w:linePitch="360"/>
        </w:sectPr>
      </w:pPr>
    </w:p>
    <w:p w14:paraId="5F286B68" w14:textId="104D6924" w:rsidR="00524E4E" w:rsidRPr="004207B2" w:rsidRDefault="002C0DD1" w:rsidP="004207B2">
      <w:pPr>
        <w:spacing w:line="276" w:lineRule="auto"/>
        <w:rPr>
          <w:rFonts w:asciiTheme="minorHAnsi" w:hAnsiTheme="minorHAnsi" w:cstheme="minorHAnsi"/>
        </w:rPr>
      </w:pPr>
      <w:r>
        <w:rPr>
          <w:rFonts w:asciiTheme="minorHAnsi" w:hAnsiTheme="minorHAnsi" w:cstheme="minorHAnsi"/>
        </w:rPr>
        <w:lastRenderedPageBreak/>
        <w:t>References</w:t>
      </w:r>
    </w:p>
    <w:p w14:paraId="2CAD5EF5" w14:textId="77777777" w:rsidR="00524E4E" w:rsidRDefault="00524E4E" w:rsidP="00524E4E">
      <w:pPr>
        <w:spacing w:after="160" w:line="259" w:lineRule="auto"/>
        <w:jc w:val="left"/>
        <w:rPr>
          <w:rFonts w:asciiTheme="minorHAnsi" w:hAnsiTheme="minorHAnsi" w:cstheme="minorHAnsi"/>
          <w:lang w:eastAsia="en-US"/>
        </w:rPr>
      </w:pPr>
    </w:p>
    <w:p w14:paraId="560EE1C9" w14:textId="07ED0BD5" w:rsidR="00340AD6" w:rsidRPr="00340AD6" w:rsidRDefault="00340AD6" w:rsidP="00340AD6">
      <w:pPr>
        <w:widowControl w:val="0"/>
        <w:autoSpaceDE w:val="0"/>
        <w:autoSpaceDN w:val="0"/>
        <w:adjustRightInd w:val="0"/>
        <w:ind w:left="640" w:hanging="640"/>
        <w:rPr>
          <w:rFonts w:ascii="Calibri" w:hAnsi="Calibri" w:cs="Calibri"/>
          <w:noProof/>
        </w:rPr>
      </w:pPr>
      <w:r>
        <w:rPr>
          <w:rFonts w:asciiTheme="minorHAnsi" w:hAnsiTheme="minorHAnsi" w:cstheme="minorHAnsi"/>
        </w:rPr>
        <w:fldChar w:fldCharType="begin" w:fldLock="1"/>
      </w:r>
      <w:r>
        <w:rPr>
          <w:rFonts w:asciiTheme="minorHAnsi" w:hAnsiTheme="minorHAnsi" w:cstheme="minorHAnsi"/>
        </w:rPr>
        <w:instrText xml:space="preserve">ADDIN Mendeley Bibliography CSL_BIBLIOGRAPHY </w:instrText>
      </w:r>
      <w:r>
        <w:rPr>
          <w:rFonts w:asciiTheme="minorHAnsi" w:hAnsiTheme="minorHAnsi" w:cstheme="minorHAnsi"/>
        </w:rPr>
        <w:fldChar w:fldCharType="separate"/>
      </w:r>
      <w:r w:rsidRPr="00340AD6">
        <w:rPr>
          <w:rFonts w:ascii="Calibri" w:hAnsi="Calibri" w:cs="Calibri"/>
          <w:noProof/>
        </w:rPr>
        <w:t xml:space="preserve">1. </w:t>
      </w:r>
      <w:r w:rsidRPr="00340AD6">
        <w:rPr>
          <w:rFonts w:ascii="Calibri" w:hAnsi="Calibri" w:cs="Calibri"/>
          <w:noProof/>
        </w:rPr>
        <w:tab/>
        <w:t xml:space="preserve">WCRF. Diet, Nutrition Physical activity and Cancer: a global Perspective Continuous Update Project Expert Report 2018. London: World Cancer Research Fund (WCRF); 2018. </w:t>
      </w:r>
    </w:p>
    <w:p w14:paraId="13F8C273"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2. </w:t>
      </w:r>
      <w:r w:rsidRPr="00340AD6">
        <w:rPr>
          <w:rFonts w:ascii="Calibri" w:hAnsi="Calibri" w:cs="Calibri"/>
          <w:noProof/>
        </w:rPr>
        <w:tab/>
        <w:t xml:space="preserve">IARC. World Cancer Report. P. K, editor. Lyon: IARC Press; 2003. </w:t>
      </w:r>
    </w:p>
    <w:p w14:paraId="494874DE"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3. </w:t>
      </w:r>
      <w:r w:rsidRPr="00340AD6">
        <w:rPr>
          <w:rFonts w:ascii="Calibri" w:hAnsi="Calibri" w:cs="Calibri"/>
          <w:noProof/>
        </w:rPr>
        <w:tab/>
        <w:t>Houtepen LC, Heron J, Suderman MJ, Tilling K, Howe LD. Adverse childhood experiences in the children of the Avon Longitudinal Study of Parents and Children (ALSPAC). Wellcome open Res [Internet]. 2018;3:106. Available from: https://pubmed.ncbi.nlm.nih.gov/30569020</w:t>
      </w:r>
    </w:p>
    <w:p w14:paraId="7BB8403C"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4. </w:t>
      </w:r>
      <w:r w:rsidRPr="00340AD6">
        <w:rPr>
          <w:rFonts w:ascii="Calibri" w:hAnsi="Calibri" w:cs="Calibri"/>
          <w:noProof/>
        </w:rPr>
        <w:tab/>
        <w:t>Russell AE, Heron J, Gunnell D, Ford T, Hemani G, Joinson C, et al. Pathways between early-life adversity and adolescent self-harm: the mediating role of inflammation in the Avon Longitudinal Study of Parents and Children. J Child Psychol Psychiatry [Internet]. 2019/09/04. 2019;60(10):1094–103. Available from: https://pubmed.ncbi.nlm.nih.gov/31486089</w:t>
      </w:r>
    </w:p>
    <w:p w14:paraId="66854AF6"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5. </w:t>
      </w:r>
      <w:r w:rsidRPr="00340AD6">
        <w:rPr>
          <w:rFonts w:ascii="Calibri" w:hAnsi="Calibri" w:cs="Calibri"/>
          <w:noProof/>
        </w:rPr>
        <w:tab/>
        <w:t xml:space="preserve">Wechsler D, Golombok S, Rust J. WISC-IIIUK Wechsler Intelligence Scale for Children – Third Edition UK Manual. Sidcup, UK: The Psychological Corporation; 1992. </w:t>
      </w:r>
    </w:p>
    <w:p w14:paraId="2299A14D"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6. </w:t>
      </w:r>
      <w:r w:rsidRPr="00340AD6">
        <w:rPr>
          <w:rFonts w:ascii="Calibri" w:hAnsi="Calibri" w:cs="Calibri"/>
          <w:noProof/>
        </w:rPr>
        <w:tab/>
        <w:t>Loeber R, Stouthamer-Loeber M, Van Kammen WB, Farrington DP. Development of a New Measure of Self-Reported Antisocial Behavior for Young Children: Prevalence and Reliability. In: Klein MW, editor. Cross-National Research in Self-Reported Crime and Delinquency [Internet]. Dordrecht: Springer Netherlands; 1989. p. 203–25. Available from: https://doi.org/10.1007/978-94-009-1001-0_10</w:t>
      </w:r>
    </w:p>
    <w:p w14:paraId="7ACDC9F5"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7. </w:t>
      </w:r>
      <w:r w:rsidRPr="00340AD6">
        <w:rPr>
          <w:rFonts w:ascii="Calibri" w:hAnsi="Calibri" w:cs="Calibri"/>
          <w:noProof/>
        </w:rPr>
        <w:tab/>
        <w:t xml:space="preserve">Angold A, Costello EJ, Messer SC, Pickles A. Development of a short questionnaire for use in epidemiological studies of depression in children and adolescents. Int J Methods Psychiatr Res. 1995;5(4):237–49. </w:t>
      </w:r>
    </w:p>
    <w:p w14:paraId="43C9A4AE"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8. </w:t>
      </w:r>
      <w:r w:rsidRPr="00340AD6">
        <w:rPr>
          <w:rFonts w:ascii="Calibri" w:hAnsi="Calibri" w:cs="Calibri"/>
          <w:noProof/>
        </w:rPr>
        <w:tab/>
        <w:t>Goodman R. Psychometric Properties of the Strengths and Difficulties Questionnaire. J Am Acad Child Adolesc Psychiatry [Internet]. 2001;40(11):1337–45. Available from: http://www.sciencedirect.com/science/article/pii/S0890856709605438</w:t>
      </w:r>
    </w:p>
    <w:p w14:paraId="29BF779C" w14:textId="77777777" w:rsidR="00340AD6" w:rsidRPr="00340AD6" w:rsidRDefault="00340AD6" w:rsidP="00340AD6">
      <w:pPr>
        <w:widowControl w:val="0"/>
        <w:autoSpaceDE w:val="0"/>
        <w:autoSpaceDN w:val="0"/>
        <w:adjustRightInd w:val="0"/>
        <w:ind w:left="640" w:hanging="640"/>
        <w:rPr>
          <w:rFonts w:ascii="Calibri" w:hAnsi="Calibri" w:cs="Calibri"/>
          <w:noProof/>
        </w:rPr>
      </w:pPr>
      <w:r w:rsidRPr="00340AD6">
        <w:rPr>
          <w:rFonts w:ascii="Calibri" w:hAnsi="Calibri" w:cs="Calibri"/>
          <w:noProof/>
        </w:rPr>
        <w:t xml:space="preserve">9. </w:t>
      </w:r>
      <w:r w:rsidRPr="00340AD6">
        <w:rPr>
          <w:rFonts w:ascii="Calibri" w:hAnsi="Calibri" w:cs="Calibri"/>
          <w:noProof/>
        </w:rPr>
        <w:tab/>
        <w:t>Flach C, Leese M, Heron J, Evans J, Feder G, Sharp D, et al. Antenatal domestic violence, maternal mental health and subsequent child behaviour: a cohort study. BJOG An Int J Obstet Gynaecol [Internet]. 2011;118(11):1383–91. Available from: https://doi.org/10.1111/j.1471-0528.2011.03040.x</w:t>
      </w:r>
    </w:p>
    <w:p w14:paraId="315C71B1" w14:textId="77777777" w:rsidR="00340AD6" w:rsidRPr="00CF0109" w:rsidRDefault="00340AD6" w:rsidP="00340AD6">
      <w:pPr>
        <w:widowControl w:val="0"/>
        <w:autoSpaceDE w:val="0"/>
        <w:autoSpaceDN w:val="0"/>
        <w:adjustRightInd w:val="0"/>
        <w:ind w:left="640" w:hanging="640"/>
        <w:rPr>
          <w:rFonts w:ascii="Calibri" w:hAnsi="Calibri" w:cs="Calibri"/>
          <w:noProof/>
          <w:lang w:val="fr-FR"/>
        </w:rPr>
      </w:pPr>
      <w:r w:rsidRPr="00340AD6">
        <w:rPr>
          <w:rFonts w:ascii="Calibri" w:hAnsi="Calibri" w:cs="Calibri"/>
          <w:noProof/>
        </w:rPr>
        <w:t xml:space="preserve">10. </w:t>
      </w:r>
      <w:r w:rsidRPr="00340AD6">
        <w:rPr>
          <w:rFonts w:ascii="Calibri" w:hAnsi="Calibri" w:cs="Calibri"/>
          <w:noProof/>
        </w:rPr>
        <w:tab/>
        <w:t xml:space="preserve">Northstone K, Emmett P, Rogers I. Dietary patterns in pregnancy and associations with socio-demographic and lifestyle factors. </w:t>
      </w:r>
      <w:r w:rsidRPr="00CF0109">
        <w:rPr>
          <w:rFonts w:ascii="Calibri" w:hAnsi="Calibri" w:cs="Calibri"/>
          <w:noProof/>
          <w:lang w:val="fr-FR"/>
        </w:rPr>
        <w:t>Eur J Clin Nutr [Internet]. 2007/03/21. 2008;62(4):471–9. Available from: https://pubmed.ncbi.nlm.nih.gov/17375108</w:t>
      </w:r>
    </w:p>
    <w:p w14:paraId="7078498F" w14:textId="5F8EE4D1" w:rsidR="00A4345D" w:rsidRPr="00A4345D" w:rsidRDefault="00340AD6">
      <w:pPr>
        <w:spacing w:line="276" w:lineRule="auto"/>
        <w:rPr>
          <w:rFonts w:asciiTheme="minorHAnsi" w:hAnsiTheme="minorHAnsi" w:cstheme="minorHAnsi"/>
        </w:rPr>
      </w:pPr>
      <w:r>
        <w:rPr>
          <w:rFonts w:asciiTheme="minorHAnsi" w:hAnsiTheme="minorHAnsi" w:cstheme="minorHAnsi"/>
        </w:rPr>
        <w:fldChar w:fldCharType="end"/>
      </w:r>
    </w:p>
    <w:sectPr w:rsidR="00A4345D" w:rsidRPr="00A4345D" w:rsidSect="00B235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1DE15" w14:textId="77777777" w:rsidR="004207B2" w:rsidRDefault="004207B2" w:rsidP="00BA7406">
      <w:r>
        <w:separator/>
      </w:r>
    </w:p>
  </w:endnote>
  <w:endnote w:type="continuationSeparator" w:id="0">
    <w:p w14:paraId="20617E11" w14:textId="77777777" w:rsidR="004207B2" w:rsidRDefault="004207B2" w:rsidP="00BA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1B40" w14:textId="77777777" w:rsidR="00340AD6" w:rsidRDefault="00340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8437" w14:textId="77777777" w:rsidR="00340AD6" w:rsidRDefault="00340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2172" w14:textId="77777777" w:rsidR="00340AD6" w:rsidRDefault="0034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61B6" w14:textId="77777777" w:rsidR="004207B2" w:rsidRDefault="004207B2" w:rsidP="00BA7406">
      <w:r>
        <w:separator/>
      </w:r>
    </w:p>
  </w:footnote>
  <w:footnote w:type="continuationSeparator" w:id="0">
    <w:p w14:paraId="24357CA5" w14:textId="77777777" w:rsidR="004207B2" w:rsidRDefault="004207B2" w:rsidP="00BA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AA2A" w14:textId="77777777" w:rsidR="00340AD6" w:rsidRDefault="0034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6C1F" w14:textId="77777777" w:rsidR="00340AD6" w:rsidRDefault="00340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A21C" w14:textId="77777777" w:rsidR="00340AD6" w:rsidRDefault="00340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D38"/>
    <w:multiLevelType w:val="hybridMultilevel"/>
    <w:tmpl w:val="9EEC4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B2696"/>
    <w:multiLevelType w:val="hybridMultilevel"/>
    <w:tmpl w:val="5A084F42"/>
    <w:lvl w:ilvl="0" w:tplc="003E9148">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D29C1"/>
    <w:multiLevelType w:val="hybridMultilevel"/>
    <w:tmpl w:val="D1B0C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916C9"/>
    <w:multiLevelType w:val="hybridMultilevel"/>
    <w:tmpl w:val="9886C02A"/>
    <w:lvl w:ilvl="0" w:tplc="003E9148">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B1C54"/>
    <w:multiLevelType w:val="hybridMultilevel"/>
    <w:tmpl w:val="36A23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C7359"/>
    <w:multiLevelType w:val="hybridMultilevel"/>
    <w:tmpl w:val="B0065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F3B77"/>
    <w:multiLevelType w:val="hybridMultilevel"/>
    <w:tmpl w:val="3D16D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F3FC2"/>
    <w:multiLevelType w:val="hybridMultilevel"/>
    <w:tmpl w:val="E654CE8A"/>
    <w:lvl w:ilvl="0" w:tplc="003E9148">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37F0E"/>
    <w:multiLevelType w:val="hybridMultilevel"/>
    <w:tmpl w:val="2AEAA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6406A"/>
    <w:multiLevelType w:val="hybridMultilevel"/>
    <w:tmpl w:val="101C8988"/>
    <w:lvl w:ilvl="0" w:tplc="003E9148">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B64E2"/>
    <w:multiLevelType w:val="hybridMultilevel"/>
    <w:tmpl w:val="B9E07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06217"/>
    <w:multiLevelType w:val="multilevel"/>
    <w:tmpl w:val="AD8C864C"/>
    <w:lvl w:ilvl="0">
      <w:start w:val="1"/>
      <w:numFmt w:val="decimal"/>
      <w:lvlText w:val="%1"/>
      <w:lvlJc w:val="left"/>
      <w:pPr>
        <w:ind w:left="360" w:hanging="360"/>
      </w:pPr>
      <w:rPr>
        <w:rFonts w:hint="default"/>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8818E5"/>
    <w:multiLevelType w:val="hybridMultilevel"/>
    <w:tmpl w:val="14403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033670"/>
    <w:multiLevelType w:val="hybridMultilevel"/>
    <w:tmpl w:val="72A4586E"/>
    <w:lvl w:ilvl="0" w:tplc="003E9148">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6"/>
  </w:num>
  <w:num w:numId="9">
    <w:abstractNumId w:val="12"/>
  </w:num>
  <w:num w:numId="10">
    <w:abstractNumId w:val="5"/>
  </w:num>
  <w:num w:numId="11">
    <w:abstractNumId w:val="2"/>
  </w:num>
  <w:num w:numId="12">
    <w:abstractNumId w:val="13"/>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06"/>
    <w:rsid w:val="00030895"/>
    <w:rsid w:val="000539C0"/>
    <w:rsid w:val="00065A10"/>
    <w:rsid w:val="00082E78"/>
    <w:rsid w:val="000900ED"/>
    <w:rsid w:val="000C7636"/>
    <w:rsid w:val="000E01A0"/>
    <w:rsid w:val="000F2D43"/>
    <w:rsid w:val="00101C9D"/>
    <w:rsid w:val="00106CB1"/>
    <w:rsid w:val="001325B9"/>
    <w:rsid w:val="00154994"/>
    <w:rsid w:val="0017719C"/>
    <w:rsid w:val="00244556"/>
    <w:rsid w:val="00271E03"/>
    <w:rsid w:val="002B586F"/>
    <w:rsid w:val="002C0DD1"/>
    <w:rsid w:val="002D3EDE"/>
    <w:rsid w:val="00340AD6"/>
    <w:rsid w:val="00344E37"/>
    <w:rsid w:val="0035565C"/>
    <w:rsid w:val="00373BB1"/>
    <w:rsid w:val="004207B2"/>
    <w:rsid w:val="004252D0"/>
    <w:rsid w:val="00450E1A"/>
    <w:rsid w:val="004521D1"/>
    <w:rsid w:val="004915C6"/>
    <w:rsid w:val="00496138"/>
    <w:rsid w:val="004A577A"/>
    <w:rsid w:val="004E35DD"/>
    <w:rsid w:val="004E5CEE"/>
    <w:rsid w:val="00521AEC"/>
    <w:rsid w:val="00524E4E"/>
    <w:rsid w:val="005B6829"/>
    <w:rsid w:val="005D376E"/>
    <w:rsid w:val="005F7206"/>
    <w:rsid w:val="005F7565"/>
    <w:rsid w:val="00606C01"/>
    <w:rsid w:val="0061366F"/>
    <w:rsid w:val="00635938"/>
    <w:rsid w:val="0064450A"/>
    <w:rsid w:val="00691C55"/>
    <w:rsid w:val="006B61DA"/>
    <w:rsid w:val="006D26A9"/>
    <w:rsid w:val="00715127"/>
    <w:rsid w:val="00730848"/>
    <w:rsid w:val="007431C8"/>
    <w:rsid w:val="00771CF8"/>
    <w:rsid w:val="00773DA8"/>
    <w:rsid w:val="0078645A"/>
    <w:rsid w:val="00856552"/>
    <w:rsid w:val="00937055"/>
    <w:rsid w:val="009433CD"/>
    <w:rsid w:val="00951B98"/>
    <w:rsid w:val="00976861"/>
    <w:rsid w:val="00994F57"/>
    <w:rsid w:val="009A34AF"/>
    <w:rsid w:val="009C5BCC"/>
    <w:rsid w:val="00A1524D"/>
    <w:rsid w:val="00A4345D"/>
    <w:rsid w:val="00A51443"/>
    <w:rsid w:val="00A6627A"/>
    <w:rsid w:val="00A973BB"/>
    <w:rsid w:val="00AA635E"/>
    <w:rsid w:val="00AC114A"/>
    <w:rsid w:val="00AD5B8D"/>
    <w:rsid w:val="00AD6C7F"/>
    <w:rsid w:val="00AE3745"/>
    <w:rsid w:val="00AF25B1"/>
    <w:rsid w:val="00B235CA"/>
    <w:rsid w:val="00B5183B"/>
    <w:rsid w:val="00B66D2C"/>
    <w:rsid w:val="00B75E8B"/>
    <w:rsid w:val="00B767E6"/>
    <w:rsid w:val="00BA707C"/>
    <w:rsid w:val="00BA7406"/>
    <w:rsid w:val="00C2346C"/>
    <w:rsid w:val="00C5005E"/>
    <w:rsid w:val="00C63940"/>
    <w:rsid w:val="00C84C7D"/>
    <w:rsid w:val="00CF0109"/>
    <w:rsid w:val="00D02A26"/>
    <w:rsid w:val="00D10E87"/>
    <w:rsid w:val="00D14808"/>
    <w:rsid w:val="00D205D2"/>
    <w:rsid w:val="00D6070D"/>
    <w:rsid w:val="00D735C8"/>
    <w:rsid w:val="00DA3C07"/>
    <w:rsid w:val="00E26501"/>
    <w:rsid w:val="00E34600"/>
    <w:rsid w:val="00E34CD0"/>
    <w:rsid w:val="00E830CB"/>
    <w:rsid w:val="00EC3832"/>
    <w:rsid w:val="00ED329E"/>
    <w:rsid w:val="00EE4628"/>
    <w:rsid w:val="00F12C92"/>
    <w:rsid w:val="00F27456"/>
    <w:rsid w:val="00FE7D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92C8D88"/>
  <w15:chartTrackingRefBased/>
  <w15:docId w15:val="{0BCA14B3-EB77-436C-87F3-DDECEC2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06"/>
    <w:pPr>
      <w:spacing w:after="0" w:line="240" w:lineRule="auto"/>
      <w:jc w:val="both"/>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A74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74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7D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0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A7406"/>
    <w:rPr>
      <w:rFonts w:asciiTheme="majorHAnsi" w:eastAsiaTheme="majorEastAsia" w:hAnsiTheme="majorHAnsi" w:cstheme="majorBidi"/>
      <w:color w:val="2F5496" w:themeColor="accent1" w:themeShade="BF"/>
      <w:sz w:val="26"/>
      <w:szCs w:val="26"/>
      <w:lang w:eastAsia="en-GB"/>
    </w:rPr>
  </w:style>
  <w:style w:type="paragraph" w:styleId="Caption">
    <w:name w:val="caption"/>
    <w:basedOn w:val="Normal"/>
    <w:next w:val="Normal"/>
    <w:uiPriority w:val="35"/>
    <w:unhideWhenUsed/>
    <w:qFormat/>
    <w:rsid w:val="00BA7406"/>
    <w:pPr>
      <w:spacing w:after="200"/>
    </w:pPr>
    <w:rPr>
      <w:i/>
      <w:iCs/>
      <w:color w:val="44546A" w:themeColor="text2"/>
      <w:sz w:val="18"/>
      <w:szCs w:val="18"/>
    </w:rPr>
  </w:style>
  <w:style w:type="table" w:styleId="TableGrid">
    <w:name w:val="Table Grid"/>
    <w:basedOn w:val="TableNormal"/>
    <w:uiPriority w:val="39"/>
    <w:rsid w:val="00BA74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406"/>
    <w:pPr>
      <w:ind w:left="720"/>
      <w:contextualSpacing/>
    </w:pPr>
  </w:style>
  <w:style w:type="paragraph" w:styleId="Header">
    <w:name w:val="header"/>
    <w:basedOn w:val="Normal"/>
    <w:link w:val="HeaderChar"/>
    <w:uiPriority w:val="99"/>
    <w:unhideWhenUsed/>
    <w:rsid w:val="00BA7406"/>
    <w:pPr>
      <w:tabs>
        <w:tab w:val="center" w:pos="4513"/>
        <w:tab w:val="right" w:pos="9026"/>
      </w:tabs>
    </w:pPr>
  </w:style>
  <w:style w:type="character" w:customStyle="1" w:styleId="HeaderChar">
    <w:name w:val="Header Char"/>
    <w:basedOn w:val="DefaultParagraphFont"/>
    <w:link w:val="Header"/>
    <w:uiPriority w:val="99"/>
    <w:rsid w:val="00BA74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A7406"/>
    <w:pPr>
      <w:tabs>
        <w:tab w:val="center" w:pos="4513"/>
        <w:tab w:val="right" w:pos="9026"/>
      </w:tabs>
    </w:pPr>
  </w:style>
  <w:style w:type="character" w:customStyle="1" w:styleId="FooterChar">
    <w:name w:val="Footer Char"/>
    <w:basedOn w:val="DefaultParagraphFont"/>
    <w:link w:val="Footer"/>
    <w:uiPriority w:val="99"/>
    <w:rsid w:val="00BA740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06"/>
    <w:rPr>
      <w:rFonts w:ascii="Segoe UI" w:eastAsia="Times New Roman" w:hAnsi="Segoe UI" w:cs="Segoe UI"/>
      <w:sz w:val="18"/>
      <w:szCs w:val="18"/>
      <w:lang w:eastAsia="en-GB"/>
    </w:rPr>
  </w:style>
  <w:style w:type="paragraph" w:customStyle="1" w:styleId="EndNoteBibliography">
    <w:name w:val="EndNote Bibliography"/>
    <w:basedOn w:val="Normal"/>
    <w:link w:val="EndNoteBibliographyChar"/>
    <w:rsid w:val="00FE7D10"/>
    <w:rPr>
      <w:noProof/>
    </w:rPr>
  </w:style>
  <w:style w:type="character" w:customStyle="1" w:styleId="EndNoteBibliographyChar">
    <w:name w:val="EndNote Bibliography Char"/>
    <w:basedOn w:val="DefaultParagraphFont"/>
    <w:link w:val="EndNoteBibliography"/>
    <w:rsid w:val="00FE7D10"/>
    <w:rPr>
      <w:rFonts w:ascii="Times New Roman" w:eastAsia="Times New Roman" w:hAnsi="Times New Roman" w:cs="Times New Roman"/>
      <w:noProof/>
      <w:sz w:val="24"/>
      <w:szCs w:val="24"/>
      <w:lang w:eastAsia="en-GB"/>
    </w:rPr>
  </w:style>
  <w:style w:type="character" w:customStyle="1" w:styleId="Heading3Char">
    <w:name w:val="Heading 3 Char"/>
    <w:basedOn w:val="DefaultParagraphFont"/>
    <w:link w:val="Heading3"/>
    <w:uiPriority w:val="9"/>
    <w:rsid w:val="00FE7D10"/>
    <w:rPr>
      <w:rFonts w:asciiTheme="majorHAnsi" w:eastAsiaTheme="majorEastAsia" w:hAnsiTheme="majorHAnsi" w:cstheme="majorBidi"/>
      <w:color w:val="1F3763" w:themeColor="accent1" w:themeShade="7F"/>
      <w:sz w:val="24"/>
      <w:szCs w:val="24"/>
      <w:lang w:eastAsia="en-GB"/>
    </w:rPr>
  </w:style>
  <w:style w:type="character" w:styleId="CommentReference">
    <w:name w:val="annotation reference"/>
    <w:basedOn w:val="DefaultParagraphFont"/>
    <w:uiPriority w:val="99"/>
    <w:semiHidden/>
    <w:unhideWhenUsed/>
    <w:rsid w:val="0061366F"/>
    <w:rPr>
      <w:sz w:val="16"/>
      <w:szCs w:val="16"/>
    </w:rPr>
  </w:style>
  <w:style w:type="paragraph" w:styleId="CommentText">
    <w:name w:val="annotation text"/>
    <w:basedOn w:val="Normal"/>
    <w:link w:val="CommentTextChar"/>
    <w:uiPriority w:val="99"/>
    <w:semiHidden/>
    <w:unhideWhenUsed/>
    <w:rsid w:val="0061366F"/>
    <w:rPr>
      <w:sz w:val="20"/>
      <w:szCs w:val="20"/>
    </w:rPr>
  </w:style>
  <w:style w:type="character" w:customStyle="1" w:styleId="CommentTextChar">
    <w:name w:val="Comment Text Char"/>
    <w:basedOn w:val="DefaultParagraphFont"/>
    <w:link w:val="CommentText"/>
    <w:uiPriority w:val="99"/>
    <w:semiHidden/>
    <w:rsid w:val="006136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1366F"/>
    <w:rPr>
      <w:b/>
      <w:bCs/>
    </w:rPr>
  </w:style>
  <w:style w:type="character" w:customStyle="1" w:styleId="CommentSubjectChar">
    <w:name w:val="Comment Subject Char"/>
    <w:basedOn w:val="CommentTextChar"/>
    <w:link w:val="CommentSubject"/>
    <w:uiPriority w:val="99"/>
    <w:semiHidden/>
    <w:rsid w:val="0061366F"/>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B5183B"/>
    <w:rPr>
      <w:color w:val="808080"/>
    </w:rPr>
  </w:style>
  <w:style w:type="paragraph" w:styleId="Revision">
    <w:name w:val="Revision"/>
    <w:hidden/>
    <w:uiPriority w:val="99"/>
    <w:semiHidden/>
    <w:rsid w:val="00F2745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141">
      <w:bodyDiv w:val="1"/>
      <w:marLeft w:val="0"/>
      <w:marRight w:val="0"/>
      <w:marTop w:val="0"/>
      <w:marBottom w:val="0"/>
      <w:divBdr>
        <w:top w:val="none" w:sz="0" w:space="0" w:color="auto"/>
        <w:left w:val="none" w:sz="0" w:space="0" w:color="auto"/>
        <w:bottom w:val="none" w:sz="0" w:space="0" w:color="auto"/>
        <w:right w:val="none" w:sz="0" w:space="0" w:color="auto"/>
      </w:divBdr>
    </w:div>
    <w:div w:id="173692311">
      <w:bodyDiv w:val="1"/>
      <w:marLeft w:val="0"/>
      <w:marRight w:val="0"/>
      <w:marTop w:val="0"/>
      <w:marBottom w:val="0"/>
      <w:divBdr>
        <w:top w:val="none" w:sz="0" w:space="0" w:color="auto"/>
        <w:left w:val="none" w:sz="0" w:space="0" w:color="auto"/>
        <w:bottom w:val="none" w:sz="0" w:space="0" w:color="auto"/>
        <w:right w:val="none" w:sz="0" w:space="0" w:color="auto"/>
      </w:divBdr>
    </w:div>
    <w:div w:id="1070345816">
      <w:bodyDiv w:val="1"/>
      <w:marLeft w:val="0"/>
      <w:marRight w:val="0"/>
      <w:marTop w:val="0"/>
      <w:marBottom w:val="0"/>
      <w:divBdr>
        <w:top w:val="none" w:sz="0" w:space="0" w:color="auto"/>
        <w:left w:val="none" w:sz="0" w:space="0" w:color="auto"/>
        <w:bottom w:val="none" w:sz="0" w:space="0" w:color="auto"/>
        <w:right w:val="none" w:sz="0" w:space="0" w:color="auto"/>
      </w:divBdr>
    </w:div>
    <w:div w:id="1116873326">
      <w:bodyDiv w:val="1"/>
      <w:marLeft w:val="0"/>
      <w:marRight w:val="0"/>
      <w:marTop w:val="0"/>
      <w:marBottom w:val="0"/>
      <w:divBdr>
        <w:top w:val="none" w:sz="0" w:space="0" w:color="auto"/>
        <w:left w:val="none" w:sz="0" w:space="0" w:color="auto"/>
        <w:bottom w:val="none" w:sz="0" w:space="0" w:color="auto"/>
        <w:right w:val="none" w:sz="0" w:space="0" w:color="auto"/>
      </w:divBdr>
    </w:div>
    <w:div w:id="1202203564">
      <w:bodyDiv w:val="1"/>
      <w:marLeft w:val="0"/>
      <w:marRight w:val="0"/>
      <w:marTop w:val="0"/>
      <w:marBottom w:val="0"/>
      <w:divBdr>
        <w:top w:val="none" w:sz="0" w:space="0" w:color="auto"/>
        <w:left w:val="none" w:sz="0" w:space="0" w:color="auto"/>
        <w:bottom w:val="none" w:sz="0" w:space="0" w:color="auto"/>
        <w:right w:val="none" w:sz="0" w:space="0" w:color="auto"/>
      </w:divBdr>
    </w:div>
    <w:div w:id="1441341293">
      <w:bodyDiv w:val="1"/>
      <w:marLeft w:val="0"/>
      <w:marRight w:val="0"/>
      <w:marTop w:val="0"/>
      <w:marBottom w:val="0"/>
      <w:divBdr>
        <w:top w:val="none" w:sz="0" w:space="0" w:color="auto"/>
        <w:left w:val="none" w:sz="0" w:space="0" w:color="auto"/>
        <w:bottom w:val="none" w:sz="0" w:space="0" w:color="auto"/>
        <w:right w:val="none" w:sz="0" w:space="0" w:color="auto"/>
      </w:divBdr>
    </w:div>
    <w:div w:id="1698585359">
      <w:bodyDiv w:val="1"/>
      <w:marLeft w:val="0"/>
      <w:marRight w:val="0"/>
      <w:marTop w:val="0"/>
      <w:marBottom w:val="0"/>
      <w:divBdr>
        <w:top w:val="none" w:sz="0" w:space="0" w:color="auto"/>
        <w:left w:val="none" w:sz="0" w:space="0" w:color="auto"/>
        <w:bottom w:val="none" w:sz="0" w:space="0" w:color="auto"/>
        <w:right w:val="none" w:sz="0" w:space="0" w:color="auto"/>
      </w:divBdr>
    </w:div>
    <w:div w:id="1984040816">
      <w:bodyDiv w:val="1"/>
      <w:marLeft w:val="0"/>
      <w:marRight w:val="0"/>
      <w:marTop w:val="0"/>
      <w:marBottom w:val="0"/>
      <w:divBdr>
        <w:top w:val="none" w:sz="0" w:space="0" w:color="auto"/>
        <w:left w:val="none" w:sz="0" w:space="0" w:color="auto"/>
        <w:bottom w:val="none" w:sz="0" w:space="0" w:color="auto"/>
        <w:right w:val="none" w:sz="0" w:space="0" w:color="auto"/>
      </w:divBdr>
    </w:div>
    <w:div w:id="21385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ads.bris.ac.uk\folders\Health%20Sciences\Bristol%20Medical%20School\BRMS\Studies\MRB\ALSPAC\Important%20data\Caroline's%20work%20January%202016\Fellowship\Mplus\some%20plots%20-%20mcre_2%20-%20complete%20ca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bris.ac.uk\folders\Health%20Sciences\Bristol%20Medical%20School\BRMS\Studies\MRB\ALSPAC\Important%20data\Caroline's%20work%20January%202016\Fellowship\Mplus\some%20plots%20-%20mcre_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a:t>6 class LCGA-ISQC solution</a:t>
            </a:r>
            <a:r>
              <a:rPr lang="en-GB" baseline="0"/>
              <a:t> for complete data  (n=1,951) </a:t>
            </a:r>
            <a:endParaRPr lang="en-GB"/>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87054218440091"/>
          <c:y val="0.12539281963222912"/>
          <c:w val="0.82931479792236162"/>
          <c:h val="0.72000098139217794"/>
        </c:manualLayout>
      </c:layout>
      <c:lineChart>
        <c:grouping val="standard"/>
        <c:varyColors val="0"/>
        <c:ser>
          <c:idx val="0"/>
          <c:order val="0"/>
          <c:tx>
            <c:strRef>
              <c:f>'6 class LCGA-ISQC'!$L$48</c:f>
              <c:strCache>
                <c:ptCount val="1"/>
                <c:pt idx="0">
                  <c:v>C1 (41.0%)</c:v>
                </c:pt>
              </c:strCache>
            </c:strRef>
          </c:tx>
          <c:spPr>
            <a:ln w="28575" cap="rnd">
              <a:solidFill>
                <a:srgbClr val="FF9900"/>
              </a:solidFill>
              <a:round/>
            </a:ln>
            <a:effectLst/>
          </c:spPr>
          <c:marker>
            <c:symbol val="none"/>
          </c:marker>
          <c:cat>
            <c:numRef>
              <c:f>'6 class LCGA-ISQC'!$M$47:$P$47</c:f>
              <c:numCache>
                <c:formatCode>General</c:formatCode>
                <c:ptCount val="4"/>
                <c:pt idx="0">
                  <c:v>11</c:v>
                </c:pt>
                <c:pt idx="1">
                  <c:v>14</c:v>
                </c:pt>
                <c:pt idx="2">
                  <c:v>16</c:v>
                </c:pt>
                <c:pt idx="3">
                  <c:v>18</c:v>
                </c:pt>
              </c:numCache>
            </c:numRef>
          </c:cat>
          <c:val>
            <c:numRef>
              <c:f>'6 class LCGA-ISQC'!$M$48:$P$48</c:f>
              <c:numCache>
                <c:formatCode>General</c:formatCode>
                <c:ptCount val="4"/>
                <c:pt idx="0">
                  <c:v>0.95399999999999996</c:v>
                </c:pt>
                <c:pt idx="1">
                  <c:v>1.0149999999999999</c:v>
                </c:pt>
                <c:pt idx="2">
                  <c:v>1.081</c:v>
                </c:pt>
                <c:pt idx="3">
                  <c:v>1.3149999999999999</c:v>
                </c:pt>
              </c:numCache>
            </c:numRef>
          </c:val>
          <c:smooth val="0"/>
          <c:extLst>
            <c:ext xmlns:c16="http://schemas.microsoft.com/office/drawing/2014/chart" uri="{C3380CC4-5D6E-409C-BE32-E72D297353CC}">
              <c16:uniqueId val="{00000000-299E-47B7-8470-ED32521F1CA7}"/>
            </c:ext>
          </c:extLst>
        </c:ser>
        <c:ser>
          <c:idx val="1"/>
          <c:order val="1"/>
          <c:tx>
            <c:strRef>
              <c:f>'6 class LCGA-ISQC'!$L$49</c:f>
              <c:strCache>
                <c:ptCount val="1"/>
                <c:pt idx="0">
                  <c:v>C2 (22.3%)</c:v>
                </c:pt>
              </c:strCache>
            </c:strRef>
          </c:tx>
          <c:spPr>
            <a:ln w="28575" cap="rnd">
              <a:solidFill>
                <a:srgbClr val="00B050"/>
              </a:solidFill>
              <a:round/>
            </a:ln>
            <a:effectLst/>
          </c:spPr>
          <c:marker>
            <c:symbol val="none"/>
          </c:marker>
          <c:cat>
            <c:numRef>
              <c:f>'6 class LCGA-ISQC'!$M$47:$P$47</c:f>
              <c:numCache>
                <c:formatCode>General</c:formatCode>
                <c:ptCount val="4"/>
                <c:pt idx="0">
                  <c:v>11</c:v>
                </c:pt>
                <c:pt idx="1">
                  <c:v>14</c:v>
                </c:pt>
                <c:pt idx="2">
                  <c:v>16</c:v>
                </c:pt>
                <c:pt idx="3">
                  <c:v>18</c:v>
                </c:pt>
              </c:numCache>
            </c:numRef>
          </c:cat>
          <c:val>
            <c:numRef>
              <c:f>'6 class LCGA-ISQC'!$M$49:$P$49</c:f>
              <c:numCache>
                <c:formatCode>General</c:formatCode>
                <c:ptCount val="4"/>
                <c:pt idx="0">
                  <c:v>1.9289999999999998</c:v>
                </c:pt>
                <c:pt idx="1">
                  <c:v>1.871</c:v>
                </c:pt>
                <c:pt idx="2">
                  <c:v>1.742</c:v>
                </c:pt>
                <c:pt idx="3">
                  <c:v>1.9470000000000001</c:v>
                </c:pt>
              </c:numCache>
            </c:numRef>
          </c:val>
          <c:smooth val="0"/>
          <c:extLst>
            <c:ext xmlns:c16="http://schemas.microsoft.com/office/drawing/2014/chart" uri="{C3380CC4-5D6E-409C-BE32-E72D297353CC}">
              <c16:uniqueId val="{00000001-299E-47B7-8470-ED32521F1CA7}"/>
            </c:ext>
          </c:extLst>
        </c:ser>
        <c:ser>
          <c:idx val="2"/>
          <c:order val="2"/>
          <c:tx>
            <c:strRef>
              <c:f>'6 class LCGA-ISQC'!$L$50</c:f>
              <c:strCache>
                <c:ptCount val="1"/>
                <c:pt idx="0">
                  <c:v>C3 (10.5%)</c:v>
                </c:pt>
              </c:strCache>
            </c:strRef>
          </c:tx>
          <c:spPr>
            <a:ln w="28575" cap="rnd">
              <a:solidFill>
                <a:srgbClr val="9933FF"/>
              </a:solidFill>
              <a:round/>
            </a:ln>
            <a:effectLst/>
          </c:spPr>
          <c:marker>
            <c:symbol val="none"/>
          </c:marker>
          <c:cat>
            <c:numRef>
              <c:f>'6 class LCGA-ISQC'!$M$47:$P$47</c:f>
              <c:numCache>
                <c:formatCode>General</c:formatCode>
                <c:ptCount val="4"/>
                <c:pt idx="0">
                  <c:v>11</c:v>
                </c:pt>
                <c:pt idx="1">
                  <c:v>14</c:v>
                </c:pt>
                <c:pt idx="2">
                  <c:v>16</c:v>
                </c:pt>
                <c:pt idx="3">
                  <c:v>18</c:v>
                </c:pt>
              </c:numCache>
            </c:numRef>
          </c:cat>
          <c:val>
            <c:numRef>
              <c:f>'6 class LCGA-ISQC'!$M$50:$P$50</c:f>
              <c:numCache>
                <c:formatCode>General</c:formatCode>
                <c:ptCount val="4"/>
                <c:pt idx="0">
                  <c:v>2.3109999999999999</c:v>
                </c:pt>
                <c:pt idx="1">
                  <c:v>2.5129999999999999</c:v>
                </c:pt>
                <c:pt idx="2">
                  <c:v>2.9029999999999996</c:v>
                </c:pt>
                <c:pt idx="3">
                  <c:v>3.0959999999999996</c:v>
                </c:pt>
              </c:numCache>
            </c:numRef>
          </c:val>
          <c:smooth val="0"/>
          <c:extLst>
            <c:ext xmlns:c16="http://schemas.microsoft.com/office/drawing/2014/chart" uri="{C3380CC4-5D6E-409C-BE32-E72D297353CC}">
              <c16:uniqueId val="{00000002-299E-47B7-8470-ED32521F1CA7}"/>
            </c:ext>
          </c:extLst>
        </c:ser>
        <c:ser>
          <c:idx val="3"/>
          <c:order val="3"/>
          <c:tx>
            <c:strRef>
              <c:f>'6 class LCGA-ISQC'!$L$51</c:f>
              <c:strCache>
                <c:ptCount val="1"/>
                <c:pt idx="0">
                  <c:v>C4 (13.6%)</c:v>
                </c:pt>
              </c:strCache>
            </c:strRef>
          </c:tx>
          <c:spPr>
            <a:ln w="28575" cap="rnd">
              <a:solidFill>
                <a:srgbClr val="FFFF00"/>
              </a:solidFill>
              <a:round/>
            </a:ln>
            <a:effectLst/>
          </c:spPr>
          <c:marker>
            <c:symbol val="none"/>
          </c:marker>
          <c:cat>
            <c:numRef>
              <c:f>'6 class LCGA-ISQC'!$M$47:$P$47</c:f>
              <c:numCache>
                <c:formatCode>General</c:formatCode>
                <c:ptCount val="4"/>
                <c:pt idx="0">
                  <c:v>11</c:v>
                </c:pt>
                <c:pt idx="1">
                  <c:v>14</c:v>
                </c:pt>
                <c:pt idx="2">
                  <c:v>16</c:v>
                </c:pt>
                <c:pt idx="3">
                  <c:v>18</c:v>
                </c:pt>
              </c:numCache>
            </c:numRef>
          </c:cat>
          <c:val>
            <c:numRef>
              <c:f>'6 class LCGA-ISQC'!$M$51:$P$51</c:f>
              <c:numCache>
                <c:formatCode>General</c:formatCode>
                <c:ptCount val="4"/>
                <c:pt idx="0">
                  <c:v>0.61799999999999999</c:v>
                </c:pt>
                <c:pt idx="1">
                  <c:v>0.72799999999999998</c:v>
                </c:pt>
                <c:pt idx="2">
                  <c:v>1.7490000000000001</c:v>
                </c:pt>
                <c:pt idx="3">
                  <c:v>2.226</c:v>
                </c:pt>
              </c:numCache>
            </c:numRef>
          </c:val>
          <c:smooth val="0"/>
          <c:extLst>
            <c:ext xmlns:c16="http://schemas.microsoft.com/office/drawing/2014/chart" uri="{C3380CC4-5D6E-409C-BE32-E72D297353CC}">
              <c16:uniqueId val="{00000003-299E-47B7-8470-ED32521F1CA7}"/>
            </c:ext>
          </c:extLst>
        </c:ser>
        <c:ser>
          <c:idx val="4"/>
          <c:order val="4"/>
          <c:tx>
            <c:strRef>
              <c:f>'6 class LCGA-ISQC'!$L$52</c:f>
              <c:strCache>
                <c:ptCount val="1"/>
                <c:pt idx="0">
                  <c:v>C5 (5.2%)</c:v>
                </c:pt>
              </c:strCache>
            </c:strRef>
          </c:tx>
          <c:spPr>
            <a:ln w="28575" cap="rnd">
              <a:solidFill>
                <a:srgbClr val="C00000"/>
              </a:solidFill>
              <a:round/>
            </a:ln>
            <a:effectLst/>
          </c:spPr>
          <c:marker>
            <c:symbol val="none"/>
          </c:marker>
          <c:cat>
            <c:numRef>
              <c:f>'6 class LCGA-ISQC'!$M$47:$P$47</c:f>
              <c:numCache>
                <c:formatCode>General</c:formatCode>
                <c:ptCount val="4"/>
                <c:pt idx="0">
                  <c:v>11</c:v>
                </c:pt>
                <c:pt idx="1">
                  <c:v>14</c:v>
                </c:pt>
                <c:pt idx="2">
                  <c:v>16</c:v>
                </c:pt>
                <c:pt idx="3">
                  <c:v>18</c:v>
                </c:pt>
              </c:numCache>
            </c:numRef>
          </c:cat>
          <c:val>
            <c:numRef>
              <c:f>'6 class LCGA-ISQC'!$M$52:$P$52</c:f>
              <c:numCache>
                <c:formatCode>General</c:formatCode>
                <c:ptCount val="4"/>
                <c:pt idx="0">
                  <c:v>0.23399999999999999</c:v>
                </c:pt>
                <c:pt idx="1">
                  <c:v>0.35399999999999998</c:v>
                </c:pt>
                <c:pt idx="2">
                  <c:v>0.39300000000000002</c:v>
                </c:pt>
                <c:pt idx="3">
                  <c:v>0.62</c:v>
                </c:pt>
              </c:numCache>
            </c:numRef>
          </c:val>
          <c:smooth val="0"/>
          <c:extLst>
            <c:ext xmlns:c16="http://schemas.microsoft.com/office/drawing/2014/chart" uri="{C3380CC4-5D6E-409C-BE32-E72D297353CC}">
              <c16:uniqueId val="{00000004-299E-47B7-8470-ED32521F1CA7}"/>
            </c:ext>
          </c:extLst>
        </c:ser>
        <c:ser>
          <c:idx val="5"/>
          <c:order val="5"/>
          <c:tx>
            <c:strRef>
              <c:f>'6 class LCGA-ISQC'!$L$53</c:f>
              <c:strCache>
                <c:ptCount val="1"/>
                <c:pt idx="0">
                  <c:v>C6 (7.5%)</c:v>
                </c:pt>
              </c:strCache>
            </c:strRef>
          </c:tx>
          <c:spPr>
            <a:ln w="28575" cap="rnd">
              <a:solidFill>
                <a:srgbClr val="0066FF"/>
              </a:solidFill>
              <a:round/>
            </a:ln>
            <a:effectLst/>
          </c:spPr>
          <c:marker>
            <c:symbol val="none"/>
          </c:marker>
          <c:cat>
            <c:numRef>
              <c:f>'6 class LCGA-ISQC'!$M$47:$P$47</c:f>
              <c:numCache>
                <c:formatCode>General</c:formatCode>
                <c:ptCount val="4"/>
                <c:pt idx="0">
                  <c:v>11</c:v>
                </c:pt>
                <c:pt idx="1">
                  <c:v>14</c:v>
                </c:pt>
                <c:pt idx="2">
                  <c:v>16</c:v>
                </c:pt>
                <c:pt idx="3">
                  <c:v>18</c:v>
                </c:pt>
              </c:numCache>
            </c:numRef>
          </c:cat>
          <c:val>
            <c:numRef>
              <c:f>'6 class LCGA-ISQC'!$M$53:$P$53</c:f>
              <c:numCache>
                <c:formatCode>General</c:formatCode>
                <c:ptCount val="4"/>
                <c:pt idx="0">
                  <c:v>1.254</c:v>
                </c:pt>
                <c:pt idx="1">
                  <c:v>1.58</c:v>
                </c:pt>
                <c:pt idx="2">
                  <c:v>2.3570000000000002</c:v>
                </c:pt>
                <c:pt idx="3">
                  <c:v>2.9779999999999998</c:v>
                </c:pt>
              </c:numCache>
            </c:numRef>
          </c:val>
          <c:smooth val="0"/>
          <c:extLst>
            <c:ext xmlns:c16="http://schemas.microsoft.com/office/drawing/2014/chart" uri="{C3380CC4-5D6E-409C-BE32-E72D297353CC}">
              <c16:uniqueId val="{00000005-299E-47B7-8470-ED32521F1CA7}"/>
            </c:ext>
          </c:extLst>
        </c:ser>
        <c:dLbls>
          <c:showLegendKey val="0"/>
          <c:showVal val="0"/>
          <c:showCatName val="0"/>
          <c:showSerName val="0"/>
          <c:showPercent val="0"/>
          <c:showBubbleSize val="0"/>
        </c:dLbls>
        <c:smooth val="0"/>
        <c:axId val="775890776"/>
        <c:axId val="775892088"/>
      </c:lineChart>
      <c:catAx>
        <c:axId val="77589077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a:t>YP</a:t>
                </a:r>
                <a:r>
                  <a:rPr lang="en-GB" baseline="0"/>
                  <a:t> Age (Years)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75892088"/>
        <c:crosses val="autoZero"/>
        <c:auto val="1"/>
        <c:lblAlgn val="ctr"/>
        <c:lblOffset val="100"/>
        <c:noMultiLvlLbl val="0"/>
      </c:catAx>
      <c:valAx>
        <c:axId val="775892088"/>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a:t>Average number of MRBs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75890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GB"/>
              <a:t>6 class LCGA-ISQC solution</a:t>
            </a:r>
            <a:r>
              <a:rPr lang="en-GB" baseline="0"/>
              <a:t> for all data (n = 6,351) </a:t>
            </a:r>
            <a:endParaRPr lang="en-GB"/>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72520250457164"/>
          <c:y val="0.12208466491199313"/>
          <c:w val="0.84050624730561307"/>
          <c:h val="0.72000098139217794"/>
        </c:manualLayout>
      </c:layout>
      <c:lineChart>
        <c:grouping val="standard"/>
        <c:varyColors val="0"/>
        <c:ser>
          <c:idx val="0"/>
          <c:order val="0"/>
          <c:tx>
            <c:strRef>
              <c:f>'6 class LCGA-ISQC all data'!$L$51</c:f>
              <c:strCache>
                <c:ptCount val="1"/>
                <c:pt idx="0">
                  <c:v>C4(11.3%)</c:v>
                </c:pt>
              </c:strCache>
            </c:strRef>
          </c:tx>
          <c:spPr>
            <a:ln w="28575" cap="rnd">
              <a:solidFill>
                <a:srgbClr val="FFFF00"/>
              </a:solidFill>
              <a:round/>
            </a:ln>
            <a:effectLst/>
          </c:spPr>
          <c:marker>
            <c:symbol val="none"/>
          </c:marker>
          <c:cat>
            <c:numRef>
              <c:f>'6 class LCGA-ISQC all data'!$M$47:$P$47</c:f>
              <c:numCache>
                <c:formatCode>General</c:formatCode>
                <c:ptCount val="4"/>
                <c:pt idx="0">
                  <c:v>11</c:v>
                </c:pt>
                <c:pt idx="1">
                  <c:v>14</c:v>
                </c:pt>
                <c:pt idx="2">
                  <c:v>16</c:v>
                </c:pt>
                <c:pt idx="3">
                  <c:v>18</c:v>
                </c:pt>
              </c:numCache>
            </c:numRef>
          </c:cat>
          <c:val>
            <c:numRef>
              <c:f>'6 class LCGA-ISQC all data'!$M$51:$P$51</c:f>
              <c:numCache>
                <c:formatCode>General</c:formatCode>
                <c:ptCount val="4"/>
                <c:pt idx="0">
                  <c:v>0.53800000000000003</c:v>
                </c:pt>
                <c:pt idx="1">
                  <c:v>0.77700000000000002</c:v>
                </c:pt>
                <c:pt idx="2">
                  <c:v>1.774</c:v>
                </c:pt>
                <c:pt idx="3">
                  <c:v>2.097</c:v>
                </c:pt>
              </c:numCache>
            </c:numRef>
          </c:val>
          <c:smooth val="0"/>
          <c:extLst>
            <c:ext xmlns:c16="http://schemas.microsoft.com/office/drawing/2014/chart" uri="{C3380CC4-5D6E-409C-BE32-E72D297353CC}">
              <c16:uniqueId val="{00000000-2B49-4C25-BB8A-01CF11B2427E}"/>
            </c:ext>
          </c:extLst>
        </c:ser>
        <c:ser>
          <c:idx val="1"/>
          <c:order val="1"/>
          <c:tx>
            <c:strRef>
              <c:f>'6 class LCGA-ISQC all data'!$L$53</c:f>
              <c:strCache>
                <c:ptCount val="1"/>
                <c:pt idx="0">
                  <c:v>C6 (8.6%)</c:v>
                </c:pt>
              </c:strCache>
            </c:strRef>
          </c:tx>
          <c:spPr>
            <a:ln w="28575" cap="rnd">
              <a:solidFill>
                <a:srgbClr val="0066FF"/>
              </a:solidFill>
              <a:round/>
            </a:ln>
            <a:effectLst/>
          </c:spPr>
          <c:marker>
            <c:symbol val="none"/>
          </c:marker>
          <c:cat>
            <c:numRef>
              <c:f>'6 class LCGA-ISQC all data'!$M$47:$P$47</c:f>
              <c:numCache>
                <c:formatCode>General</c:formatCode>
                <c:ptCount val="4"/>
                <c:pt idx="0">
                  <c:v>11</c:v>
                </c:pt>
                <c:pt idx="1">
                  <c:v>14</c:v>
                </c:pt>
                <c:pt idx="2">
                  <c:v>16</c:v>
                </c:pt>
                <c:pt idx="3">
                  <c:v>18</c:v>
                </c:pt>
              </c:numCache>
            </c:numRef>
          </c:cat>
          <c:val>
            <c:numRef>
              <c:f>'6 class LCGA-ISQC all data'!$M$53:$P$53</c:f>
              <c:numCache>
                <c:formatCode>General</c:formatCode>
                <c:ptCount val="4"/>
                <c:pt idx="0">
                  <c:v>1.482</c:v>
                </c:pt>
                <c:pt idx="1">
                  <c:v>1.6719999999999999</c:v>
                </c:pt>
                <c:pt idx="2">
                  <c:v>2.6040000000000001</c:v>
                </c:pt>
                <c:pt idx="3">
                  <c:v>3.016</c:v>
                </c:pt>
              </c:numCache>
            </c:numRef>
          </c:val>
          <c:smooth val="0"/>
          <c:extLst>
            <c:ext xmlns:c16="http://schemas.microsoft.com/office/drawing/2014/chart" uri="{C3380CC4-5D6E-409C-BE32-E72D297353CC}">
              <c16:uniqueId val="{00000001-2B49-4C25-BB8A-01CF11B2427E}"/>
            </c:ext>
          </c:extLst>
        </c:ser>
        <c:ser>
          <c:idx val="2"/>
          <c:order val="2"/>
          <c:tx>
            <c:strRef>
              <c:f>'6 class LCGA-ISQC all data'!$L$48</c:f>
              <c:strCache>
                <c:ptCount val="1"/>
                <c:pt idx="0">
                  <c:v>C1 (41.0%)</c:v>
                </c:pt>
              </c:strCache>
            </c:strRef>
          </c:tx>
          <c:spPr>
            <a:ln w="28575" cap="rnd">
              <a:solidFill>
                <a:srgbClr val="FF9900"/>
              </a:solidFill>
              <a:round/>
            </a:ln>
            <a:effectLst/>
          </c:spPr>
          <c:marker>
            <c:symbol val="none"/>
          </c:marker>
          <c:cat>
            <c:numRef>
              <c:f>'6 class LCGA-ISQC all data'!$M$47:$P$47</c:f>
              <c:numCache>
                <c:formatCode>General</c:formatCode>
                <c:ptCount val="4"/>
                <c:pt idx="0">
                  <c:v>11</c:v>
                </c:pt>
                <c:pt idx="1">
                  <c:v>14</c:v>
                </c:pt>
                <c:pt idx="2">
                  <c:v>16</c:v>
                </c:pt>
                <c:pt idx="3">
                  <c:v>18</c:v>
                </c:pt>
              </c:numCache>
            </c:numRef>
          </c:cat>
          <c:val>
            <c:numRef>
              <c:f>'6 class LCGA-ISQC all data'!$M$48:$P$48</c:f>
              <c:numCache>
                <c:formatCode>General</c:formatCode>
                <c:ptCount val="4"/>
                <c:pt idx="0">
                  <c:v>0.998</c:v>
                </c:pt>
                <c:pt idx="1">
                  <c:v>1.0089999999999999</c:v>
                </c:pt>
                <c:pt idx="2">
                  <c:v>1.0189999999999999</c:v>
                </c:pt>
                <c:pt idx="3">
                  <c:v>1.3230000000000002</c:v>
                </c:pt>
              </c:numCache>
            </c:numRef>
          </c:val>
          <c:smooth val="0"/>
          <c:extLst>
            <c:ext xmlns:c16="http://schemas.microsoft.com/office/drawing/2014/chart" uri="{C3380CC4-5D6E-409C-BE32-E72D297353CC}">
              <c16:uniqueId val="{00000002-2B49-4C25-BB8A-01CF11B2427E}"/>
            </c:ext>
          </c:extLst>
        </c:ser>
        <c:ser>
          <c:idx val="3"/>
          <c:order val="3"/>
          <c:tx>
            <c:strRef>
              <c:f>'6 class LCGA-ISQC all data'!$L$50</c:f>
              <c:strCache>
                <c:ptCount val="1"/>
                <c:pt idx="0">
                  <c:v>C3 (9.9%)</c:v>
                </c:pt>
              </c:strCache>
            </c:strRef>
          </c:tx>
          <c:spPr>
            <a:ln w="28575" cap="rnd">
              <a:solidFill>
                <a:srgbClr val="9933FF"/>
              </a:solidFill>
              <a:round/>
            </a:ln>
            <a:effectLst/>
          </c:spPr>
          <c:marker>
            <c:symbol val="none"/>
          </c:marker>
          <c:cat>
            <c:numRef>
              <c:f>'6 class LCGA-ISQC all data'!$M$47:$P$47</c:f>
              <c:numCache>
                <c:formatCode>General</c:formatCode>
                <c:ptCount val="4"/>
                <c:pt idx="0">
                  <c:v>11</c:v>
                </c:pt>
                <c:pt idx="1">
                  <c:v>14</c:v>
                </c:pt>
                <c:pt idx="2">
                  <c:v>16</c:v>
                </c:pt>
                <c:pt idx="3">
                  <c:v>18</c:v>
                </c:pt>
              </c:numCache>
            </c:numRef>
          </c:cat>
          <c:val>
            <c:numRef>
              <c:f>'6 class LCGA-ISQC all data'!$M$50:$P$50</c:f>
              <c:numCache>
                <c:formatCode>General</c:formatCode>
                <c:ptCount val="4"/>
                <c:pt idx="0">
                  <c:v>2.6080000000000001</c:v>
                </c:pt>
                <c:pt idx="1">
                  <c:v>2.6489999999999996</c:v>
                </c:pt>
                <c:pt idx="2">
                  <c:v>3.1669999999999998</c:v>
                </c:pt>
                <c:pt idx="3">
                  <c:v>3.1910000000000003</c:v>
                </c:pt>
              </c:numCache>
            </c:numRef>
          </c:val>
          <c:smooth val="0"/>
          <c:extLst>
            <c:ext xmlns:c16="http://schemas.microsoft.com/office/drawing/2014/chart" uri="{C3380CC4-5D6E-409C-BE32-E72D297353CC}">
              <c16:uniqueId val="{00000003-2B49-4C25-BB8A-01CF11B2427E}"/>
            </c:ext>
          </c:extLst>
        </c:ser>
        <c:ser>
          <c:idx val="4"/>
          <c:order val="4"/>
          <c:tx>
            <c:strRef>
              <c:f>'6 class LCGA-ISQC all data'!$L$49</c:f>
              <c:strCache>
                <c:ptCount val="1"/>
                <c:pt idx="0">
                  <c:v>C2 (23.3%)</c:v>
                </c:pt>
              </c:strCache>
            </c:strRef>
          </c:tx>
          <c:spPr>
            <a:ln w="28575" cap="rnd">
              <a:solidFill>
                <a:srgbClr val="00B050"/>
              </a:solidFill>
              <a:round/>
            </a:ln>
            <a:effectLst/>
          </c:spPr>
          <c:marker>
            <c:symbol val="none"/>
          </c:marker>
          <c:cat>
            <c:numRef>
              <c:f>'6 class LCGA-ISQC all data'!$M$47:$P$47</c:f>
              <c:numCache>
                <c:formatCode>General</c:formatCode>
                <c:ptCount val="4"/>
                <c:pt idx="0">
                  <c:v>11</c:v>
                </c:pt>
                <c:pt idx="1">
                  <c:v>14</c:v>
                </c:pt>
                <c:pt idx="2">
                  <c:v>16</c:v>
                </c:pt>
                <c:pt idx="3">
                  <c:v>18</c:v>
                </c:pt>
              </c:numCache>
            </c:numRef>
          </c:cat>
          <c:val>
            <c:numRef>
              <c:f>'6 class LCGA-ISQC all data'!$M$49:$P$49</c:f>
              <c:numCache>
                <c:formatCode>General</c:formatCode>
                <c:ptCount val="4"/>
                <c:pt idx="0">
                  <c:v>1.9709999999999999</c:v>
                </c:pt>
                <c:pt idx="1">
                  <c:v>1.8420000000000001</c:v>
                </c:pt>
                <c:pt idx="2">
                  <c:v>1.7130000000000001</c:v>
                </c:pt>
                <c:pt idx="3">
                  <c:v>1.982</c:v>
                </c:pt>
              </c:numCache>
            </c:numRef>
          </c:val>
          <c:smooth val="0"/>
          <c:extLst>
            <c:ext xmlns:c16="http://schemas.microsoft.com/office/drawing/2014/chart" uri="{C3380CC4-5D6E-409C-BE32-E72D297353CC}">
              <c16:uniqueId val="{00000004-2B49-4C25-BB8A-01CF11B2427E}"/>
            </c:ext>
          </c:extLst>
        </c:ser>
        <c:ser>
          <c:idx val="5"/>
          <c:order val="5"/>
          <c:tx>
            <c:strRef>
              <c:f>'6 class LCGA-ISQC all data'!$L$52</c:f>
              <c:strCache>
                <c:ptCount val="1"/>
                <c:pt idx="0">
                  <c:v>C5 (5.9%)</c:v>
                </c:pt>
              </c:strCache>
            </c:strRef>
          </c:tx>
          <c:spPr>
            <a:ln w="28575" cap="rnd">
              <a:solidFill>
                <a:srgbClr val="C00000"/>
              </a:solidFill>
              <a:round/>
            </a:ln>
            <a:effectLst/>
          </c:spPr>
          <c:marker>
            <c:symbol val="none"/>
          </c:marker>
          <c:cat>
            <c:numRef>
              <c:f>'6 class LCGA-ISQC all data'!$M$47:$P$47</c:f>
              <c:numCache>
                <c:formatCode>General</c:formatCode>
                <c:ptCount val="4"/>
                <c:pt idx="0">
                  <c:v>11</c:v>
                </c:pt>
                <c:pt idx="1">
                  <c:v>14</c:v>
                </c:pt>
                <c:pt idx="2">
                  <c:v>16</c:v>
                </c:pt>
                <c:pt idx="3">
                  <c:v>18</c:v>
                </c:pt>
              </c:numCache>
            </c:numRef>
          </c:cat>
          <c:val>
            <c:numRef>
              <c:f>'6 class LCGA-ISQC all data'!$M$52:$P$52</c:f>
              <c:numCache>
                <c:formatCode>General</c:formatCode>
                <c:ptCount val="4"/>
                <c:pt idx="0">
                  <c:v>0.217</c:v>
                </c:pt>
                <c:pt idx="1">
                  <c:v>0.253</c:v>
                </c:pt>
                <c:pt idx="2">
                  <c:v>0.33399999999999996</c:v>
                </c:pt>
                <c:pt idx="3">
                  <c:v>0.61899999999999999</c:v>
                </c:pt>
              </c:numCache>
            </c:numRef>
          </c:val>
          <c:smooth val="0"/>
          <c:extLst>
            <c:ext xmlns:c16="http://schemas.microsoft.com/office/drawing/2014/chart" uri="{C3380CC4-5D6E-409C-BE32-E72D297353CC}">
              <c16:uniqueId val="{00000005-2B49-4C25-BB8A-01CF11B2427E}"/>
            </c:ext>
          </c:extLst>
        </c:ser>
        <c:dLbls>
          <c:showLegendKey val="0"/>
          <c:showVal val="0"/>
          <c:showCatName val="0"/>
          <c:showSerName val="0"/>
          <c:showPercent val="0"/>
          <c:showBubbleSize val="0"/>
        </c:dLbls>
        <c:smooth val="0"/>
        <c:axId val="775890776"/>
        <c:axId val="775892088"/>
      </c:lineChart>
      <c:catAx>
        <c:axId val="77589077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a:t>YP</a:t>
                </a:r>
                <a:r>
                  <a:rPr lang="en-GB" baseline="0"/>
                  <a:t> Age (Years)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75892088"/>
        <c:crosses val="autoZero"/>
        <c:auto val="1"/>
        <c:lblAlgn val="ctr"/>
        <c:lblOffset val="100"/>
        <c:noMultiLvlLbl val="0"/>
      </c:catAx>
      <c:valAx>
        <c:axId val="775892088"/>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GB"/>
                  <a:t>Average number of MRBs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75890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65F8-BBDC-4870-BA41-ABE0DE69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6997</Words>
  <Characters>39888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Wright</dc:creator>
  <cp:keywords/>
  <dc:description/>
  <cp:lastModifiedBy>Caroline Wright</cp:lastModifiedBy>
  <cp:revision>2</cp:revision>
  <dcterms:created xsi:type="dcterms:W3CDTF">2020-11-09T10:53:00Z</dcterms:created>
  <dcterms:modified xsi:type="dcterms:W3CDTF">2020-11-09T10:53:00Z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fc4a9b65-c493-3f2f-8d2a-e84b59781111</vt:lpwstr>
  </property>
  <property fmtid="{D5CDD505-2E9C-101B-9397-08002B2CF9AE}" pid="24" name="Mendeley Citation Style_1">
    <vt:lpwstr>http://www.zotero.org/styles/vancouver</vt:lpwstr>
  </property>
</Properties>
</file>