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sz w:val="30"/>
          <w:szCs w:val="30"/>
        </w:rPr>
      </w:pPr>
      <w:r>
        <w:rPr>
          <w:b/>
          <w:bCs/>
          <w:sz w:val="30"/>
          <w:szCs w:val="30"/>
        </w:rPr>
        <w:t>Supplementary data for review</w:t>
      </w:r>
    </w:p>
    <w:p>
      <w:pPr>
        <w:keepNext w:val="0"/>
        <w:keepLines w:val="0"/>
        <w:pageBreakBefore w:val="0"/>
        <w:widowControl w:val="0"/>
        <w:tabs>
          <w:tab w:val="left" w:pos="9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0" w:leftChars="0" w:right="0" w:rightChars="0"/>
        <w:jc w:val="both"/>
        <w:textAlignment w:val="auto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Figure legend</w:t>
      </w:r>
    </w:p>
    <w:p>
      <w:pPr>
        <w:keepNext w:val="0"/>
        <w:keepLines w:val="0"/>
        <w:pageBreakBefore w:val="0"/>
        <w:widowControl w:val="0"/>
        <w:tabs>
          <w:tab w:val="left" w:pos="9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0" w:leftChars="0" w:right="0" w:rightChars="0" w:firstLine="360" w:firstLineChars="150"/>
        <w:jc w:val="both"/>
        <w:textAlignment w:val="auto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Figure </w:t>
      </w:r>
      <w:r>
        <w:rPr>
          <w:rFonts w:hint="default"/>
          <w:b w:val="0"/>
          <w:bCs w:val="0"/>
          <w:sz w:val="24"/>
          <w:szCs w:val="24"/>
          <w:lang w:eastAsia="zh-Hans"/>
        </w:rPr>
        <w:t>A</w:t>
      </w:r>
      <w:r>
        <w:rPr>
          <w:b w:val="0"/>
          <w:bCs w:val="0"/>
          <w:sz w:val="24"/>
          <w:szCs w:val="24"/>
        </w:rPr>
        <w:t xml:space="preserve"> was the negative control </w:t>
      </w:r>
      <w:r>
        <w:rPr>
          <w:rFonts w:hAnsi="Times New Roman Regular" w:cs="Times New Roman Regular"/>
          <w:b w:val="0"/>
          <w:bCs w:val="0"/>
          <w:sz w:val="24"/>
          <w:szCs w:val="24"/>
          <w:lang w:eastAsia="zh-Hans"/>
        </w:rPr>
        <w:t xml:space="preserve">where </w:t>
      </w:r>
      <w:r>
        <w:rPr>
          <w:rFonts w:hint="eastAsia" w:hAnsi="Times New Roman Regular" w:cs="Times New Roman Regular"/>
          <w:b w:val="0"/>
          <w:bCs w:val="0"/>
          <w:sz w:val="24"/>
          <w:szCs w:val="24"/>
          <w:lang w:eastAsia="zh-Hans"/>
        </w:rPr>
        <w:t>the primary antibody was omitted</w:t>
      </w:r>
      <w:r>
        <w:rPr>
          <w:b w:val="0"/>
          <w:bCs w:val="0"/>
          <w:sz w:val="24"/>
          <w:szCs w:val="24"/>
        </w:rPr>
        <w:t xml:space="preserve"> for the </w:t>
      </w:r>
      <w:r>
        <w:rPr>
          <w:rFonts w:hAnsi="Times New Roman" w:cs="Times New Roman"/>
          <w:b w:val="0"/>
          <w:bCs w:val="0"/>
          <w:sz w:val="24"/>
          <w:szCs w:val="24"/>
          <w:lang w:eastAsia="ja-JP"/>
        </w:rPr>
        <w:t xml:space="preserve">Immunofluorescence measurement in Figure 1B of the main text. </w:t>
      </w:r>
    </w:p>
    <w:p>
      <w:pPr>
        <w:keepNext w:val="0"/>
        <w:keepLines w:val="0"/>
        <w:pageBreakBefore w:val="0"/>
        <w:widowControl w:val="0"/>
        <w:tabs>
          <w:tab w:val="left" w:pos="9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0" w:leftChars="0" w:right="0" w:rightChars="0" w:firstLine="360" w:firstLineChars="150"/>
        <w:jc w:val="both"/>
        <w:textAlignment w:val="auto"/>
        <w:outlineLvl w:val="9"/>
        <w:rPr>
          <w:rFonts w:hint="default" w:hAnsi="Times New Roman" w:cs="Times New Roman"/>
          <w:b w:val="0"/>
          <w:bCs w:val="0"/>
          <w:sz w:val="24"/>
          <w:szCs w:val="24"/>
          <w:lang w:eastAsia="ja-JP"/>
        </w:rPr>
      </w:pPr>
      <w:r>
        <w:rPr>
          <w:b w:val="0"/>
          <w:bCs w:val="0"/>
          <w:sz w:val="24"/>
          <w:szCs w:val="24"/>
        </w:rPr>
        <w:t xml:space="preserve">Figure </w:t>
      </w:r>
      <w:r>
        <w:rPr>
          <w:rFonts w:hint="default"/>
          <w:b w:val="0"/>
          <w:bCs w:val="0"/>
          <w:sz w:val="24"/>
          <w:szCs w:val="24"/>
          <w:lang w:eastAsia="zh-Hans"/>
        </w:rPr>
        <w:t>B</w:t>
      </w:r>
      <w:r>
        <w:rPr>
          <w:b w:val="0"/>
          <w:bCs w:val="0"/>
          <w:sz w:val="24"/>
          <w:szCs w:val="24"/>
        </w:rPr>
        <w:t xml:space="preserve"> showed</w:t>
      </w:r>
      <w:r>
        <w:rPr>
          <w:rFonts w:hAnsi="Times New Roman Regular" w:cs="Times New Roman Regular"/>
          <w:b w:val="0"/>
          <w:bCs w:val="0"/>
          <w:sz w:val="24"/>
          <w:szCs w:val="24"/>
          <w:lang w:eastAsia="zh-Hans"/>
        </w:rPr>
        <w:t xml:space="preserve"> </w:t>
      </w:r>
      <w:r>
        <w:rPr>
          <w:rFonts w:hAnsi="Times New Roman Regular" w:cs="Times New Roman Regular"/>
          <w:b w:val="0"/>
          <w:bCs w:val="0"/>
          <w:sz w:val="24"/>
          <w:szCs w:val="24"/>
        </w:rPr>
        <w:t>DN,</w:t>
      </w:r>
      <w:r>
        <w:rPr>
          <w:rFonts w:hAnsi="Times New Roman Regular" w:cs="Times New Roman Regular"/>
          <w:b w:val="0"/>
          <w:bCs w:val="0"/>
          <w:sz w:val="24"/>
          <w:szCs w:val="24"/>
          <w:lang w:eastAsia="zh-Hans"/>
        </w:rPr>
        <w:t xml:space="preserve"> CD4+</w:t>
      </w:r>
      <w:r>
        <w:rPr>
          <w:rFonts w:hAnsi="Times New Roman Regular" w:cs="Times New Roman Regular"/>
          <w:b w:val="0"/>
          <w:bCs w:val="0"/>
          <w:sz w:val="24"/>
          <w:szCs w:val="24"/>
        </w:rPr>
        <w:t xml:space="preserve"> and of CD8+ T cells</w:t>
      </w:r>
      <w:r>
        <w:rPr>
          <w:rFonts w:hAnsi="Times New Roman Regular" w:cs="Times New Roman Regular"/>
          <w:b w:val="0"/>
          <w:bCs w:val="0"/>
          <w:sz w:val="24"/>
          <w:szCs w:val="24"/>
        </w:rPr>
        <w:t xml:space="preserve"> frequencies in </w:t>
      </w:r>
      <w:r>
        <w:rPr>
          <w:rFonts w:hint="eastAsia"/>
          <w:b w:val="0"/>
          <w:bCs w:val="0"/>
          <w:sz w:val="24"/>
          <w:szCs w:val="24"/>
          <w:lang w:val="en-US" w:eastAsia="zh-Hans"/>
        </w:rPr>
        <w:t>CD</w:t>
      </w:r>
      <w:r>
        <w:rPr>
          <w:rFonts w:hint="default"/>
          <w:b w:val="0"/>
          <w:bCs w:val="0"/>
          <w:sz w:val="24"/>
          <w:szCs w:val="24"/>
          <w:lang w:eastAsia="zh-Hans"/>
        </w:rPr>
        <w:t xml:space="preserve">138+ </w:t>
      </w:r>
      <w:r>
        <w:rPr>
          <w:rFonts w:hint="eastAsia"/>
          <w:b w:val="0"/>
          <w:bCs w:val="0"/>
          <w:sz w:val="24"/>
          <w:szCs w:val="24"/>
          <w:lang w:val="en-US" w:eastAsia="zh-Hans"/>
        </w:rPr>
        <w:t>T</w:t>
      </w:r>
      <w:r>
        <w:rPr>
          <w:rFonts w:hint="default"/>
          <w:b w:val="0"/>
          <w:bCs w:val="0"/>
          <w:sz w:val="24"/>
          <w:szCs w:val="24"/>
          <w:lang w:eastAsia="zh-Hans"/>
        </w:rPr>
        <w:t xml:space="preserve"> cells</w:t>
      </w:r>
      <w:r>
        <w:rPr>
          <w:rFonts w:hAnsi="Times New Roman Regular" w:cs="Times New Roman Regular"/>
          <w:b w:val="0"/>
          <w:bCs w:val="0"/>
          <w:sz w:val="24"/>
          <w:szCs w:val="24"/>
        </w:rPr>
        <w:t xml:space="preserve"> </w:t>
      </w:r>
      <w:r>
        <w:rPr>
          <w:rFonts w:hAnsi="Times New Roman Regular" w:cs="Times New Roman Regular"/>
          <w:b w:val="0"/>
          <w:bCs w:val="0"/>
          <w:sz w:val="24"/>
          <w:szCs w:val="24"/>
          <w:lang w:eastAsia="zh-Hans"/>
        </w:rPr>
        <w:t>of</w:t>
      </w:r>
      <w:r>
        <w:rPr>
          <w:rFonts w:hAnsi="Times New Roman Regular" w:cs="Times New Roman Regular"/>
          <w:b w:val="0"/>
          <w:bCs w:val="0"/>
          <w:sz w:val="24"/>
          <w:szCs w:val="24"/>
        </w:rPr>
        <w:t xml:space="preserve"> fresh splenocytes </w:t>
      </w:r>
      <w:r>
        <w:rPr>
          <w:rFonts w:hAnsi="Times New Roman Regular" w:cs="Times New Roman Regular"/>
          <w:b w:val="0"/>
          <w:bCs w:val="0"/>
          <w:sz w:val="24"/>
          <w:szCs w:val="24"/>
        </w:rPr>
        <w:t>in</w:t>
      </w:r>
      <w:r>
        <w:rPr>
          <w:rFonts w:hAnsi="Times New Roman Regular" w:cs="Times New Roman Regular"/>
          <w:b w:val="0"/>
          <w:bCs w:val="0"/>
          <w:sz w:val="24"/>
          <w:szCs w:val="24"/>
        </w:rPr>
        <w:t xml:space="preserve"> MRL/lpr mice in vitro cultured for</w:t>
      </w:r>
      <w:r>
        <w:rPr>
          <w:rFonts w:hAnsi="Times New Roman Regular" w:cs="Times New Roman Regular"/>
          <w:b w:val="0"/>
          <w:bCs w:val="0"/>
          <w:sz w:val="24"/>
          <w:szCs w:val="24"/>
        </w:rPr>
        <w:t xml:space="preserve"> 0,</w:t>
      </w:r>
      <w:r>
        <w:rPr>
          <w:rFonts w:hAnsi="Times New Roman Regular" w:cs="Times New Roman Regular"/>
          <w:b w:val="0"/>
          <w:bCs w:val="0"/>
          <w:sz w:val="24"/>
          <w:szCs w:val="24"/>
        </w:rPr>
        <w:t xml:space="preserve"> 48 and 72 h, respectively</w:t>
      </w:r>
      <w:r>
        <w:rPr>
          <w:rFonts w:hAnsi="Times New Roman Regular" w:cs="Times New Roman Regular"/>
          <w:b w:val="0"/>
          <w:bCs w:val="0"/>
          <w:sz w:val="24"/>
          <w:szCs w:val="24"/>
          <w:lang w:eastAsia="zh-Hans"/>
        </w:rPr>
        <w:t>.</w:t>
      </w:r>
    </w:p>
    <w:p>
      <w:pPr>
        <w:keepNext w:val="0"/>
        <w:keepLines w:val="0"/>
        <w:pageBreakBefore w:val="0"/>
        <w:widowControl w:val="0"/>
        <w:tabs>
          <w:tab w:val="left" w:pos="9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0" w:leftChars="0" w:right="0" w:rightChars="0" w:firstLine="360" w:firstLineChars="150"/>
        <w:jc w:val="both"/>
        <w:textAlignment w:val="auto"/>
        <w:outlineLvl w:val="9"/>
        <w:rPr>
          <w:rFonts w:hint="default" w:hAnsi="Times New Roman" w:cs="Times New Roman"/>
          <w:b w:val="0"/>
          <w:bCs w:val="0"/>
          <w:sz w:val="24"/>
          <w:szCs w:val="24"/>
          <w:lang w:eastAsia="ja-JP"/>
        </w:rPr>
      </w:pPr>
      <w:r>
        <w:rPr>
          <w:rFonts w:hAnsi="Times New Roman" w:cs="Times New Roman"/>
          <w:b w:val="0"/>
          <w:bCs w:val="0"/>
          <w:sz w:val="24"/>
          <w:szCs w:val="24"/>
          <w:lang w:eastAsia="ja-JP"/>
        </w:rPr>
        <w:t xml:space="preserve">Figure </w:t>
      </w:r>
      <w:r>
        <w:rPr>
          <w:rFonts w:hint="default" w:hAnsi="Times New Roman" w:cs="Times New Roman"/>
          <w:b w:val="0"/>
          <w:bCs w:val="0"/>
          <w:sz w:val="24"/>
          <w:szCs w:val="24"/>
          <w:lang w:eastAsia="zh-Hans"/>
        </w:rPr>
        <w:t>C</w:t>
      </w:r>
      <w:r>
        <w:rPr>
          <w:rFonts w:hAnsi="Times New Roman" w:cs="Times New Roman"/>
          <w:b w:val="0"/>
          <w:bCs w:val="0"/>
          <w:sz w:val="24"/>
          <w:szCs w:val="24"/>
          <w:lang w:eastAsia="ja-JP"/>
        </w:rPr>
        <w:t xml:space="preserve"> was the negative control for flow cytometry analyses of CD138+ T cells in Figures of main text. It demonstrated these abnormal T cells express both CD3 and CD138. These results demonstrate CD138 positive expression in CD3+ T cells in flow cytometry was not caused by fluorescence disturbance or that PE-cy7 </w:t>
      </w:r>
      <w:r>
        <w:rPr>
          <w:rFonts w:hint="eastAsia" w:hAnsi="Times New Roman" w:cs="Times New Roman"/>
          <w:b w:val="0"/>
          <w:bCs w:val="0"/>
          <w:sz w:val="24"/>
          <w:szCs w:val="24"/>
          <w:lang w:eastAsia="ja-JP"/>
        </w:rPr>
        <w:t>break down to be picked up as PE</w:t>
      </w:r>
      <w:r>
        <w:rPr>
          <w:rFonts w:hint="default" w:hAnsi="Times New Roman" w:cs="Times New Roman"/>
          <w:b w:val="0"/>
          <w:bCs w:val="0"/>
          <w:sz w:val="24"/>
          <w:szCs w:val="24"/>
          <w:lang w:eastAsia="ja-JP"/>
        </w:rPr>
        <w:t>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0" w:leftChars="0" w:right="0" w:rightChars="0"/>
        <w:textAlignment w:val="auto"/>
        <w:rPr>
          <w:rFonts w:hint="eastAsia" w:hAnsi="Times New Roman" w:cs="Times New Roman"/>
          <w:b w:val="0"/>
          <w:bCs w:val="0"/>
          <w:sz w:val="24"/>
          <w:szCs w:val="24"/>
          <w:lang w:val="en-US" w:eastAsia="zh-Hans"/>
        </w:rPr>
      </w:pPr>
      <w:r>
        <w:rPr>
          <w:rFonts w:hint="eastAsia" w:hAnsi="Times New Roman" w:cs="Times New Roman"/>
          <w:b w:val="0"/>
          <w:bCs w:val="0"/>
          <w:sz w:val="24"/>
          <w:szCs w:val="24"/>
          <w:lang w:val="en-US" w:eastAsia="zh-Hans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9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Times New Roman" w:cs="Times New Roman" w:eastAsiaTheme="minorEastAsia"/>
          <w:b w:val="0"/>
          <w:bCs w:val="0"/>
          <w:sz w:val="24"/>
          <w:szCs w:val="24"/>
          <w:lang w:val="en-US" w:eastAsia="zh-Hans"/>
        </w:rPr>
      </w:pPr>
      <w:r>
        <w:rPr>
          <w:rFonts w:hint="default" w:hAnsi="Times New Roman" w:cs="Times New Roman"/>
          <w:b w:val="0"/>
          <w:bCs w:val="0"/>
          <w:sz w:val="24"/>
          <w:szCs w:val="24"/>
          <w:lang w:eastAsia="zh-Hans"/>
        </w:rPr>
        <w:t>Supplementary data F</w:t>
      </w:r>
      <w:r>
        <w:rPr>
          <w:rFonts w:hint="eastAsia" w:hAnsi="Times New Roman" w:cs="Times New Roman"/>
          <w:b w:val="0"/>
          <w:bCs w:val="0"/>
          <w:sz w:val="24"/>
          <w:szCs w:val="24"/>
          <w:lang w:val="en-US" w:eastAsia="zh-Hans"/>
        </w:rPr>
        <w:t>igure</w:t>
      </w:r>
    </w:p>
    <w:tbl>
      <w:tblPr>
        <w:tblStyle w:val="4"/>
        <w:tblW w:w="9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209" w:hRule="atLeast"/>
          <w:jc w:val="center"/>
        </w:trPr>
        <w:tc>
          <w:tcPr>
            <w:tcW w:w="90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Ansi="Times New Roman" w:cs="Times New Roman"/>
                <w:b w:val="0"/>
                <w:bCs w:val="0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Ansi="Times New Roman" w:cs="Times New Roman"/>
                <w:b w:val="0"/>
                <w:bCs w:val="0"/>
                <w:sz w:val="24"/>
                <w:szCs w:val="24"/>
                <w:vertAlign w:val="baseline"/>
                <w:lang w:eastAsia="ja-JP"/>
              </w:rPr>
              <w:drawing>
                <wp:inline distT="0" distB="0" distL="114300" distR="114300">
                  <wp:extent cx="5598795" cy="4975860"/>
                  <wp:effectExtent l="0" t="0" r="14605" b="2540"/>
                  <wp:docPr id="1" name="图片 1" descr="Supplementary data Figure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Supplementary data Figure_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b="289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8795" cy="497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1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Bold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Heiti TC Medium">
    <w:panose1 w:val="02000000000000000000"/>
    <w:charset w:val="80"/>
    <w:family w:val="auto"/>
    <w:pitch w:val="default"/>
    <w:sig w:usb0="8000002F" w:usb1="0800004A" w:usb2="00000000" w:usb3="00000000" w:csb0="203E0000" w:csb1="00000000"/>
  </w:font>
  <w:font w:name="HEITI SC MEDIUM">
    <w:panose1 w:val="02000000000000000000"/>
    <w:charset w:val="80"/>
    <w:family w:val="auto"/>
    <w:pitch w:val="default"/>
    <w:sig w:usb0="8000002F" w:usb1="0800004A" w:usb2="00000000" w:usb3="00000000" w:csb0="203E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 Math">
    <w:altName w:val="Kingsoft Math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742ED"/>
    <w:rsid w:val="3B5987A4"/>
    <w:rsid w:val="53E742ED"/>
    <w:rsid w:val="6FBFC447"/>
    <w:rsid w:val="7FAE448C"/>
    <w:rsid w:val="ADF7E6A2"/>
    <w:rsid w:val="D6FFD86C"/>
    <w:rsid w:val="DBDB7A61"/>
    <w:rsid w:val="E7F8AF53"/>
    <w:rsid w:val="EF7B4E2D"/>
    <w:rsid w:val="F5AF93B2"/>
    <w:rsid w:val="FEB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2021-08-13T12:10:00Z</dcterms:created>
  <dc:creator>xietianhongdemacpro</dc:creator>
  <cp:lastModifiedBy>xietianhongdemacpro</cp:lastModifiedBy>
  <dcterms:modified xsi:type="dcterms:W3CDTF">2021-12-13T01:55:26Z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